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jc w:val="center"/>
      </w:pPr>
      <w:r>
        <w:rPr>
          <w:rFonts w:ascii="宋体" w:hAnsi="宋体" w:eastAsia="宋体"/>
          <w:b/>
          <w:color w:val="0D47A1"/>
          <w:sz w:val="32"/>
        </w:rPr>
        <w:t>素材8：案例——基于导出配置的测评记录表填写范例（防火墙 FW-01）</w:t>
      </w:r>
    </w:p>
    <w:p>
      <w:pPr>
        <w:spacing w:before="0" w:after="80"/>
      </w:pPr>
      <w:r>
        <w:rPr>
          <w:rFonts w:ascii="宋体" w:hAnsi="宋体" w:eastAsia="宋体"/>
          <w:b/>
          <w:sz w:val="20"/>
        </w:rPr>
        <w:t>被测对象：出口防火墙 FW-01（华为 USG6650E，V600R007C20SPC500）　设备管理地址：10.10.10.1</w:t>
      </w:r>
    </w:p>
    <w:p>
      <w:pPr>
        <w:spacing w:before="0" w:after="80"/>
      </w:pPr>
      <w:r>
        <w:rPr>
          <w:rFonts w:ascii="宋体" w:hAnsi="宋体" w:eastAsia="宋体"/>
          <w:b w:val="0"/>
          <w:sz w:val="19"/>
        </w:rPr>
        <w:t>数据来源：素材2《实践任务1——防火墙配置导出（华为 USG6650E）》中 display current-configuration 的导出回显（导出时间 2025-03-18 10:23:41）。</w:t>
      </w:r>
    </w:p>
    <w:p>
      <w:pPr>
        <w:spacing w:before="0" w:after="160"/>
      </w:pPr>
      <w:r>
        <w:rPr>
          <w:rFonts w:ascii="宋体" w:hAnsi="宋体" w:eastAsia="宋体"/>
          <w:b w:val="0"/>
          <w:sz w:val="19"/>
        </w:rPr>
        <w:t>用法：这是"照着回显逐行对照"填出来的完整范例——9 条指标全部有判定结论，每条"不符合"都定位到了具体配置行与原值。请对照它完成交换机（S1，素材4）与路由器（R1，素材7）两张记录表。</w:t>
      </w:r>
    </w:p>
    <w:p>
      <w:pPr>
        <w:spacing w:before="200" w:after="120"/>
      </w:pPr>
      <w:r>
        <w:rPr>
          <w:rFonts w:ascii="宋体" w:hAnsi="宋体" w:eastAsia="宋体"/>
          <w:b/>
          <w:color w:val="0D47A1"/>
          <w:sz w:val="24"/>
        </w:rPr>
        <w:t>一、测评记录表（填写范例）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80"/>
        <w:gridCol w:w="2580"/>
        <w:gridCol w:w="2580"/>
        <w:gridCol w:w="2580"/>
        <w:gridCol w:w="2580"/>
        <w:gridCol w:w="2580"/>
      </w:tblGrid>
      <w:tr>
        <w:tc>
          <w:tcPr>
            <w:tcW w:type="dxa" w:w="1361"/>
            <w:shd w:val="clear" w:fill="D9E2F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测评指标编号</w:t>
            </w:r>
          </w:p>
        </w:tc>
        <w:tc>
          <w:tcPr>
            <w:tcW w:type="dxa" w:w="1474"/>
            <w:shd w:val="clear" w:fill="D9E2F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测评指标名称</w:t>
            </w:r>
          </w:p>
        </w:tc>
        <w:tc>
          <w:tcPr>
            <w:tcW w:type="dxa" w:w="1020"/>
            <w:shd w:val="clear" w:fill="D9E2F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测评结果</w:t>
            </w:r>
          </w:p>
        </w:tc>
        <w:tc>
          <w:tcPr>
            <w:tcW w:type="dxa" w:w="4252"/>
            <w:shd w:val="clear" w:fill="D9E2F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问题描述</w:t>
            </w:r>
          </w:p>
        </w:tc>
        <w:tc>
          <w:tcPr>
            <w:tcW w:type="dxa" w:w="3685"/>
            <w:shd w:val="clear" w:fill="D9E2F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风险分析</w:t>
            </w:r>
          </w:p>
        </w:tc>
        <w:tc>
          <w:tcPr>
            <w:tcW w:type="dxa" w:w="3685"/>
            <w:shd w:val="clear" w:fill="D9E2F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整改建议</w:t>
            </w:r>
          </w:p>
        </w:tc>
      </w:tr>
      <w:tr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8.1.4.1 a)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身份标识与鉴别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不符合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password-policy 中 password min-length 6（低于 8 位）；password complexity-check disable（未启用复杂度校验）；password expire 180（超过 90 天）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口令强度不足，可被字典离线/在线暴力破解；攻击者一旦拿到管理权限即可改写安全策略、开放后门端口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改 min-length 8；complexity-check enable；expire 90；并对高危口令执行一次性强制改密</w:t>
            </w:r>
          </w:p>
        </w:tc>
      </w:tr>
      <w:tr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8.1.4.1 b)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登录失败处理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不符合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aaa 下 local-user admin failed-times 8 lock-times 10：连续失败 8 次才锁定，锁定时间仅 10 分钟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在线爆破窗口过大，10 分钟后即可继续尝试，配合慢速字典可长期有效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failed-times 5；lock-times 15；并开启登录失败告警日志</w:t>
            </w:r>
          </w:p>
        </w:tc>
      </w:tr>
      <w:tr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8.1.4.1 c)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远程管理加密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部分符合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stelnet server enable、http secure-server enable 已开启；但同时存在 telnet server enable 与 http server enable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明文管理流量可被同链路旁路嗅探，管理口令与配置命令直接泄露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undo telnet server enable；undo http server enable；仅保留 stelnet + HTTPS 管理</w:t>
            </w:r>
          </w:p>
        </w:tc>
      </w:tr>
      <w:tr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8.1.4.2 b)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默认账户管理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不符合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出厂默认账号 admin 未重命名，且 service-type 包含 ssh http https，可远程登录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攻击者无需信息收集即可直接对 admin 发起定向爆破，攻击成本显著降低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重命名 admin 为专用运维账号（如 opr_fw01），并同步修改口令；删除或禁用无用账号</w:t>
            </w:r>
          </w:p>
        </w:tc>
      </w:tr>
      <w:tr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8.1.4.2 d)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最小权限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部分符合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audit 账号 level 5 已独立（✅）；但 admin 为 privilege level 15，同时具备配置修改与审计查看权限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管理员与审计员职责未分离，管理员可删除/篡改自身操作记录，审计失效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admin 降为 level 3；新建独立审计员账号（level 5）单独交给审计岗，实现"配置—审计"分离</w:t>
            </w:r>
          </w:p>
        </w:tc>
      </w:tr>
      <w:tr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8.1.4.3 a)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安全审计启用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符合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info-center enable 已开启，日志功能处于生效状态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—（本项无风险）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保持；建议再将日志外发至 syslog 服务器做集中留存</w:t>
            </w:r>
          </w:p>
        </w:tc>
      </w:tr>
      <w:tr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8.1.4.3 c)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审计记录保护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不符合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info-center logfile save-time 30，设备本地日志仅保存 30 天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攻击行为发生 30 天后本地无可查记录，取证链断裂，无法满足等保留存要求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save-time 180；配置远程日志服务器（info-center loghost），避免本地日志被清除后无从追溯</w:t>
            </w:r>
          </w:p>
        </w:tc>
      </w:tr>
      <w:tr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8.1.4.4 b)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关闭不需要的服务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不符合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telnet server enable、http server enable 已开启；snmp-agent sys-info version v2c，community read 为 public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明文协议可被嗅探；SNMPv2c 团体字以明文传输，攻击者可读取路由表与安全策略，甚至改写配置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关闭 Telnet 与 HTTP；SNMP 升级为 v3（认证 + 加密），删除 public/private 团体字</w:t>
            </w:r>
          </w:p>
        </w:tc>
      </w:tr>
      <w:tr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8.1.4.4 c)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管理终端限制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不符合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acl number 2000 rule 5 permit source any，管理面 ACL 放通任意源 IP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管理界面暴露于全部可达网段，可被持续爆破或利用设备管理面漏洞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ACL 2000 改为仅放通运维网段 10.10.20.0/24，并在公网接口屏蔽 22/23/8443 等管理端口</w:t>
            </w:r>
          </w:p>
        </w:tc>
      </w:tr>
    </w:tbl>
    <w:p>
      <w:pPr>
        <w:spacing w:before="200" w:after="120"/>
      </w:pPr>
      <w:r>
        <w:rPr>
          <w:rFonts w:ascii="宋体" w:hAnsi="宋体" w:eastAsia="宋体"/>
          <w:b/>
          <w:color w:val="0D47A1"/>
          <w:sz w:val="24"/>
        </w:rPr>
        <w:t>二、判定小结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159"/>
        <w:gridCol w:w="5159"/>
        <w:gridCol w:w="5159"/>
      </w:tblGrid>
      <w:tr>
        <w:tc>
          <w:tcPr>
            <w:tcW w:type="dxa" w:w="1701"/>
            <w:shd w:val="clear" w:fill="D9E2F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判定结果</w:t>
            </w:r>
          </w:p>
        </w:tc>
        <w:tc>
          <w:tcPr>
            <w:tcW w:type="dxa" w:w="1247"/>
            <w:shd w:val="clear" w:fill="D9E2F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条数</w:t>
            </w:r>
          </w:p>
        </w:tc>
        <w:tc>
          <w:tcPr>
            <w:tcW w:type="dxa" w:w="12472"/>
            <w:shd w:val="clear" w:fill="D9E2F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对应指标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不符合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247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8.1.4.1 a)、8.1.4.1 b)、8.1.4.2 b)、8.1.4.3 c)、8.1.4.4 b)、8.1.4.4 c)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部分符合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247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8.1.4.1 c) 远程管理加密；8.1.4.2 d) 最小权限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符合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247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8.1.4.3 a) 安全审计启用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不适用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247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本设备无此项</w:t>
            </w:r>
          </w:p>
        </w:tc>
      </w:tr>
    </w:tbl>
    <w:p>
      <w:pPr>
        <w:spacing w:before="120" w:after="80"/>
      </w:pPr>
      <w:r>
        <w:rPr>
          <w:rFonts w:ascii="宋体" w:hAnsi="宋体" w:eastAsia="宋体"/>
          <w:b w:val="0"/>
          <w:sz w:val="19"/>
        </w:rPr>
        <w:t>风险处置优先序建议：先处理 6 项"不符合"中的高危项（口令策略、明文管理协议、SNMPv2c 团体字、管理面 ACL 放通 any、any→any 安全策略），再处理日志留存与权限分离。</w:t>
      </w:r>
    </w:p>
    <w:sectPr w:rsidR="00FC693F" w:rsidRPr="0006063C" w:rsidSect="00034616">
      <w:pgSz w:w="16838" w:h="11906" w:orient="landscape"/>
      <w:pgMar w:top="850" w:right="680" w:bottom="85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