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4E79"/>
          <w:sz w:val="36"/>
        </w:rPr>
        <w:t>越权漏洞测试用例卡</w:t>
      </w:r>
    </w:p>
    <w:p>
      <w:pPr>
        <w:jc w:val="center"/>
      </w:pPr>
      <w:r>
        <w:rPr>
          <w:rFonts w:ascii="微软雅黑" w:hAnsi="微软雅黑" w:eastAsia="微软雅黑" w:cs="微软雅黑"/>
          <w:b w:val="0"/>
          <w:color w:val="595959"/>
          <w:sz w:val="22"/>
        </w:rPr>
        <w:t>——把"越权"从概念变成可一步步执行的测试用例</w:t>
      </w:r>
    </w:p>
    <w:p>
      <w:pPr>
        <w:jc w:val="righ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信息安全测评与风险评估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一、怎么用这张卡</w:t>
      </w:r>
    </w:p>
    <w:p>
      <w:pPr>
        <w:spacing w:after="60"/>
        <w:ind w:firstLine="420"/>
      </w:pPr>
      <w:r>
        <w:rPr>
          <w:rFonts w:ascii="微软雅黑" w:hAnsi="微软雅黑" w:eastAsia="微软雅黑" w:cs="微软雅黑"/>
          <w:b w:val="0"/>
          <w:sz w:val="21"/>
        </w:rPr>
        <w:t>每条用例都按"前置条件 → 操作步骤 → 预期结果 → 实测结果 → 判定"五段走。操作前先把浏览器代理或抓包工具开好，每一步都要截图，截图编号填进实测结果栏。</w:t>
      </w:r>
    </w:p>
    <w:p>
      <w:pPr>
        <w:spacing w:before="160" w:after="40"/>
      </w:pPr>
      <w:r>
        <w:rPr>
          <w:rFonts w:ascii="微软雅黑" w:hAnsi="微软雅黑" w:eastAsia="微软雅黑" w:cs="微软雅黑"/>
          <w:b/>
          <w:sz w:val="22"/>
        </w:rPr>
        <w:t>测试前准备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两个账号：一个普通账号（如 user01）、一个管理员账号（如 admin）。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靶场地址与账号由西普实验平台提供，不要用自己的真实账号测任何校外站点。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打开抓包工具（Burp Suite 或浏览器 F12 网络面板），确认能看见请求参数。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二、垂直越权用例（低权限 → 高权限）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编号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操作步骤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预期结果（合规系统）</w:t>
            </w:r>
          </w:p>
        </w:tc>
        <w:tc>
          <w:tcPr>
            <w:tcW w:type="dxa" w:w="153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实测结果（填）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判定（填）</w:t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V-01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用普通账号 user01 登录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登录成功，只见普通用户菜单</w:t>
            </w:r>
          </w:p>
        </w:tc>
        <w:tc>
          <w:tcPr>
            <w:tcW w:type="dxa" w:w="153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V-02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地址栏直接输入 /admin 或 /manage 并回车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被拒绝，跳转无权访问提示或登录页</w:t>
            </w:r>
          </w:p>
        </w:tc>
        <w:tc>
          <w:tcPr>
            <w:tcW w:type="dxa" w:w="153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V-03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用抓包工具把请求里的 role 参数改成 admin 后重放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服务端拒绝或忽略该参数</w:t>
            </w:r>
          </w:p>
        </w:tc>
        <w:tc>
          <w:tcPr>
            <w:tcW w:type="dxa" w:w="153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V-04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用 user01 的 Cookie 调用管理员接口（如 /api/user/list）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返回 403 未授权</w:t>
            </w:r>
          </w:p>
        </w:tc>
        <w:tc>
          <w:tcPr>
            <w:tcW w:type="dxa" w:w="153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V-05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退出后直接用 /admin 的历史 URL 访问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跳转到登录页</w:t>
            </w:r>
          </w:p>
        </w:tc>
        <w:tc>
          <w:tcPr>
            <w:tcW w:type="dxa" w:w="153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三、水平越权用例（同级用户之间）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编号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操作步骤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预期结果（合规系统）</w:t>
            </w:r>
          </w:p>
        </w:tc>
        <w:tc>
          <w:tcPr>
            <w:tcW w:type="dxa" w:w="153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实测结果（填）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判定（填）</w:t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H-01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用 A 账号登录，进入"我的订单"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只看到 A 自己的订单</w:t>
            </w:r>
          </w:p>
        </w:tc>
        <w:tc>
          <w:tcPr>
            <w:tcW w:type="dxa" w:w="153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H-02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把 URL 里的 orderId 从自己的改成 B 的 ID 后回车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提示无权限或返回空</w:t>
            </w:r>
          </w:p>
        </w:tc>
        <w:tc>
          <w:tcPr>
            <w:tcW w:type="dxa" w:w="153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H-03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抓包修改请求体中的 userId / orderId 后重放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服务端校验归属后拒绝</w:t>
            </w:r>
          </w:p>
        </w:tc>
        <w:tc>
          <w:tcPr>
            <w:tcW w:type="dxa" w:w="153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H-04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用 A 的 Cookie 请求 /api/order/{B的ID}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返回 403 未授权</w:t>
            </w:r>
          </w:p>
        </w:tc>
        <w:tc>
          <w:tcPr>
            <w:tcW w:type="dxa" w:w="153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H-05</w:t>
            </w:r>
          </w:p>
        </w:tc>
        <w:tc>
          <w:tcPr>
            <w:tcW w:type="dxa" w:w="3175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遍历 orderId 连续 10 个，看是否批量返回他人数据</w:t>
            </w:r>
          </w:p>
        </w:tc>
        <w:tc>
          <w:tcPr>
            <w:tcW w:type="dxa" w:w="260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全部被拒绝</w:t>
            </w:r>
          </w:p>
        </w:tc>
        <w:tc>
          <w:tcPr>
            <w:tcW w:type="dxa" w:w="1531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四、截图与取证要点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每张截图要能同时看到"请求参数"和"返回内容"，两者缺一都不算完整证据。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请求截图重点框出被修改的参数（orderId / userId / role）。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返回截图重点框出泄露的字段（姓名、手机号、地址等），确认不是你自己的数据。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sz w:val="21"/>
        </w:rPr>
        <w:t>命名规则：A3-01.png（垂直越权第 1 张）、A4-02.png（水平越权第 2 张）。</w:t>
      </w:r>
    </w:p>
    <w:p>
      <w:pPr>
        <w:spacing w:before="240" w:after="80"/>
      </w:pPr>
      <w:r>
        <w:rPr>
          <w:rFonts w:ascii="微软雅黑" w:hAnsi="微软雅黑" w:eastAsia="微软雅黑" w:cs="微软雅黑"/>
          <w:b/>
          <w:color w:val="1F4E79"/>
          <w:sz w:val="26"/>
        </w:rPr>
        <w:t>五、判定怎么写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实测情况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判定</w:t>
            </w:r>
          </w:p>
        </w:tc>
        <w:tc>
          <w:tcPr>
            <w:tcW w:type="dxa" w:w="52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1F4E79"/>
                <w:sz w:val="19"/>
              </w:rPr>
              <w:t>问题描述怎么写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改参数后返回他人数据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不符合</w:t>
            </w:r>
          </w:p>
        </w:tc>
        <w:tc>
          <w:tcPr>
            <w:tcW w:type="dxa" w:w="52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服务端未校验资源归属，改 orderId 即可越权读取他人订单，涉及姓名与手机号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改参数后被拒，但错误提示泄露了资源是否存在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部分符合</w:t>
            </w:r>
          </w:p>
        </w:tc>
        <w:tc>
          <w:tcPr>
            <w:tcW w:type="dxa" w:w="52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越权被正确拒绝，但错误提示可枚举资源，存在信息泄露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改参数后被拒且无信息泄露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符合</w:t>
            </w:r>
          </w:p>
        </w:tc>
        <w:tc>
          <w:tcPr>
            <w:tcW w:type="dxa" w:w="52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服务端校验资源归属，越权尝试被拒绝且不返回资源是否存在</w:t>
            </w:r>
          </w:p>
        </w:tc>
      </w:tr>
      <w:tr>
        <w:tc>
          <w:tcPr>
            <w:tcW w:type="dxa" w:w="2948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系统没有该功能（无订单/无用户数据）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不适用</w:t>
            </w:r>
          </w:p>
        </w:tc>
        <w:tc>
          <w:tcPr>
            <w:tcW w:type="dxa" w:w="5272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 w:val="0"/>
                <w:sz w:val="19"/>
              </w:rPr>
              <w:t>被测系统无同级用户数据资源，本条不适用</w:t>
            </w:r>
          </w:p>
        </w:tc>
      </w:tr>
    </w:tbl>
    <w:p>
      <w:pPr>
        <w:spacing w:after="40"/>
      </w:pPr>
    </w:p>
    <w:p>
      <w:pPr>
        <w:spacing w:before="80" w:after="120"/>
        <w:ind w:left="20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提示：如果一条都没测出越权，不要为了"有结论"而编造结果。如实写"未发现越权"并附上你的测试截图，同样是合格作业。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