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D12D1"/>
    <w:p w14:paraId="0872D830">
      <w:pPr>
        <w:jc w:val="center"/>
      </w:pPr>
      <w:r>
        <w:drawing>
          <wp:inline distT="0" distB="0" distL="0" distR="0">
            <wp:extent cx="1905000" cy="1905000"/>
            <wp:effectExtent l="0" t="0" r="0" b="0"/>
            <wp:docPr id="12602207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2" name="图形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339A038D"/>
    <w:p w14:paraId="51C189C2">
      <w:pPr>
        <w:jc w:val="center"/>
        <w:rPr>
          <w:b/>
          <w:bCs/>
          <w:sz w:val="72"/>
          <w:szCs w:val="72"/>
        </w:rPr>
      </w:pPr>
      <w:r>
        <w:rPr>
          <w:rFonts w:hint="eastAsia"/>
          <w:b/>
          <w:bCs/>
          <w:sz w:val="72"/>
          <w:szCs w:val="72"/>
        </w:rPr>
        <w:t>《云计算与大数据处理》</w:t>
      </w:r>
      <w:r>
        <w:rPr>
          <w:b/>
          <w:bCs/>
          <w:sz w:val="72"/>
          <w:szCs w:val="72"/>
        </w:rPr>
      </w:r>
      <w:r>
        <w:rPr>
          <w:rFonts w:hint="eastAsia"/>
          <w:b/>
          <w:bCs/>
          <w:sz w:val="72"/>
          <w:szCs w:val="72"/>
        </w:rPr>
      </w:r>
    </w:p>
    <w:p w14:paraId="366080CC">
      <w:pPr>
        <w:jc w:val="center"/>
        <w:rPr>
          <w:b/>
          <w:bCs/>
          <w:sz w:val="72"/>
          <w:szCs w:val="72"/>
        </w:rPr>
      </w:pPr>
      <w:r>
        <w:rPr>
          <w:rFonts w:hint="eastAsia"/>
          <w:b/>
          <w:bCs/>
          <w:sz w:val="72"/>
          <w:szCs w:val="72"/>
        </w:rPr>
        <w:t>实验报告</w:t>
      </w:r>
    </w:p>
    <w:p w14:paraId="72AAF734"/>
    <w:p w14:paraId="60FC69E9">
      <w:pPr>
        <w:widowControl/>
        <w:jc w:val="left"/>
      </w:pPr>
    </w:p>
    <w:p w14:paraId="1F01EB1F">
      <w:pPr>
        <w:widowControl/>
        <w:jc w:val="left"/>
      </w:pPr>
    </w:p>
    <w:p w14:paraId="37243557">
      <w:pPr>
        <w:widowControl/>
        <w:jc w:val="left"/>
      </w:pPr>
    </w:p>
    <w:p w14:paraId="6180014A">
      <w:pPr>
        <w:widowControl/>
        <w:jc w:val="left"/>
      </w:pPr>
    </w:p>
    <w:tbl>
      <w:tblPr>
        <w:tblStyle w:val="8"/>
        <w:tblpPr w:leftFromText="180" w:rightFromText="180" w:vertAnchor="text" w:horzAnchor="page" w:tblpX="2352" w:tblpY="109"/>
        <w:tblOverlap w:val="never"/>
        <w:tblW w:w="7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9"/>
      </w:tblGrid>
      <w:tr w14:paraId="1036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7789" w:type="dxa"/>
          </w:tcPr>
          <w:p w14:paraId="24E7301F">
            <w:pPr>
              <w:jc w:val="left"/>
              <w:rPr>
                <w:rFonts w:hint="eastAsia" w:eastAsiaTheme="minorEastAsia"/>
                <w:b/>
                <w:bCs/>
                <w:sz w:val="30"/>
                <w:szCs w:val="30"/>
                <w:lang w:val="en-US" w:eastAsia="zh-CN"/>
              </w:rPr>
            </w:pPr>
            <w:r>
              <w:rPr>
                <w:rFonts w:hint="eastAsia"/>
                <w:b/>
                <w:bCs/>
                <w:sz w:val="32"/>
                <w:szCs w:val="32"/>
              </w:rPr>
              <w:t>专   业：计算机科学与技术</w:t>
            </w:r>
            <w:r>
              <w:rPr>
                <w:rFonts w:hint="eastAsia"/>
                <w:b/>
                <w:bCs/>
                <w:sz w:val="32"/>
                <w:szCs w:val="32"/>
                <w:lang w:val="en-US" w:eastAsia="zh-CN"/>
              </w:rPr>
            </w:r>
          </w:p>
        </w:tc>
      </w:tr>
      <w:tr w14:paraId="09F4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7789" w:type="dxa"/>
          </w:tcPr>
          <w:p w14:paraId="7F869A78">
            <w:pPr>
              <w:jc w:val="left"/>
              <w:rPr>
                <w:rFonts w:hint="default" w:eastAsiaTheme="minorEastAsia"/>
                <w:b/>
                <w:bCs/>
                <w:sz w:val="30"/>
                <w:szCs w:val="30"/>
                <w:lang w:val="en-US" w:eastAsia="zh-CN"/>
              </w:rPr>
            </w:pPr>
            <w:r>
              <w:rPr>
                <w:rFonts w:hint="eastAsia"/>
                <w:b/>
                <w:bCs/>
                <w:sz w:val="30"/>
                <w:szCs w:val="30"/>
              </w:rPr>
              <w:t>班   级：24计科3</w:t>
            </w:r>
            <w:r>
              <w:rPr>
                <w:rFonts w:hint="eastAsia"/>
                <w:b/>
                <w:bCs/>
                <w:sz w:val="30"/>
                <w:szCs w:val="30"/>
                <w:lang w:val="en-US" w:eastAsia="zh-CN"/>
              </w:rPr>
            </w:r>
          </w:p>
        </w:tc>
      </w:tr>
      <w:tr w14:paraId="4057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7789" w:type="dxa"/>
          </w:tcPr>
          <w:p w14:paraId="285D2E84">
            <w:pPr>
              <w:jc w:val="left"/>
              <w:rPr>
                <w:rFonts w:hint="default" w:eastAsiaTheme="minorEastAsia"/>
                <w:b/>
                <w:bCs/>
                <w:sz w:val="30"/>
                <w:szCs w:val="30"/>
                <w:lang w:val="en-US" w:eastAsia="zh-CN"/>
              </w:rPr>
            </w:pPr>
            <w:r>
              <w:rPr>
                <w:rFonts w:hint="eastAsia"/>
                <w:b/>
                <w:bCs/>
                <w:sz w:val="30"/>
                <w:szCs w:val="30"/>
              </w:rPr>
              <w:t>学   号：2410311308</w:t>
            </w:r>
            <w:r>
              <w:rPr>
                <w:rFonts w:hint="eastAsia"/>
                <w:b/>
                <w:bCs/>
                <w:sz w:val="30"/>
                <w:szCs w:val="30"/>
                <w:lang w:val="en-US" w:eastAsia="zh-CN"/>
              </w:rPr>
            </w:r>
          </w:p>
        </w:tc>
      </w:tr>
      <w:tr w14:paraId="0F3A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7789" w:type="dxa"/>
          </w:tcPr>
          <w:p w14:paraId="3546C5CF">
            <w:pPr>
              <w:jc w:val="left"/>
              <w:rPr>
                <w:rFonts w:hint="eastAsia" w:eastAsiaTheme="minorEastAsia"/>
                <w:b/>
                <w:bCs/>
                <w:sz w:val="30"/>
                <w:szCs w:val="30"/>
                <w:lang w:val="en-US" w:eastAsia="zh-CN"/>
              </w:rPr>
            </w:pPr>
            <w:r>
              <w:rPr>
                <w:rFonts w:hint="eastAsia"/>
                <w:b/>
                <w:bCs/>
                <w:sz w:val="30"/>
                <w:szCs w:val="30"/>
              </w:rPr>
              <w:t>姓   名：龚治榕</w:t>
            </w:r>
            <w:r>
              <w:rPr>
                <w:rFonts w:hint="eastAsia"/>
                <w:b/>
                <w:bCs/>
                <w:sz w:val="30"/>
                <w:szCs w:val="30"/>
                <w:lang w:val="en-US" w:eastAsia="zh-CN"/>
              </w:rPr>
            </w:r>
            <w:bookmarkStart w:id="0" w:name="_GoBack"/>
            <w:bookmarkEnd w:id="0"/>
          </w:p>
        </w:tc>
      </w:tr>
      <w:tr w14:paraId="633D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7789" w:type="dxa"/>
          </w:tcPr>
          <w:p w14:paraId="62370BD2">
            <w:pPr>
              <w:jc w:val="left"/>
              <w:rPr>
                <w:b/>
                <w:bCs/>
                <w:sz w:val="30"/>
                <w:szCs w:val="30"/>
              </w:rPr>
            </w:pPr>
            <w:r>
              <w:rPr>
                <w:rFonts w:hint="eastAsia"/>
                <w:b/>
                <w:bCs/>
                <w:sz w:val="30"/>
                <w:szCs w:val="30"/>
              </w:rPr>
              <w:t>实验（二）：数据湖与质量契约</w:t>
            </w:r>
            <w:r>
              <w:rPr>
                <w:rFonts w:hint="eastAsia"/>
                <w:b/>
                <w:bCs/>
                <w:sz w:val="30"/>
                <w:szCs w:val="30"/>
                <w:lang w:val="en-US" w:eastAsia="zh-CN"/>
              </w:rPr>
            </w:r>
            <w:r>
              <w:rPr>
                <w:rFonts w:hint="eastAsia"/>
                <w:b/>
                <w:bCs/>
                <w:sz w:val="30"/>
                <w:szCs w:val="30"/>
              </w:rPr>
            </w:r>
          </w:p>
        </w:tc>
      </w:tr>
      <w:tr w14:paraId="17A8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7789" w:type="dxa"/>
          </w:tcPr>
          <w:p w14:paraId="37CF1F9E">
            <w:pPr>
              <w:jc w:val="left"/>
              <w:rPr>
                <w:rFonts w:hint="default" w:eastAsiaTheme="minorEastAsia"/>
                <w:b/>
                <w:bCs/>
                <w:sz w:val="30"/>
                <w:szCs w:val="30"/>
                <w:lang w:val="en-US" w:eastAsia="zh-CN"/>
              </w:rPr>
            </w:pPr>
            <w:r>
              <w:rPr>
                <w:rFonts w:hint="eastAsia"/>
                <w:b/>
                <w:bCs/>
                <w:sz w:val="30"/>
                <w:szCs w:val="30"/>
              </w:rPr>
              <w:t>实验日期：2026.10.27</w:t>
            </w:r>
            <w:r>
              <w:rPr>
                <w:rFonts w:hint="eastAsia"/>
                <w:b/>
                <w:bCs/>
                <w:sz w:val="30"/>
                <w:szCs w:val="30"/>
                <w:lang w:val="en-US" w:eastAsia="zh-CN"/>
              </w:rPr>
            </w:r>
          </w:p>
        </w:tc>
      </w:tr>
    </w:tbl>
    <w:p w14:paraId="0DB975BF">
      <w:pPr>
        <w:widowControl/>
        <w:jc w:val="left"/>
      </w:pPr>
    </w:p>
    <w:p w14:paraId="6C6BCEA3">
      <w:pPr>
        <w:widowControl/>
        <w:jc w:val="left"/>
        <w:rPr>
          <w:b/>
          <w:bCs/>
          <w:sz w:val="24"/>
          <w:szCs w:val="24"/>
        </w:rPr>
      </w:pPr>
      <w:r>
        <w:rPr>
          <w:rFonts w:hint="eastAsia"/>
        </w:rPr>
        <w:t xml:space="preserve">                                                  </w:t>
      </w:r>
    </w:p>
    <w:p w14:paraId="2147AAE7">
      <w:pPr>
        <w:widowControl/>
        <w:jc w:val="left"/>
      </w:pPr>
      <w:r>
        <w:br w:type="page"/>
      </w:r>
    </w:p>
    <w:p w14:paraId="3FE154A3">
      <w:pPr>
        <w:spacing w:before="120" w:after="120"/>
        <w:jc w:val="center"/>
        <w:outlineLvl w:val="0"/>
        <w:rPr>
          <w:rFonts w:ascii="黑体" w:eastAsia="黑体"/>
          <w:sz w:val="32"/>
          <w:szCs w:val="32"/>
        </w:rPr>
      </w:pPr>
      <w:r>
        <w:rPr>
          <w:rFonts w:hint="eastAsia" w:ascii="黑体" w:eastAsia="黑体"/>
          <w:sz w:val="32"/>
          <w:szCs w:val="32"/>
        </w:rPr>
        <w:t>《云计算与大数据处理》课程实验报告</w:t>
      </w:r>
      <w:r>
        <w:rPr>
          <w:rFonts w:ascii="黑体" w:eastAsia="黑体"/>
          <w:sz w:val="32"/>
          <w:szCs w:val="32"/>
        </w:rPr>
      </w:r>
      <w:r>
        <w:rPr>
          <w:rFonts w:hint="eastAsia" w:ascii="黑体" w:eastAsia="黑体"/>
          <w:sz w:val="32"/>
          <w:szCs w:val="32"/>
        </w:rPr>
      </w:r>
    </w:p>
    <w:tbl>
      <w:tblPr>
        <w:tblStyle w:val="8"/>
        <w:tblW w:w="927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80"/>
        <w:gridCol w:w="1260"/>
        <w:gridCol w:w="1166"/>
        <w:gridCol w:w="1172"/>
        <w:gridCol w:w="1082"/>
        <w:gridCol w:w="1080"/>
        <w:gridCol w:w="1080"/>
        <w:gridCol w:w="1350"/>
      </w:tblGrid>
      <w:tr w14:paraId="5361D3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80" w:type="dxa"/>
            <w:vAlign w:val="center"/>
          </w:tcPr>
          <w:p>
            <w:pPr>
              <w:jc w:val="center"/>
            </w:pPr>
            <w:r>
              <w:rPr>
                <w:rFonts w:ascii="宋体" w:hAnsi="宋体" w:eastAsia="宋体"/>
                <w:b w:val="0"/>
                <w:sz w:val="21"/>
              </w:rPr>
              <w:t>实验名称</w:t>
            </w:r>
          </w:p>
        </w:tc>
        <w:tc>
          <w:tcPr>
            <w:tcW w:w="5760" w:type="dxa"/>
            <w:gridSpan w:val="5"/>
            <w:vAlign w:val="center"/>
          </w:tcPr>
          <w:p>
            <w:pPr>
              <w:jc w:val="center"/>
            </w:pPr>
            <w:r>
              <w:rPr>
                <w:rFonts w:ascii="宋体" w:hAnsi="宋体" w:eastAsia="宋体"/>
                <w:b w:val="0"/>
                <w:sz w:val="21"/>
              </w:rPr>
              <w:t>数据湖与质量契约</w:t>
            </w:r>
          </w:p>
        </w:tc>
        <w:tc>
          <w:tcPr>
            <w:tcW w:w="1080" w:type="dxa"/>
            <w:vAlign w:val="center"/>
          </w:tcPr>
          <w:p>
            <w:pPr>
              <w:jc w:val="center"/>
            </w:pPr>
            <w:r>
              <w:rPr>
                <w:rFonts w:ascii="宋体" w:hAnsi="宋体" w:eastAsia="宋体"/>
                <w:b w:val="0"/>
                <w:sz w:val="21"/>
              </w:rPr>
              <w:t>实验序号</w:t>
            </w:r>
          </w:p>
        </w:tc>
        <w:tc>
          <w:tcPr>
            <w:tcW w:w="1350" w:type="dxa"/>
            <w:vAlign w:val="center"/>
          </w:tcPr>
          <w:p>
            <w:pPr>
              <w:jc w:val="center"/>
            </w:pPr>
            <w:r>
              <w:rPr>
                <w:rFonts w:ascii="宋体" w:hAnsi="宋体" w:eastAsia="宋体"/>
                <w:b w:val="0"/>
                <w:sz w:val="21"/>
              </w:rPr>
              <w:t>02</w:t>
            </w:r>
          </w:p>
        </w:tc>
      </w:tr>
      <w:tr w14:paraId="390AAE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80" w:type="dxa"/>
            <w:tcBorders>
              <w:bottom w:val="single" w:color="auto" w:sz="6" w:space="0"/>
            </w:tcBorders>
            <w:vAlign w:val="center"/>
          </w:tcPr>
          <w:p>
            <w:pPr>
              <w:jc w:val="center"/>
            </w:pPr>
            <w:r>
              <w:rPr>
                <w:rFonts w:ascii="宋体" w:hAnsi="宋体" w:eastAsia="宋体"/>
                <w:b w:val="0"/>
                <w:sz w:val="21"/>
              </w:rPr>
              <w:t>姓    名</w:t>
            </w:r>
          </w:p>
        </w:tc>
        <w:tc>
          <w:tcPr>
            <w:tcW w:w="1260" w:type="dxa"/>
            <w:tcBorders>
              <w:bottom w:val="single" w:color="auto" w:sz="6" w:space="0"/>
            </w:tcBorders>
            <w:vAlign w:val="center"/>
          </w:tcPr>
          <w:p>
            <w:pPr>
              <w:jc w:val="center"/>
            </w:pPr>
            <w:r>
              <w:rPr>
                <w:rFonts w:ascii="宋体" w:hAnsi="宋体" w:eastAsia="宋体"/>
                <w:b w:val="0"/>
                <w:sz w:val="21"/>
              </w:rPr>
              <w:t>龚治榕</w:t>
            </w:r>
          </w:p>
        </w:tc>
        <w:tc>
          <w:tcPr>
            <w:tcW w:w="1166" w:type="dxa"/>
            <w:tcBorders>
              <w:bottom w:val="single" w:color="auto" w:sz="6" w:space="0"/>
            </w:tcBorders>
            <w:vAlign w:val="center"/>
          </w:tcPr>
          <w:p>
            <w:pPr>
              <w:jc w:val="center"/>
            </w:pPr>
            <w:r>
              <w:rPr>
                <w:rFonts w:ascii="宋体" w:hAnsi="宋体" w:eastAsia="宋体"/>
                <w:b w:val="0"/>
                <w:sz w:val="21"/>
              </w:rPr>
              <w:t>专  业</w:t>
            </w:r>
          </w:p>
        </w:tc>
        <w:tc>
          <w:tcPr>
            <w:tcW w:w="1172" w:type="dxa"/>
            <w:tcBorders>
              <w:bottom w:val="single" w:color="auto" w:sz="6" w:space="0"/>
            </w:tcBorders>
            <w:vAlign w:val="center"/>
          </w:tcPr>
          <w:p>
            <w:pPr>
              <w:jc w:val="center"/>
            </w:pPr>
            <w:r>
              <w:rPr>
                <w:rFonts w:ascii="宋体" w:hAnsi="宋体" w:eastAsia="宋体"/>
                <w:b w:val="0"/>
                <w:sz w:val="21"/>
              </w:rPr>
              <w:t>计科</w:t>
            </w:r>
          </w:p>
        </w:tc>
        <w:tc>
          <w:tcPr>
            <w:tcW w:w="1082" w:type="dxa"/>
            <w:tcBorders>
              <w:bottom w:val="single" w:color="auto" w:sz="6" w:space="0"/>
            </w:tcBorders>
            <w:vAlign w:val="center"/>
          </w:tcPr>
          <w:p>
            <w:pPr>
              <w:jc w:val="center"/>
            </w:pPr>
            <w:r>
              <w:rPr>
                <w:rFonts w:ascii="宋体" w:hAnsi="宋体" w:eastAsia="宋体"/>
                <w:b w:val="0"/>
                <w:sz w:val="21"/>
              </w:rPr>
              <w:t>班    级</w:t>
            </w:r>
          </w:p>
        </w:tc>
        <w:tc>
          <w:tcPr>
            <w:tcW w:w="1080" w:type="dxa"/>
            <w:tcBorders>
              <w:bottom w:val="single" w:color="auto" w:sz="6" w:space="0"/>
            </w:tcBorders>
            <w:vAlign w:val="center"/>
          </w:tcPr>
          <w:p>
            <w:pPr>
              <w:jc w:val="center"/>
            </w:pPr>
            <w:r>
              <w:rPr>
                <w:rFonts w:ascii="宋体" w:hAnsi="宋体" w:eastAsia="宋体"/>
                <w:b w:val="0"/>
                <w:sz w:val="21"/>
              </w:rPr>
              <w:t>24计科3</w:t>
            </w:r>
          </w:p>
        </w:tc>
        <w:tc>
          <w:tcPr>
            <w:tcW w:w="1080" w:type="dxa"/>
            <w:tcBorders>
              <w:bottom w:val="single" w:color="auto" w:sz="6" w:space="0"/>
            </w:tcBorders>
            <w:vAlign w:val="center"/>
          </w:tcPr>
          <w:p>
            <w:pPr>
              <w:jc w:val="center"/>
            </w:pPr>
            <w:r>
              <w:rPr>
                <w:rFonts w:ascii="宋体" w:hAnsi="宋体" w:eastAsia="宋体"/>
                <w:b w:val="0"/>
                <w:sz w:val="21"/>
              </w:rPr>
              <w:t>学    号</w:t>
            </w:r>
          </w:p>
        </w:tc>
        <w:tc>
          <w:tcPr>
            <w:tcW w:w="1350" w:type="dxa"/>
            <w:tcBorders>
              <w:bottom w:val="single" w:color="auto" w:sz="6" w:space="0"/>
            </w:tcBorders>
            <w:vAlign w:val="center"/>
          </w:tcPr>
          <w:p>
            <w:pPr>
              <w:jc w:val="center"/>
            </w:pPr>
            <w:r>
              <w:rPr>
                <w:rFonts w:ascii="宋体" w:hAnsi="宋体" w:eastAsia="宋体"/>
                <w:b w:val="0"/>
                <w:sz w:val="21"/>
              </w:rPr>
              <w:t>2410311308</w:t>
            </w:r>
          </w:p>
        </w:tc>
      </w:tr>
      <w:tr w14:paraId="4410A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80" w:type="dxa"/>
            <w:tcBorders>
              <w:bottom w:val="single" w:color="auto" w:sz="6" w:space="0"/>
            </w:tcBorders>
            <w:vAlign w:val="center"/>
          </w:tcPr>
          <w:p>
            <w:pPr>
              <w:jc w:val="center"/>
            </w:pPr>
            <w:r>
              <w:rPr>
                <w:rFonts w:ascii="宋体" w:hAnsi="宋体" w:eastAsia="宋体"/>
                <w:b w:val="0"/>
                <w:sz w:val="21"/>
              </w:rPr>
              <w:t>实验类型</w:t>
            </w:r>
          </w:p>
        </w:tc>
        <w:tc>
          <w:tcPr>
            <w:tcW w:w="1260" w:type="dxa"/>
            <w:tcBorders>
              <w:bottom w:val="single" w:color="auto" w:sz="6" w:space="0"/>
            </w:tcBorders>
            <w:vAlign w:val="center"/>
          </w:tcPr>
          <w:p>
            <w:pPr>
              <w:jc w:val="center"/>
            </w:pPr>
            <w:r>
              <w:rPr>
                <w:rFonts w:ascii="宋体" w:hAnsi="宋体" w:eastAsia="宋体"/>
                <w:b w:val="0"/>
                <w:sz w:val="21"/>
              </w:rPr>
              <w:t>综合型</w:t>
            </w:r>
          </w:p>
        </w:tc>
        <w:tc>
          <w:tcPr>
            <w:tcW w:w="1166" w:type="dxa"/>
            <w:tcBorders>
              <w:bottom w:val="single" w:color="auto" w:sz="6" w:space="0"/>
            </w:tcBorders>
            <w:vAlign w:val="center"/>
          </w:tcPr>
          <w:p>
            <w:pPr>
              <w:jc w:val="center"/>
            </w:pPr>
            <w:r>
              <w:rPr>
                <w:rFonts w:ascii="宋体" w:hAnsi="宋体" w:eastAsia="宋体"/>
                <w:b w:val="0"/>
                <w:sz w:val="21"/>
              </w:rPr>
              <w:t>实验日期</w:t>
            </w:r>
          </w:p>
        </w:tc>
        <w:tc>
          <w:tcPr>
            <w:tcW w:w="1172" w:type="dxa"/>
            <w:tcBorders>
              <w:bottom w:val="single" w:color="auto" w:sz="6" w:space="0"/>
            </w:tcBorders>
            <w:vAlign w:val="center"/>
          </w:tcPr>
          <w:p>
            <w:pPr>
              <w:jc w:val="center"/>
            </w:pPr>
            <w:r>
              <w:rPr>
                <w:rFonts w:ascii="宋体" w:hAnsi="宋体" w:eastAsia="宋体"/>
                <w:b w:val="0"/>
                <w:sz w:val="21"/>
              </w:rPr>
              <w:t>10.27</w:t>
            </w:r>
          </w:p>
        </w:tc>
        <w:tc>
          <w:tcPr>
            <w:tcW w:w="1082" w:type="dxa"/>
            <w:tcBorders>
              <w:bottom w:val="single" w:color="auto" w:sz="6" w:space="0"/>
            </w:tcBorders>
            <w:vAlign w:val="center"/>
          </w:tcPr>
          <w:p>
            <w:pPr>
              <w:jc w:val="center"/>
            </w:pPr>
            <w:r>
              <w:rPr>
                <w:rFonts w:ascii="宋体" w:hAnsi="宋体" w:eastAsia="宋体"/>
                <w:b w:val="0"/>
                <w:sz w:val="21"/>
              </w:rPr>
              <w:t>指导教师</w:t>
            </w:r>
          </w:p>
        </w:tc>
        <w:tc>
          <w:tcPr>
            <w:tcW w:w="1080" w:type="dxa"/>
            <w:tcBorders>
              <w:bottom w:val="single" w:color="auto" w:sz="6" w:space="0"/>
            </w:tcBorders>
            <w:vAlign w:val="center"/>
          </w:tcPr>
          <w:p>
            <w:pPr>
              <w:jc w:val="center"/>
            </w:pPr>
            <w:r>
              <w:rPr>
                <w:rFonts w:ascii="宋体" w:hAnsi="宋体" w:eastAsia="宋体"/>
                <w:b w:val="0"/>
                <w:sz w:val="21"/>
              </w:rPr>
              <w:t>刘锦行</w:t>
            </w:r>
          </w:p>
        </w:tc>
        <w:tc>
          <w:tcPr>
            <w:tcW w:w="1080" w:type="dxa"/>
            <w:tcBorders>
              <w:bottom w:val="single" w:color="auto" w:sz="6" w:space="0"/>
            </w:tcBorders>
            <w:vAlign w:val="center"/>
          </w:tcPr>
          <w:p>
            <w:pPr>
              <w:jc w:val="center"/>
            </w:pPr>
            <w:r>
              <w:rPr>
                <w:rFonts w:ascii="宋体" w:hAnsi="宋体" w:eastAsia="宋体"/>
                <w:b w:val="0"/>
                <w:sz w:val="21"/>
              </w:rPr>
              <w:t>成    绩</w:t>
            </w:r>
          </w:p>
        </w:tc>
        <w:tc>
          <w:tcPr>
            <w:tcW w:w="1350" w:type="dxa"/>
            <w:tcBorders>
              <w:bottom w:val="single" w:color="auto" w:sz="6" w:space="0"/>
            </w:tcBorders>
            <w:vAlign w:val="center"/>
          </w:tcPr>
          <w:p>
            <w:pPr>
              <w:jc w:val="center"/>
            </w:pPr>
            <w:r>
              <w:rPr>
                <w:rFonts w:ascii="宋体" w:hAnsi="宋体" w:eastAsia="宋体"/>
                <w:b w:val="0"/>
                <w:sz w:val="21"/>
              </w:rPr>
            </w:r>
          </w:p>
        </w:tc>
      </w:tr>
    </w:tbl>
    <w:p w14:paraId="4D28F3E5">
      <w:pPr>
        <w:widowControl/>
        <w:jc w:val="left"/>
        <w:rPr>
          <w:b/>
          <w:bCs/>
          <w:sz w:val="28"/>
          <w:szCs w:val="28"/>
          <w:highlight w:val="yellow"/>
        </w:rPr>
      </w:pPr>
    </w:p>
    <w:p>
      <w:pPr>
        <w:spacing w:before="160" w:after="40"/>
      </w:pPr>
      <w:r>
        <w:rPr>
          <w:rFonts w:ascii="宋体" w:hAnsi="宋体" w:eastAsia="宋体"/>
          <w:b/>
          <w:sz w:val="21"/>
        </w:rPr>
        <w:t>一、实验目的与环境</w:t>
      </w:r>
    </w:p>
    <w:p>
      <w:pPr>
        <w:spacing w:before="0" w:after="0"/>
      </w:pPr>
      <w:r>
        <w:rPr>
          <w:rFonts w:ascii="宋体" w:hAnsi="宋体" w:eastAsia="宋体"/>
          <w:b w:val="0"/>
          <w:sz w:val="21"/>
        </w:rPr>
        <w:t>实验目的：</w:t>
      </w:r>
    </w:p>
    <w:p>
      <w:pPr>
        <w:spacing w:before="0" w:after="0"/>
      </w:pPr>
      <w:r>
        <w:rPr>
          <w:rFonts w:ascii="宋体" w:hAnsi="宋体" w:eastAsia="宋体"/>
          <w:b w:val="0"/>
          <w:sz w:val="21"/>
        </w:rPr>
        <w:t>1.用十行以内的小表区分非法、重复和同 ID 冲突，并建立数量守恒关系。</w:t>
      </w:r>
    </w:p>
    <w:p>
      <w:pPr>
        <w:spacing w:before="0" w:after="0"/>
      </w:pPr>
      <w:r>
        <w:rPr>
          <w:rFonts w:ascii="宋体" w:hAnsi="宋体" w:eastAsia="宋体"/>
          <w:b w:val="0"/>
          <w:sz w:val="21"/>
        </w:rPr>
        <w:t>2.运行脚手架生成 Silver 与 Gold 两层数据，用 SQL 核对总量和来源。</w:t>
      </w:r>
    </w:p>
    <w:p>
      <w:pPr>
        <w:spacing w:before="0" w:after="0"/>
      </w:pPr>
      <w:r>
        <w:rPr>
          <w:rFonts w:ascii="宋体" w:hAnsi="宋体" w:eastAsia="宋体"/>
          <w:b w:val="0"/>
          <w:sz w:val="21"/>
        </w:rPr>
        <w:t>3.补全一项质量规则，用变式说明误拒绝和漏接收的代价。</w:t>
      </w:r>
    </w:p>
    <w:p>
      <w:pPr>
        <w:spacing w:before="0" w:after="0"/>
      </w:pPr>
      <w:r>
        <w:rPr>
          <w:rFonts w:ascii="宋体" w:hAnsi="宋体" w:eastAsia="宋体"/>
          <w:b w:val="0"/>
          <w:sz w:val="21"/>
        </w:rPr>
        <w:t>4.比较 CSV、未压缩 Parquet 与 Zstd Parquet 的存储体积与查询耗时。</w:t>
      </w:r>
    </w:p>
    <w:p>
      <w:pPr>
        <w:spacing w:before="0" w:after="0"/>
      </w:pPr>
      <w:r>
        <w:rPr>
          <w:rFonts w:ascii="宋体" w:hAnsi="宋体" w:eastAsia="宋体"/>
          <w:b w:val="0"/>
          <w:sz w:val="21"/>
        </w:rPr>
        <w:t>5.用清单哈希核验文件血缘，并说明清单与 ACID 事务的区别。</w:t>
      </w:r>
    </w:p>
    <w:p>
      <w:pPr>
        <w:spacing w:before="0" w:after="0"/>
      </w:pPr>
      <w:r>
        <w:rPr>
          <w:rFonts w:ascii="宋体" w:hAnsi="宋体" w:eastAsia="宋体"/>
          <w:b w:val="0"/>
          <w:sz w:val="21"/>
        </w:rPr>
        <w:t>数据湖：集中保存不同类型、不同加工阶段数据的体系。本课程用本地三层目录学习组织与处理规则：原始层 Bronze 保留含坏行和重复的 JSONL，清洗层 Silver 只保留合法且 event_id 唯一的 Parquet，应用层 Gold 存放固定 SQL 聚合结果。这些层名表示加工职责，不表示不同物理机器。</w:t>
      </w:r>
    </w:p>
    <w:p>
      <w:pPr>
        <w:spacing w:before="0" w:after="0"/>
      </w:pPr>
      <w:r>
        <w:rPr>
          <w:rFonts w:ascii="宋体" w:hAnsi="宋体" w:eastAsia="宋体"/>
          <w:b w:val="0"/>
          <w:sz w:val="21"/>
        </w:rPr>
        <w:t>质量契约：约定一条记录必须具备的字段、类型、范围和关系，既服务于生产数据的人，也服务于消费数据的人。本章使用的 DuckDB 是可在 Python 进程内运行的分析型 SQL 引擎，PyArrow 是内存表与 Parquet 之间的转换接口。</w:t>
      </w:r>
    </w:p>
    <w:p>
      <w:pPr>
        <w:spacing w:before="0" w:after="0"/>
      </w:pPr>
      <w:r>
        <w:rPr>
          <w:rFonts w:ascii="宋体" w:hAnsi="宋体" w:eastAsia="宋体"/>
          <w:b w:val="0"/>
          <w:sz w:val="21"/>
        </w:rPr>
        <w:t>实验环境：硬件与系统基线</w:t>
      </w:r>
    </w:p>
    <w:p>
      <w:pPr>
        <w:spacing w:before="0" w:after="0"/>
      </w:pPr>
      <w:r>
        <w:rPr>
          <w:rFonts w:ascii="宋体" w:hAnsi="宋体" w:eastAsia="宋体"/>
          <w:b w:val="0"/>
          <w:sz w:val="21"/>
        </w:rPr>
        <w:t>Windows 10.0.26200（64 位），CPU 运行，Python 3.12.10，沿用实验 01 的虚拟环境，未重新安装</w:t>
      </w:r>
    </w:p>
    <w:p>
      <w:pPr>
        <w:spacing w:before="0" w:after="0"/>
      </w:pPr>
      <w:r>
        <w:rPr>
          <w:rFonts w:ascii="宋体" w:hAnsi="宋体" w:eastAsia="宋体"/>
          <w:b w:val="0"/>
          <w:sz w:val="21"/>
        </w:rPr>
        <w:t>关键依赖版本</w:t>
      </w:r>
    </w:p>
    <w:p>
      <w:pPr>
        <w:spacing w:before="0" w:after="0"/>
      </w:pPr>
      <w:r>
        <w:rPr>
          <w:rFonts w:ascii="宋体" w:hAnsi="宋体" w:eastAsia="宋体"/>
          <w:b w:val="0"/>
          <w:sz w:val="21"/>
        </w:rPr>
        <w:t>duckdb 1.5.5、pyarrow 25.0.1、pandas 3.0.5、numpy 2.5.3，pip check 无冲突</w:t>
      </w:r>
    </w:p>
    <w:p>
      <w:pPr>
        <w:spacing w:before="0" w:after="0"/>
      </w:pPr>
      <w:r>
        <w:rPr>
          <w:rFonts w:ascii="宋体" w:hAnsi="宋体" w:eastAsia="宋体"/>
          <w:b w:val="0"/>
          <w:sz w:val="21"/>
        </w:rPr>
        <w:t>本实验关键配置</w:t>
      </w:r>
    </w:p>
    <w:p>
      <w:pPr>
        <w:spacing w:before="0" w:after="0"/>
      </w:pPr>
      <w:r>
        <w:rPr>
          <w:rFonts w:ascii="宋体" w:hAnsi="宋体" w:eastAsia="宋体"/>
          <w:b w:val="0"/>
          <w:sz w:val="21"/>
        </w:rPr>
        <w:t>课程根目录 E:\Desktop\2410311308_龚治榕_云计算实验\BDP，解释器 .venv\Scripts\python.exe，数据来源为实验 01 生成的 data/raw/events.jsonl</w:t>
      </w:r>
    </w:p>
    <w:p>
      <w:pPr>
        <w:spacing w:before="0" w:after="0"/>
      </w:pPr>
      <w:hyperlink r:id="rId29">
        <w:r>
          <w:rPr>
            <w:rFonts w:ascii="宋体" w:hAnsi="宋体" w:eastAsia="宋体"/>
            <w:b/>
            <w:color w:val="FF0000"/>
            <w:sz w:val="21"/>
          </w:rPr>
          <w:t>代码、截图与运行证据仓库：https://github.com/yiyun2026/bdp-coursework（点击可跳转）</w:t>
        </w:r>
      </w:hyperlink>
    </w:p>
    <w:p>
      <w:pPr>
        <w:spacing w:before="160" w:after="40"/>
      </w:pPr>
      <w:r>
        <w:rPr>
          <w:rFonts w:ascii="宋体" w:hAnsi="宋体" w:eastAsia="宋体"/>
          <w:b/>
          <w:sz w:val="21"/>
        </w:rPr>
        <w:t>二、实验内容与步骤</w:t>
      </w:r>
    </w:p>
    <w:p>
      <w:pPr>
        <w:spacing w:before="0" w:after="0"/>
      </w:pPr>
      <w:r>
        <w:rPr>
          <w:rFonts w:ascii="宋体" w:hAnsi="宋体" w:eastAsia="宋体"/>
          <w:b w:val="0"/>
          <w:color w:val="FF0000"/>
          <w:sz w:val="21"/>
        </w:rPr>
        <w:t>工作目录:2410311308_龚治榕_云计算实验\BDP(课程仓库根目录，个人修改在 submissions\lab02)</w:t>
      </w:r>
    </w:p>
    <w:p>
      <w:pPr>
        <w:spacing w:before="80" w:after="0"/>
      </w:pPr>
      <w:r>
        <w:rPr>
          <w:rFonts w:ascii="宋体" w:hAnsi="宋体" w:eastAsia="宋体"/>
          <w:b w:val="0"/>
          <w:sz w:val="21"/>
        </w:rPr>
        <w:t>o实验内容</w:t>
      </w:r>
    </w:p>
    <w:p>
      <w:pPr>
        <w:spacing w:before="0" w:after="0"/>
      </w:pPr>
      <w:r>
        <w:rPr>
          <w:rFonts w:ascii="宋体" w:hAnsi="宋体" w:eastAsia="宋体"/>
          <w:b w:val="0"/>
          <w:sz w:val="21"/>
        </w:rPr>
        <w:t>实验 01 证明了文件经过 S3 API 往返后字节未变，但没有证明内容适合分析。本章在本人笔记本上分析合成服务记录：如果把重复请求算两次，统计会偏高；如果把负 Token 视作退款，统计可能偏低；如果无效时间混进分组，日统计会失真。本章把这些判断写成明确、可执行的规则，并让坏行进入隔离区而不是默默消失。</w:t>
      </w:r>
    </w:p>
    <w:p>
      <w:pPr>
        <w:spacing w:before="0" w:after="0"/>
      </w:pPr>
      <w:r>
        <w:rPr>
          <w:rFonts w:ascii="宋体" w:hAnsi="宋体" w:eastAsia="宋体"/>
          <w:b w:val="0"/>
          <w:sz w:val="21"/>
        </w:rPr>
        <w:t>加工链路如下：</w:t>
      </w:r>
    </w:p>
    <w:p>
      <w:pPr>
        <w:spacing w:before="0" w:after="0"/>
      </w:pPr>
      <w:r>
        <w:rPr>
          <w:rFonts w:ascii="宋体" w:hAnsi="宋体" w:eastAsia="宋体"/>
          <w:b w:val="0"/>
          <w:sz w:val="21"/>
        </w:rPr>
        <w:t>原始层 Bronze：保留收到的原始 JSONL，含坏行和重复 → 校验 + 隔离 + 明确去重 → 清洗层 Silver：仅保留合法且 event_id 唯一的 Parquet → 固定 SQL 聚合 → 应用层 Gold：按日期与服务汇总的 Parquet</w:t>
      </w:r>
    </w:p>
    <w:p>
      <w:pPr>
        <w:spacing w:before="0" w:after="0"/>
      </w:pPr>
      <w:r>
        <w:rPr>
          <w:rFonts w:ascii="宋体" w:hAnsi="宋体" w:eastAsia="宋体"/>
          <w:b w:val="0"/>
          <w:sz w:val="21"/>
        </w:rPr>
        <w:t>主键：唯一标识一个业务对象的字段，本课程用 event_id 标识事件。两行值相同但 ID 不同，可能是两次真实请求，不能仅因内容相似就删掉一条。幂等：相同操作重复执行不产生重复的业务效果。隔离区 quarantine：保存拒绝的数据和原因，让数据问题可追溯。数据血缘：记录某个产物来自哪份输入、经过什么规则与过程，本课程用清单哈希和契约版本表达最小血缘。</w:t>
      </w:r>
    </w:p>
    <w:p>
      <w:pPr>
        <w:spacing w:before="80" w:after="0"/>
      </w:pPr>
      <w:r>
        <w:rPr>
          <w:rFonts w:ascii="宋体" w:hAnsi="宋体" w:eastAsia="宋体"/>
          <w:b w:val="0"/>
          <w:sz w:val="21"/>
        </w:rPr>
        <w:t>o实验步骤</w:t>
      </w:r>
    </w:p>
    <w:p>
      <w:pPr>
        <w:spacing w:before="0" w:after="0"/>
      </w:pPr>
      <w:r>
        <w:rPr>
          <w:rFonts w:ascii="宋体" w:hAnsi="宋体" w:eastAsia="宋体"/>
          <w:b w:val="0"/>
          <w:sz w:val="21"/>
        </w:rPr>
        <w:t>1. 前置检查与身份登记</w:t>
      </w:r>
    </w:p>
    <w:p>
      <w:pPr>
        <w:spacing w:before="0" w:after="0"/>
      </w:pPr>
      <w:r>
        <w:rPr>
          <w:rFonts w:ascii="宋体" w:hAnsi="宋体" w:eastAsia="宋体"/>
          <w:b w:val="0"/>
          <w:sz w:val="21"/>
        </w:rPr>
        <w:t>1.1 设置编码并确认课程根目录</w:t>
      </w:r>
    </w:p>
    <w:p>
      <w:pPr>
        <w:spacing w:before="0" w:after="0"/>
      </w:pPr>
      <w:r>
        <w:rPr>
          <w:rFonts w:ascii="宋体" w:hAnsi="宋体" w:eastAsia="宋体"/>
          <w:b w:val="0"/>
          <w:sz w:val="21"/>
        </w:rPr>
        <w:t>沿用实验 01 的 .venv，不重新安装环境、不重新生成原始文件。</w:t>
      </w:r>
    </w:p>
    <w:p>
      <w:pPr>
        <w:keepNext/>
        <w:keepLines/>
        <w:spacing w:before="40" w:after="0" w:line="240" w:lineRule="auto"/>
        <w:jc w:val="center"/>
      </w:pPr>
      <w:r>
        <w:drawing>
          <wp:inline xmlns:a="http://schemas.openxmlformats.org/drawingml/2006/main" xmlns:pic="http://schemas.openxmlformats.org/drawingml/2006/picture">
            <wp:extent cx="3600000" cy="620225"/>
            <wp:docPr id="1260220703" name="Picture 1260220703"/>
            <wp:cNvGraphicFramePr>
              <a:graphicFrameLocks noChangeAspect="1"/>
            </wp:cNvGraphicFramePr>
            <a:graphic>
              <a:graphicData uri="http://schemas.openxmlformats.org/drawingml/2006/picture">
                <pic:pic>
                  <pic:nvPicPr>
                    <pic:cNvPr id="0" name="设置编码.png"/>
                    <pic:cNvPicPr/>
                  </pic:nvPicPr>
                  <pic:blipFill>
                    <a:blip r:embed="rId30"/>
                    <a:stretch>
                      <a:fillRect/>
                    </a:stretch>
                  </pic:blipFill>
                  <pic:spPr>
                    <a:xfrm>
                      <a:off x="0" y="0"/>
                      <a:ext cx="3600000" cy="620225"/>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设置 PYTHONUTF8，确认位于课程根目录</w:t>
      </w:r>
    </w:p>
    <w:p>
      <w:pPr>
        <w:spacing w:before="0" w:after="0"/>
      </w:pPr>
      <w:r>
        <w:rPr>
          <w:rFonts w:ascii="宋体" w:hAnsi="宋体" w:eastAsia="宋体"/>
          <w:b w:val="0"/>
          <w:sz w:val="21"/>
        </w:rPr>
        <w:t>1.2 登记本人学号并检查前置数据</w:t>
      </w:r>
    </w:p>
    <w:p>
      <w:pPr>
        <w:spacing w:before="0" w:after="0"/>
      </w:pPr>
      <w:r>
        <w:rPr>
          <w:rFonts w:ascii="宋体" w:hAnsi="宋体" w:eastAsia="宋体"/>
          <w:b w:val="0"/>
          <w:sz w:val="21"/>
        </w:rPr>
        <w:t>本章使用实验号 02。学号按字符串保存并保留前导零，登记后不允许覆盖为另一学号。</w:t>
      </w:r>
    </w:p>
    <w:p>
      <w:pPr>
        <w:keepNext/>
        <w:keepLines/>
        <w:spacing w:before="40" w:after="0" w:line="240" w:lineRule="auto"/>
        <w:jc w:val="center"/>
      </w:pPr>
      <w:r>
        <w:drawing>
          <wp:inline xmlns:a="http://schemas.openxmlformats.org/drawingml/2006/main" xmlns:pic="http://schemas.openxmlformats.org/drawingml/2006/picture">
            <wp:extent cx="3600000" cy="3348000"/>
            <wp:docPr id="1260220704" name="Picture 1260220704"/>
            <wp:cNvGraphicFramePr>
              <a:graphicFrameLocks noChangeAspect="1"/>
            </wp:cNvGraphicFramePr>
            <a:graphic>
              <a:graphicData uri="http://schemas.openxmlformats.org/drawingml/2006/picture">
                <pic:pic>
                  <pic:nvPicPr>
                    <pic:cNvPr id="0" name="登记学号前置检查1.png"/>
                    <pic:cNvPicPr/>
                  </pic:nvPicPr>
                  <pic:blipFill>
                    <a:blip r:embed="rId31"/>
                    <a:stretch>
                      <a:fillRect/>
                    </a:stretch>
                  </pic:blipFill>
                  <pic:spPr>
                    <a:xfrm>
                      <a:off x="0" y="0"/>
                      <a:ext cx="3600000" cy="3348000"/>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学号 2410311308，实验号 02，IDENTITY_CODE = 6ac552b6b57a</w:t>
      </w:r>
    </w:p>
    <w:p>
      <w:pPr>
        <w:keepNext/>
        <w:keepLines/>
        <w:spacing w:before="40" w:after="0" w:line="240" w:lineRule="auto"/>
        <w:jc w:val="center"/>
      </w:pPr>
      <w:r>
        <w:drawing>
          <wp:inline xmlns:a="http://schemas.openxmlformats.org/drawingml/2006/main" xmlns:pic="http://schemas.openxmlformats.org/drawingml/2006/picture">
            <wp:extent cx="3600000" cy="1438235"/>
            <wp:docPr id="1260220705" name="Picture 1260220705"/>
            <wp:cNvGraphicFramePr>
              <a:graphicFrameLocks noChangeAspect="1"/>
            </wp:cNvGraphicFramePr>
            <a:graphic>
              <a:graphicData uri="http://schemas.openxmlformats.org/drawingml/2006/picture">
                <pic:pic>
                  <pic:nvPicPr>
                    <pic:cNvPr id="0" name="登记学号前置检查.png"/>
                    <pic:cNvPicPr/>
                  </pic:nvPicPr>
                  <pic:blipFill>
                    <a:blip r:embed="rId32"/>
                    <a:stretch>
                      <a:fillRect/>
                    </a:stretch>
                  </pic:blipFill>
                  <pic:spPr>
                    <a:xfrm>
                      <a:off x="0" y="0"/>
                      <a:ext cx="3600000" cy="1438235"/>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Test-Path 输出 True，raw.json 记录生成规模与摘要</w:t>
      </w:r>
    </w:p>
    <w:p>
      <w:pPr>
        <w:keepNext/>
        <w:keepLines/>
        <w:spacing w:before="40" w:after="0" w:line="240" w:lineRule="auto"/>
        <w:jc w:val="center"/>
      </w:pPr>
      <w:r>
        <w:drawing>
          <wp:inline xmlns:a="http://schemas.openxmlformats.org/drawingml/2006/main" xmlns:pic="http://schemas.openxmlformats.org/drawingml/2006/picture">
            <wp:extent cx="3600000" cy="2126877"/>
            <wp:docPr id="1260220706" name="Picture 1260220706"/>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cddfee846a1549db9abe3f1190d26d54start.html.png"/>
                    <pic:cNvPicPr/>
                  </pic:nvPicPr>
                  <pic:blipFill>
                    <a:blip r:embed="rId33"/>
                    <a:stretch>
                      <a:fillRect/>
                    </a:stretch>
                  </pic:blipFill>
                  <pic:spPr>
                    <a:xfrm>
                      <a:off x="0" y="0"/>
                      <a:ext cx="3600000" cy="2126877"/>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start 证据页，run_id cddfee846a1549db9abe3f1190d26d54</w:t>
      </w:r>
    </w:p>
    <w:p>
      <w:pPr>
        <w:spacing w:before="0" w:after="0"/>
      </w:pPr>
      <w:r>
        <w:rPr>
          <w:rFonts w:ascii="宋体" w:hAnsi="宋体" w:eastAsia="宋体"/>
          <w:b w:val="0"/>
          <w:sz w:val="21"/>
        </w:rPr>
        <w:t>2. 运行主流水线</w:t>
      </w:r>
    </w:p>
    <w:p>
      <w:pPr>
        <w:spacing w:before="0" w:after="0"/>
      </w:pPr>
      <w:r>
        <w:rPr>
          <w:rFonts w:ascii="宋体" w:hAnsi="宋体" w:eastAsia="宋体"/>
          <w:b w:val="0"/>
          <w:sz w:val="21"/>
        </w:rPr>
        <w:t>2.1 执行 lab02</w:t>
      </w:r>
    </w:p>
    <w:p>
      <w:pPr>
        <w:spacing w:before="0" w:after="0"/>
      </w:pPr>
      <w:r>
        <w:rPr>
          <w:rFonts w:ascii="宋体" w:hAnsi="宋体" w:eastAsia="宋体"/>
          <w:b w:val="0"/>
          <w:sz w:val="21"/>
        </w:rPr>
        <w:t>程序清洗数据、写出 Parquet、运行聚合并写出清单。</w:t>
      </w:r>
    </w:p>
    <w:p>
      <w:pPr>
        <w:keepNext/>
        <w:keepLines/>
        <w:spacing w:before="40" w:after="0" w:line="240" w:lineRule="auto"/>
        <w:jc w:val="center"/>
      </w:pPr>
      <w:r>
        <w:drawing>
          <wp:inline xmlns:a="http://schemas.openxmlformats.org/drawingml/2006/main" xmlns:pic="http://schemas.openxmlformats.org/drawingml/2006/picture">
            <wp:extent cx="3600000" cy="3669903"/>
            <wp:docPr id="1260220707" name="Picture 1260220707"/>
            <wp:cNvGraphicFramePr>
              <a:graphicFrameLocks noChangeAspect="1"/>
            </wp:cNvGraphicFramePr>
            <a:graphic>
              <a:graphicData uri="http://schemas.openxmlformats.org/drawingml/2006/picture">
                <pic:pic>
                  <pic:nvPicPr>
                    <pic:cNvPr id="0" name="运行主流水线.png"/>
                    <pic:cNvPicPr/>
                  </pic:nvPicPr>
                  <pic:blipFill>
                    <a:blip r:embed="rId34"/>
                    <a:stretch>
                      <a:fillRect/>
                    </a:stretch>
                  </pic:blipFill>
                  <pic:spPr>
                    <a:xfrm>
                      <a:off x="0" y="0"/>
                      <a:ext cx="3600000" cy="3669903"/>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raw_rows=20102、valid_unique=20000、duplicate_rows=100、rejected_rows=2、conservation=20102</w:t>
      </w:r>
    </w:p>
    <w:p>
      <w:pPr>
        <w:keepNext/>
        <w:keepLines/>
        <w:spacing w:before="40" w:after="0" w:line="240" w:lineRule="auto"/>
        <w:jc w:val="center"/>
      </w:pPr>
      <w:r>
        <w:drawing>
          <wp:inline xmlns:a="http://schemas.openxmlformats.org/drawingml/2006/main" xmlns:pic="http://schemas.openxmlformats.org/drawingml/2006/picture">
            <wp:extent cx="3600000" cy="2802306"/>
            <wp:docPr id="1260220708" name="Picture 1260220708"/>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a578991845f842d88e8895d2e2c2db92verify第一张.html.png"/>
                    <pic:cNvPicPr/>
                  </pic:nvPicPr>
                  <pic:blipFill>
                    <a:blip r:embed="rId35"/>
                    <a:stretch>
                      <a:fillRect/>
                    </a:stretch>
                  </pic:blipFill>
                  <pic:spPr>
                    <a:xfrm>
                      <a:off x="0" y="0"/>
                      <a:ext cx="3600000" cy="280230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verify 证据页第一张，run_id a578991845f842d88e8895d2e2c2db92</w:t>
      </w:r>
    </w:p>
    <w:p>
      <w:pPr>
        <w:keepNext/>
        <w:keepLines/>
        <w:spacing w:before="40" w:after="0" w:line="240" w:lineRule="auto"/>
        <w:jc w:val="center"/>
      </w:pPr>
      <w:r>
        <w:drawing>
          <wp:inline xmlns:a="http://schemas.openxmlformats.org/drawingml/2006/main" xmlns:pic="http://schemas.openxmlformats.org/drawingml/2006/picture">
            <wp:extent cx="3600000" cy="2958947"/>
            <wp:docPr id="1260220709" name="Picture 1260220709"/>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a578991845f842d88e8895d2e2c2db92verify第二张.html.png"/>
                    <pic:cNvPicPr/>
                  </pic:nvPicPr>
                  <pic:blipFill>
                    <a:blip r:embed="rId36"/>
                    <a:stretch>
                      <a:fillRect/>
                    </a:stretch>
                  </pic:blipFill>
                  <pic:spPr>
                    <a:xfrm>
                      <a:off x="0" y="0"/>
                      <a:ext cx="3600000" cy="2958947"/>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verify 证据页第二张，含三个服务聚合结果与产物哈希</w:t>
      </w:r>
    </w:p>
    <w:p>
      <w:pPr>
        <w:spacing w:before="0" w:after="0"/>
      </w:pPr>
      <w:r>
        <w:rPr>
          <w:rFonts w:ascii="宋体" w:hAnsi="宋体" w:eastAsia="宋体"/>
          <w:b w:val="0"/>
          <w:sz w:val="21"/>
        </w:rPr>
        <w:t>2.2 查看质量、隔离与清单三个结果文件</w:t>
      </w:r>
    </w:p>
    <w:p>
      <w:pPr>
        <w:spacing w:before="0" w:after="0"/>
      </w:pPr>
      <w:r>
        <w:rPr>
          <w:rFonts w:ascii="宋体" w:hAnsi="宋体" w:eastAsia="宋体"/>
          <w:b w:val="0"/>
          <w:sz w:val="21"/>
        </w:rPr>
        <w:t>quality.json 记录总量与守恒，quarantine.json 记录被拒行号、原因与原记录，silver.json 记录源文件、Silver、Gold 三个摘要与契约版本。</w:t>
      </w:r>
    </w:p>
    <w:p>
      <w:pPr>
        <w:keepNext/>
        <w:keepLines/>
        <w:spacing w:before="40" w:after="0" w:line="240" w:lineRule="auto"/>
        <w:jc w:val="center"/>
      </w:pPr>
      <w:r>
        <w:drawing>
          <wp:inline xmlns:a="http://schemas.openxmlformats.org/drawingml/2006/main" xmlns:pic="http://schemas.openxmlformats.org/drawingml/2006/picture">
            <wp:extent cx="3600000" cy="3347826"/>
            <wp:docPr id="1260220710" name="Picture 1260220710"/>
            <wp:cNvGraphicFramePr>
              <a:graphicFrameLocks noChangeAspect="1"/>
            </wp:cNvGraphicFramePr>
            <a:graphic>
              <a:graphicData uri="http://schemas.openxmlformats.org/drawingml/2006/picture">
                <pic:pic>
                  <pic:nvPicPr>
                    <pic:cNvPr id="0" name="3个结果文件01.png"/>
                    <pic:cNvPicPr/>
                  </pic:nvPicPr>
                  <pic:blipFill>
                    <a:blip r:embed="rId37"/>
                    <a:stretch>
                      <a:fillRect/>
                    </a:stretch>
                  </pic:blipFill>
                  <pic:spPr>
                    <a:xfrm>
                      <a:off x="0" y="0"/>
                      <a:ext cx="3600000" cy="334782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quality.json：20102 行原始数据，20000 合法独特、100 重复、2 隔离，守恒 20102</w:t>
      </w:r>
    </w:p>
    <w:p>
      <w:pPr>
        <w:keepNext/>
        <w:keepLines/>
        <w:spacing w:before="40" w:after="0" w:line="240" w:lineRule="auto"/>
        <w:jc w:val="center"/>
      </w:pPr>
      <w:r>
        <w:drawing>
          <wp:inline xmlns:a="http://schemas.openxmlformats.org/drawingml/2006/main" xmlns:pic="http://schemas.openxmlformats.org/drawingml/2006/picture">
            <wp:extent cx="3600000" cy="2419236"/>
            <wp:docPr id="1260220711" name="Picture 1260220711"/>
            <wp:cNvGraphicFramePr>
              <a:graphicFrameLocks noChangeAspect="1"/>
            </wp:cNvGraphicFramePr>
            <a:graphic>
              <a:graphicData uri="http://schemas.openxmlformats.org/drawingml/2006/picture">
                <pic:pic>
                  <pic:nvPicPr>
                    <pic:cNvPr id="0" name="3个结果文件02.png"/>
                    <pic:cNvPicPr/>
                  </pic:nvPicPr>
                  <pic:blipFill>
                    <a:blip r:embed="rId38"/>
                    <a:stretch>
                      <a:fillRect/>
                    </a:stretch>
                  </pic:blipFill>
                  <pic:spPr>
                    <a:xfrm>
                      <a:off x="0" y="0"/>
                      <a:ext cx="3600000" cy="241923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quarantine.json：第 20101 行 invalid_input_tokens，第 20102 行 invalid_event_time</w:t>
      </w:r>
    </w:p>
    <w:p>
      <w:pPr>
        <w:keepNext/>
        <w:keepLines/>
        <w:spacing w:before="40" w:after="0" w:line="240" w:lineRule="auto"/>
        <w:jc w:val="center"/>
      </w:pPr>
      <w:r>
        <w:drawing>
          <wp:inline xmlns:a="http://schemas.openxmlformats.org/drawingml/2006/main" xmlns:pic="http://schemas.openxmlformats.org/drawingml/2006/picture">
            <wp:extent cx="3600000" cy="1006931"/>
            <wp:docPr id="1260220712" name="Picture 1260220712"/>
            <wp:cNvGraphicFramePr>
              <a:graphicFrameLocks noChangeAspect="1"/>
            </wp:cNvGraphicFramePr>
            <a:graphic>
              <a:graphicData uri="http://schemas.openxmlformats.org/drawingml/2006/picture">
                <pic:pic>
                  <pic:nvPicPr>
                    <pic:cNvPr id="0" name="3个结果文件03.png"/>
                    <pic:cNvPicPr/>
                  </pic:nvPicPr>
                  <pic:blipFill>
                    <a:blip r:embed="rId39"/>
                    <a:stretch>
                      <a:fillRect/>
                    </a:stretch>
                  </pic:blipFill>
                  <pic:spPr>
                    <a:xfrm>
                      <a:off x="0" y="0"/>
                      <a:ext cx="3600000" cy="1006931"/>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silver.json：契约版本 2，三份产物摘要齐全</w:t>
      </w:r>
    </w:p>
    <w:p>
      <w:pPr>
        <w:spacing w:before="0" w:after="0"/>
      </w:pPr>
      <w:r>
        <w:rPr>
          <w:rFonts w:ascii="宋体" w:hAnsi="宋体" w:eastAsia="宋体"/>
          <w:b w:val="0"/>
          <w:sz w:val="21"/>
        </w:rPr>
        <w:t>3. 观察 Parquet 结构与查询计划</w:t>
      </w:r>
    </w:p>
    <w:p>
      <w:pPr>
        <w:spacing w:before="0" w:after="0"/>
      </w:pPr>
      <w:r>
        <w:rPr>
          <w:rFonts w:ascii="宋体" w:hAnsi="宋体" w:eastAsia="宋体"/>
          <w:b w:val="0"/>
          <w:sz w:val="21"/>
        </w:rPr>
        <w:t>3.1 读取 Parquet 元数据</w:t>
      </w:r>
    </w:p>
    <w:p>
      <w:pPr>
        <w:spacing w:before="0" w:after="0"/>
      </w:pPr>
      <w:r>
        <w:rPr>
          <w:rFonts w:ascii="宋体" w:hAnsi="宋体" w:eastAsia="宋体"/>
          <w:b w:val="0"/>
          <w:sz w:val="21"/>
        </w:rPr>
        <w:t>默认应有 20000 行，按 4096 行组上限写入形成 5 个行组。</w:t>
      </w:r>
    </w:p>
    <w:p>
      <w:pPr>
        <w:keepNext/>
        <w:keepLines/>
        <w:spacing w:before="40" w:after="0" w:line="240" w:lineRule="auto"/>
        <w:jc w:val="center"/>
      </w:pPr>
      <w:r>
        <w:drawing>
          <wp:inline xmlns:a="http://schemas.openxmlformats.org/drawingml/2006/main" xmlns:pic="http://schemas.openxmlformats.org/drawingml/2006/picture">
            <wp:extent cx="3600000" cy="2112360"/>
            <wp:docPr id="1260220713" name="Picture 1260220713"/>
            <wp:cNvGraphicFramePr>
              <a:graphicFrameLocks noChangeAspect="1"/>
            </wp:cNvGraphicFramePr>
            <a:graphic>
              <a:graphicData uri="http://schemas.openxmlformats.org/drawingml/2006/picture">
                <pic:pic>
                  <pic:nvPicPr>
                    <pic:cNvPr id="0" name="观察parquet结构.png"/>
                    <pic:cNvPicPr/>
                  </pic:nvPicPr>
                  <pic:blipFill>
                    <a:blip r:embed="rId40"/>
                    <a:stretch>
                      <a:fillRect/>
                    </a:stretch>
                  </pic:blipFill>
                  <pic:spPr>
                    <a:xfrm>
                      <a:off x="0" y="0"/>
                      <a:ext cx="3600000" cy="2112360"/>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8 个字段的 schema，rows= 20000 row_groups= 5</w:t>
      </w:r>
    </w:p>
    <w:p>
      <w:pPr>
        <w:keepNext/>
        <w:keepLines/>
        <w:spacing w:before="40" w:after="0" w:line="240" w:lineRule="auto"/>
        <w:jc w:val="center"/>
      </w:pPr>
      <w:r>
        <w:drawing>
          <wp:inline xmlns:a="http://schemas.openxmlformats.org/drawingml/2006/main" xmlns:pic="http://schemas.openxmlformats.org/drawingml/2006/picture">
            <wp:extent cx="3600000" cy="1546930"/>
            <wp:docPr id="1260220714" name="Picture 1260220714"/>
            <wp:cNvGraphicFramePr>
              <a:graphicFrameLocks noChangeAspect="1"/>
            </wp:cNvGraphicFramePr>
            <a:graphic>
              <a:graphicData uri="http://schemas.openxmlformats.org/drawingml/2006/picture">
                <pic:pic>
                  <pic:nvPicPr>
                    <pic:cNvPr id="0" name="观察parquet结构2.png"/>
                    <pic:cNvPicPr/>
                  </pic:nvPicPr>
                  <pic:blipFill>
                    <a:blip r:embed="rId41"/>
                    <a:stretch>
                      <a:fillRect/>
                    </a:stretch>
                  </pic:blipFill>
                  <pic:spPr>
                    <a:xfrm>
                      <a:off x="0" y="0"/>
                      <a:ext cx="3600000" cy="1546930"/>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probe-01 证据页，run_id 32a99557827a43d3927919b26ef2a504</w:t>
      </w:r>
    </w:p>
    <w:p>
      <w:pPr>
        <w:keepNext/>
        <w:keepLines/>
        <w:spacing w:before="40" w:after="0" w:line="240" w:lineRule="auto"/>
        <w:jc w:val="center"/>
      </w:pPr>
      <w:r>
        <w:drawing>
          <wp:inline xmlns:a="http://schemas.openxmlformats.org/drawingml/2006/main" xmlns:pic="http://schemas.openxmlformats.org/drawingml/2006/picture">
            <wp:extent cx="3600000" cy="2480858"/>
            <wp:docPr id="1260220715" name="Picture 1260220715"/>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32a99557827a43d3927919b26ef2a504probe01.html.png"/>
                    <pic:cNvPicPr/>
                  </pic:nvPicPr>
                  <pic:blipFill>
                    <a:blip r:embed="rId42"/>
                    <a:stretch>
                      <a:fillRect/>
                    </a:stretch>
                  </pic:blipFill>
                  <pic:spPr>
                    <a:xfrm>
                      <a:off x="0" y="0"/>
                      <a:ext cx="3600000" cy="2480858"/>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Parquet 结构探针证据页，含完整 stdout</w:t>
      </w:r>
    </w:p>
    <w:p>
      <w:pPr>
        <w:spacing w:before="0" w:after="0"/>
      </w:pPr>
      <w:r>
        <w:rPr>
          <w:rFonts w:ascii="宋体" w:hAnsi="宋体" w:eastAsia="宋体"/>
          <w:b w:val="0"/>
          <w:sz w:val="21"/>
        </w:rPr>
        <w:t>3.2 阅读查询计划</w:t>
      </w:r>
    </w:p>
    <w:p>
      <w:pPr>
        <w:spacing w:before="0" w:after="0"/>
      </w:pPr>
      <w:r>
        <w:rPr>
          <w:rFonts w:ascii="宋体" w:hAnsi="宋体" w:eastAsia="宋体"/>
          <w:b w:val="0"/>
          <w:sz w:val="21"/>
        </w:rPr>
        <w:t>查询计划来自 DuckDB 的 EXPLAIN ANALYZE，描述实际执行操作和测量信息。计划中 TABLE_SCAN 采用 READ_PARQUET，Projections 只有 input_tokens 一列，Filters 为 service='search'，这是列裁剪与谓词下推的直接证据。</w:t>
      </w:r>
    </w:p>
    <w:p>
      <w:pPr>
        <w:spacing w:before="0" w:after="0"/>
      </w:pPr>
      <w:r>
        <w:rPr>
          <w:rFonts w:ascii="宋体" w:hAnsi="宋体" w:eastAsia="宋体"/>
          <w:b w:val="0"/>
          <w:sz w:val="21"/>
        </w:rPr>
        <w:t>4. 用 SQL 核对 Silver 与 Gold 总量</w:t>
      </w:r>
    </w:p>
    <w:p>
      <w:pPr>
        <w:spacing w:before="0" w:after="0"/>
      </w:pPr>
      <w:r>
        <w:rPr>
          <w:rFonts w:ascii="宋体" w:hAnsi="宋体" w:eastAsia="宋体"/>
          <w:b w:val="0"/>
          <w:sz w:val="21"/>
        </w:rPr>
        <w:t>程序先对每个服务计算请求数、输入输出 Token 总量、延迟总和与错误数，再生成每日服务汇总。COUNT(*) 计入所有合法事件，包括 status='error' 的请求，因为请求失败仍可能消耗资源。</w:t>
      </w:r>
    </w:p>
    <w:p>
      <w:pPr>
        <w:keepNext/>
        <w:keepLines/>
        <w:spacing w:before="40" w:after="0" w:line="240" w:lineRule="auto"/>
        <w:jc w:val="center"/>
      </w:pPr>
      <w:r>
        <w:drawing>
          <wp:inline xmlns:a="http://schemas.openxmlformats.org/drawingml/2006/main" xmlns:pic="http://schemas.openxmlformats.org/drawingml/2006/picture">
            <wp:extent cx="3600000" cy="1531076"/>
            <wp:docPr id="1260220716" name="Picture 1260220716"/>
            <wp:cNvGraphicFramePr>
              <a:graphicFrameLocks noChangeAspect="1"/>
            </wp:cNvGraphicFramePr>
            <a:graphic>
              <a:graphicData uri="http://schemas.openxmlformats.org/drawingml/2006/picture">
                <pic:pic>
                  <pic:nvPicPr>
                    <pic:cNvPr id="0" name="核对总量.png"/>
                    <pic:cNvPicPr/>
                  </pic:nvPicPr>
                  <pic:blipFill>
                    <a:blip r:embed="rId43"/>
                    <a:stretch>
                      <a:fillRect/>
                    </a:stretch>
                  </pic:blipFill>
                  <pic:spPr>
                    <a:xfrm>
                      <a:off x="0" y="0"/>
                      <a:ext cx="3600000" cy="153107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每日汇总表与总量核对，totals_match': True</w:t>
      </w:r>
    </w:p>
    <w:p>
      <w:pPr>
        <w:keepNext/>
        <w:keepLines/>
        <w:spacing w:before="40" w:after="0" w:line="240" w:lineRule="auto"/>
        <w:jc w:val="center"/>
      </w:pPr>
      <w:r>
        <w:drawing>
          <wp:inline xmlns:a="http://schemas.openxmlformats.org/drawingml/2006/main" xmlns:pic="http://schemas.openxmlformats.org/drawingml/2006/picture">
            <wp:extent cx="3600000" cy="2314286"/>
            <wp:docPr id="1260220717" name="Picture 1260220717"/>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affccbecbf5c411bb7e60715e35bec69inspect_gold.html.png"/>
                    <pic:cNvPicPr/>
                  </pic:nvPicPr>
                  <pic:blipFill>
                    <a:blip r:embed="rId44"/>
                    <a:stretch>
                      <a:fillRect/>
                    </a:stretch>
                  </pic:blipFill>
                  <pic:spPr>
                    <a:xfrm>
                      <a:off x="0" y="0"/>
                      <a:ext cx="3600000" cy="231428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inspect_gold 证据页，run_id affccbecbf5c411bb7e60715e35bec69</w:t>
      </w:r>
    </w:p>
    <w:p>
      <w:pPr>
        <w:spacing w:before="0" w:after="0"/>
      </w:pPr>
      <w:r>
        <w:rPr>
          <w:rFonts w:ascii="宋体" w:hAnsi="宋体" w:eastAsia="宋体"/>
          <w:b w:val="0"/>
          <w:sz w:val="21"/>
        </w:rPr>
        <w:t>5. 个人改动：新的质量阈值</w:t>
      </w:r>
    </w:p>
    <w:p>
      <w:pPr>
        <w:spacing w:before="0" w:after="0"/>
      </w:pPr>
      <w:r>
        <w:rPr>
          <w:rFonts w:ascii="宋体" w:hAnsi="宋体" w:eastAsia="宋体"/>
          <w:b w:val="0"/>
          <w:sz w:val="21"/>
        </w:rPr>
        <w:t>5.1 复制附件并保存基线</w:t>
      </w:r>
    </w:p>
    <w:p>
      <w:pPr>
        <w:spacing w:before="0" w:after="0"/>
      </w:pPr>
      <w:r>
        <w:rPr>
          <w:rFonts w:ascii="宋体" w:hAnsi="宋体" w:eastAsia="宋体"/>
          <w:b w:val="0"/>
          <w:sz w:val="21"/>
        </w:rPr>
        <w:t>附件调用共用校验函数，只写个人结果，不改写供后续实验使用的 Silver。基线附加政策接受 input_tokens ≤ 2000，课程合成合法数据的输入量不超过 1800，因此这条附加规则不会拒绝已有合法事件。</w:t>
      </w:r>
    </w:p>
    <w:p>
      <w:pPr>
        <w:keepNext/>
        <w:keepLines/>
        <w:spacing w:before="40" w:after="0" w:line="240" w:lineRule="auto"/>
        <w:jc w:val="center"/>
      </w:pPr>
      <w:r>
        <w:drawing>
          <wp:inline xmlns:a="http://schemas.openxmlformats.org/drawingml/2006/main" xmlns:pic="http://schemas.openxmlformats.org/drawingml/2006/picture">
            <wp:extent cx="3600000" cy="1801802"/>
            <wp:docPr id="1260220718" name="Picture 1260220718"/>
            <wp:cNvGraphicFramePr>
              <a:graphicFrameLocks noChangeAspect="1"/>
            </wp:cNvGraphicFramePr>
            <a:graphic>
              <a:graphicData uri="http://schemas.openxmlformats.org/drawingml/2006/picture">
                <pic:pic>
                  <pic:nvPicPr>
                    <pic:cNvPr id="0" name="复制附件并原样跑一次.png"/>
                    <pic:cNvPicPr/>
                  </pic:nvPicPr>
                  <pic:blipFill>
                    <a:blip r:embed="rId45"/>
                    <a:stretch>
                      <a:fillRect/>
                    </a:stretch>
                  </pic:blipFill>
                  <pic:spPr>
                    <a:xfrm>
                      <a:off x="0" y="0"/>
                      <a:ext cx="3600000" cy="1801802"/>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复制到 submissions/lab02 后原样运行，max_input_tokens 为 2000</w:t>
      </w:r>
    </w:p>
    <w:p>
      <w:pPr>
        <w:keepNext/>
        <w:keepLines/>
        <w:spacing w:before="40" w:after="0" w:line="240" w:lineRule="auto"/>
        <w:jc w:val="center"/>
      </w:pPr>
      <w:r>
        <w:drawing>
          <wp:inline xmlns:a="http://schemas.openxmlformats.org/drawingml/2006/main" xmlns:pic="http://schemas.openxmlformats.org/drawingml/2006/picture">
            <wp:extent cx="3600000" cy="2549544"/>
            <wp:docPr id="1260220719" name="Picture 1260220719"/>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4d92a580e80f43adb23a0303a7eb8303student_quality_policy.html.png"/>
                    <pic:cNvPicPr/>
                  </pic:nvPicPr>
                  <pic:blipFill>
                    <a:blip r:embed="rId46"/>
                    <a:stretch>
                      <a:fillRect/>
                    </a:stretch>
                  </pic:blipFill>
                  <pic:spPr>
                    <a:xfrm>
                      <a:off x="0" y="0"/>
                      <a:ext cx="3600000" cy="2549544"/>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2000 阈值证据页，run_id 4d92a580e80f43adb23a0303a7eb8303</w:t>
      </w:r>
    </w:p>
    <w:p>
      <w:pPr>
        <w:spacing w:before="0" w:after="0"/>
      </w:pPr>
      <w:r>
        <w:rPr>
          <w:rFonts w:ascii="宋体" w:hAnsi="宋体" w:eastAsia="宋体"/>
          <w:b w:val="0"/>
          <w:sz w:val="21"/>
        </w:rPr>
        <w:t>5.2 把阈值改为 1200</w:t>
      </w:r>
    </w:p>
    <w:p>
      <w:pPr>
        <w:spacing w:before="0" w:after="0"/>
      </w:pPr>
      <w:r>
        <w:rPr>
          <w:rFonts w:ascii="宋体" w:hAnsi="宋体" w:eastAsia="宋体"/>
          <w:b w:val="0"/>
          <w:sz w:val="21"/>
        </w:rPr>
        <w:t>修改前先写出预测：合法独特数会减少，总输入 Token 会减少，重复数也可能减少——因为程序先校验再去重，被新阈值拒绝的原始重复行也进入拒绝计数。</w:t>
      </w:r>
    </w:p>
    <w:p>
      <w:pPr>
        <w:keepNext/>
        <w:keepLines/>
        <w:spacing w:before="40" w:after="0" w:line="240" w:lineRule="auto"/>
        <w:jc w:val="center"/>
      </w:pPr>
      <w:r>
        <w:drawing>
          <wp:inline xmlns:a="http://schemas.openxmlformats.org/drawingml/2006/main" xmlns:pic="http://schemas.openxmlformats.org/drawingml/2006/picture">
            <wp:extent cx="3600000" cy="2032707"/>
            <wp:docPr id="1260220720" name="Picture 1260220720"/>
            <wp:cNvGraphicFramePr>
              <a:graphicFrameLocks noChangeAspect="1"/>
            </wp:cNvGraphicFramePr>
            <a:graphic>
              <a:graphicData uri="http://schemas.openxmlformats.org/drawingml/2006/picture">
                <pic:pic>
                  <pic:nvPicPr>
                    <pic:cNvPr id="0" name="改数值.png"/>
                    <pic:cNvPicPr/>
                  </pic:nvPicPr>
                  <pic:blipFill>
                    <a:blip r:embed="rId47"/>
                    <a:stretch>
                      <a:fillRect/>
                    </a:stretch>
                  </pic:blipFill>
                  <pic:spPr>
                    <a:xfrm>
                      <a:off x="0" y="0"/>
                      <a:ext cx="3600000" cy="2032707"/>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将 MAX_INPUT_TOKENS 由 2000 改为 1200</w:t>
      </w:r>
    </w:p>
    <w:p>
      <w:pPr>
        <w:keepNext/>
        <w:keepLines/>
        <w:spacing w:before="40" w:after="0" w:line="240" w:lineRule="auto"/>
        <w:jc w:val="center"/>
      </w:pPr>
      <w:r>
        <w:drawing>
          <wp:inline xmlns:a="http://schemas.openxmlformats.org/drawingml/2006/main" xmlns:pic="http://schemas.openxmlformats.org/drawingml/2006/picture">
            <wp:extent cx="3600000" cy="1557243"/>
            <wp:docPr id="1260220721" name="Picture 1260220721"/>
            <wp:cNvGraphicFramePr>
              <a:graphicFrameLocks noChangeAspect="1"/>
            </wp:cNvGraphicFramePr>
            <a:graphic>
              <a:graphicData uri="http://schemas.openxmlformats.org/drawingml/2006/picture">
                <pic:pic>
                  <pic:nvPicPr>
                    <pic:cNvPr id="0" name="再跑一次.png"/>
                    <pic:cNvPicPr/>
                  </pic:nvPicPr>
                  <pic:blipFill>
                    <a:blip r:embed="rId48"/>
                    <a:stretch>
                      <a:fillRect/>
                    </a:stretch>
                  </pic:blipFill>
                  <pic:spPr>
                    <a:xfrm>
                      <a:off x="0" y="0"/>
                      <a:ext cx="3600000" cy="1557243"/>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1200 阈值运行结果，valid_unique 降至 13405</w:t>
      </w:r>
    </w:p>
    <w:p>
      <w:pPr>
        <w:keepNext/>
        <w:keepLines/>
        <w:spacing w:before="40" w:after="0" w:line="240" w:lineRule="auto"/>
        <w:jc w:val="center"/>
      </w:pPr>
      <w:r>
        <w:drawing>
          <wp:inline xmlns:a="http://schemas.openxmlformats.org/drawingml/2006/main" xmlns:pic="http://schemas.openxmlformats.org/drawingml/2006/picture">
            <wp:extent cx="3600000" cy="2525170"/>
            <wp:docPr id="1260220722" name="Picture 1260220722"/>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1d25cc5ea3234e53968ed3cfc5dd931bstudent_quality_policy.html.png"/>
                    <pic:cNvPicPr/>
                  </pic:nvPicPr>
                  <pic:blipFill>
                    <a:blip r:embed="rId49"/>
                    <a:stretch>
                      <a:fillRect/>
                    </a:stretch>
                  </pic:blipFill>
                  <pic:spPr>
                    <a:xfrm>
                      <a:off x="0" y="0"/>
                      <a:ext cx="3600000" cy="2525170"/>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1200 阈值证据页，run_id 1d25cc5ea3234e53968ed3cfc5dd931b</w:t>
      </w:r>
    </w:p>
    <w:p>
      <w:pPr>
        <w:spacing w:before="0" w:after="0"/>
      </w:pPr>
      <w:r>
        <w:rPr>
          <w:rFonts w:ascii="宋体" w:hAnsi="宋体" w:eastAsia="宋体"/>
          <w:b w:val="0"/>
          <w:sz w:val="21"/>
        </w:rPr>
        <w:t>5.3 生成并核对代码差异</w:t>
      </w:r>
    </w:p>
    <w:p>
      <w:pPr>
        <w:spacing w:before="0" w:after="0"/>
      </w:pPr>
      <w:r>
        <w:rPr>
          <w:rFonts w:ascii="宋体" w:hAnsi="宋体" w:eastAsia="宋体"/>
          <w:b w:val="0"/>
          <w:sz w:val="21"/>
        </w:rPr>
        <w:t>代码块先检查 Python 返回码，失败就停止；核验通过后，Git 返回 1 只表示发现预期源码差异。</w:t>
      </w:r>
    </w:p>
    <w:p>
      <w:pPr>
        <w:keepNext/>
        <w:keepLines/>
        <w:spacing w:before="40" w:after="0" w:line="240" w:lineRule="auto"/>
        <w:jc w:val="center"/>
      </w:pPr>
      <w:r>
        <w:drawing>
          <wp:inline xmlns:a="http://schemas.openxmlformats.org/drawingml/2006/main" xmlns:pic="http://schemas.openxmlformats.org/drawingml/2006/picture">
            <wp:extent cx="3600000" cy="1263791"/>
            <wp:docPr id="1260220723" name="Picture 1260220723"/>
            <wp:cNvGraphicFramePr>
              <a:graphicFrameLocks noChangeAspect="1"/>
            </wp:cNvGraphicFramePr>
            <a:graphic>
              <a:graphicData uri="http://schemas.openxmlformats.org/drawingml/2006/picture">
                <pic:pic>
                  <pic:nvPicPr>
                    <pic:cNvPr id="0" name="生成差异.png"/>
                    <pic:cNvPicPr/>
                  </pic:nvPicPr>
                  <pic:blipFill>
                    <a:blip r:embed="rId50"/>
                    <a:stretch>
                      <a:fillRect/>
                    </a:stretch>
                  </pic:blipFill>
                  <pic:spPr>
                    <a:xfrm>
                      <a:off x="0" y="0"/>
                      <a:ext cx="3600000" cy="1263791"/>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diff 只有一行：MAX_INPUT_TOKENS 由 2000 改为 1200</w:t>
      </w:r>
    </w:p>
    <w:p>
      <w:pPr>
        <w:spacing w:before="0" w:after="0"/>
      </w:pPr>
      <w:r>
        <w:rPr>
          <w:rFonts w:ascii="宋体" w:hAnsi="宋体" w:eastAsia="宋体"/>
          <w:b w:val="0"/>
          <w:sz w:val="21"/>
        </w:rPr>
        <w:t>5.4 第二项独立操作：把布尔值样本改成数字字符串</w:t>
      </w:r>
    </w:p>
    <w:p>
      <w:pPr>
        <w:spacing w:before="0" w:after="0"/>
      </w:pPr>
      <w:r>
        <w:rPr>
          <w:rFonts w:ascii="宋体" w:hAnsi="宋体" w:eastAsia="宋体"/>
          <w:b w:val="0"/>
          <w:sz w:val="21"/>
        </w:rPr>
        <w:t>预测：错误类型可能不变，因为契约使用 type(x) is int 的严格判断，字符串 "100" 与布尔值 True 都不是 int。实测确认两者都返回 invalid_input_tokens。</w:t>
      </w:r>
    </w:p>
    <w:p>
      <w:pPr>
        <w:keepNext/>
        <w:keepLines/>
        <w:spacing w:before="40" w:after="0" w:line="240" w:lineRule="auto"/>
        <w:jc w:val="center"/>
      </w:pPr>
      <w:r>
        <w:drawing>
          <wp:inline xmlns:a="http://schemas.openxmlformats.org/drawingml/2006/main" xmlns:pic="http://schemas.openxmlformats.org/drawingml/2006/picture">
            <wp:extent cx="3600000" cy="2414068"/>
            <wp:docPr id="1260220724" name="Picture 1260220724"/>
            <wp:cNvGraphicFramePr>
              <a:graphicFrameLocks noChangeAspect="1"/>
            </wp:cNvGraphicFramePr>
            <a:graphic>
              <a:graphicData uri="http://schemas.openxmlformats.org/drawingml/2006/picture">
                <pic:pic>
                  <pic:nvPicPr>
                    <pic:cNvPr id="0" name="true改成100.png"/>
                    <pic:cNvPicPr/>
                  </pic:nvPicPr>
                  <pic:blipFill>
                    <a:blip r:embed="rId51"/>
                    <a:stretch>
                      <a:fillRect/>
                    </a:stretch>
                  </pic:blipFill>
                  <pic:spPr>
                    <a:xfrm>
                      <a:off x="0" y="0"/>
                      <a:ext cx="3600000" cy="2414068"/>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将 boolean 探针的 True 改为字符串 "100"</w:t>
      </w:r>
    </w:p>
    <w:p>
      <w:pPr>
        <w:keepNext/>
        <w:keepLines/>
        <w:spacing w:before="40" w:after="0" w:line="240" w:lineRule="auto"/>
        <w:jc w:val="center"/>
      </w:pPr>
      <w:r>
        <w:drawing>
          <wp:inline xmlns:a="http://schemas.openxmlformats.org/drawingml/2006/main" xmlns:pic="http://schemas.openxmlformats.org/drawingml/2006/picture">
            <wp:extent cx="3600000" cy="1631579"/>
            <wp:docPr id="1260220725" name="Picture 1260220725"/>
            <wp:cNvGraphicFramePr>
              <a:graphicFrameLocks noChangeAspect="1"/>
            </wp:cNvGraphicFramePr>
            <a:graphic>
              <a:graphicData uri="http://schemas.openxmlformats.org/drawingml/2006/picture">
                <pic:pic>
                  <pic:nvPicPr>
                    <pic:cNvPr id="0" name="重新改成100后跑.png"/>
                    <pic:cNvPicPr/>
                  </pic:nvPicPr>
                  <pic:blipFill>
                    <a:blip r:embed="rId52"/>
                    <a:stretch>
                      <a:fillRect/>
                    </a:stretch>
                  </pic:blipFill>
                  <pic:spPr>
                    <a:xfrm>
                      <a:off x="0" y="0"/>
                      <a:ext cx="3600000" cy="1631579"/>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重新运行，boolean 仍返回 invalid_input_tokens</w:t>
      </w:r>
    </w:p>
    <w:p>
      <w:pPr>
        <w:keepNext/>
        <w:keepLines/>
        <w:spacing w:before="40" w:after="0" w:line="240" w:lineRule="auto"/>
        <w:jc w:val="center"/>
      </w:pPr>
      <w:r>
        <w:drawing>
          <wp:inline xmlns:a="http://schemas.openxmlformats.org/drawingml/2006/main" xmlns:pic="http://schemas.openxmlformats.org/drawingml/2006/picture">
            <wp:extent cx="3600000" cy="2518911"/>
            <wp:docPr id="1260220726" name="Picture 1260220726"/>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fff6ed51e2454113b8efa0e80040d802student_quality_policy.html.png"/>
                    <pic:cNvPicPr/>
                  </pic:nvPicPr>
                  <pic:blipFill>
                    <a:blip r:embed="rId53"/>
                    <a:stretch>
                      <a:fillRect/>
                    </a:stretch>
                  </pic:blipFill>
                  <pic:spPr>
                    <a:xfrm>
                      <a:off x="0" y="0"/>
                      <a:ext cx="3600000" cy="2518911"/>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字符串探针证据页，run_id fff6ed51e2454113b8efa0e80040d802</w:t>
      </w:r>
    </w:p>
    <w:p>
      <w:pPr>
        <w:spacing w:before="0" w:after="0"/>
      </w:pPr>
      <w:r>
        <w:rPr>
          <w:rFonts w:ascii="宋体" w:hAnsi="宋体" w:eastAsia="宋体"/>
          <w:b w:val="0"/>
          <w:sz w:val="21"/>
        </w:rPr>
        <w:t>6. 核验文件血缘与最终身份登记</w:t>
      </w:r>
    </w:p>
    <w:p>
      <w:pPr>
        <w:spacing w:before="0" w:after="0"/>
      </w:pPr>
      <w:r>
        <w:rPr>
          <w:rFonts w:ascii="宋体" w:hAnsi="宋体" w:eastAsia="宋体"/>
          <w:b w:val="0"/>
          <w:sz w:val="21"/>
        </w:rPr>
        <w:t>silver.json 记录原始、Silver、Gold 三个摘要。核验时重新计算实际文件哈希并与清单比对。</w:t>
      </w:r>
    </w:p>
    <w:p>
      <w:pPr>
        <w:keepNext/>
        <w:keepLines/>
        <w:spacing w:before="40" w:after="0" w:line="240" w:lineRule="auto"/>
        <w:jc w:val="center"/>
      </w:pPr>
      <w:r>
        <w:drawing>
          <wp:inline xmlns:a="http://schemas.openxmlformats.org/drawingml/2006/main" xmlns:pic="http://schemas.openxmlformats.org/drawingml/2006/picture">
            <wp:extent cx="3600000" cy="1344236"/>
            <wp:docPr id="1260220727" name="Picture 1260220727"/>
            <wp:cNvGraphicFramePr>
              <a:graphicFrameLocks noChangeAspect="1"/>
            </wp:cNvGraphicFramePr>
            <a:graphic>
              <a:graphicData uri="http://schemas.openxmlformats.org/drawingml/2006/picture">
                <pic:pic>
                  <pic:nvPicPr>
                    <pic:cNvPr id="0" name="验证哈希清单.png"/>
                    <pic:cNvPicPr/>
                  </pic:nvPicPr>
                  <pic:blipFill>
                    <a:blip r:embed="rId54"/>
                    <a:stretch>
                      <a:fillRect/>
                    </a:stretch>
                  </pic:blipFill>
                  <pic:spPr>
                    <a:xfrm>
                      <a:off x="0" y="0"/>
                      <a:ext cx="3600000" cy="134423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manifest hashes match</w:t>
      </w:r>
    </w:p>
    <w:p>
      <w:pPr>
        <w:keepNext/>
        <w:keepLines/>
        <w:spacing w:before="40" w:after="0" w:line="240" w:lineRule="auto"/>
        <w:jc w:val="center"/>
      </w:pPr>
      <w:r>
        <w:drawing>
          <wp:inline xmlns:a="http://schemas.openxmlformats.org/drawingml/2006/main" xmlns:pic="http://schemas.openxmlformats.org/drawingml/2006/picture">
            <wp:extent cx="3600000" cy="2180556"/>
            <wp:docPr id="1260220728" name="Picture 1260220728"/>
            <wp:cNvGraphicFramePr>
              <a:graphicFrameLocks noChangeAspect="1"/>
            </wp:cNvGraphicFramePr>
            <a:graphic>
              <a:graphicData uri="http://schemas.openxmlformats.org/drawingml/2006/picture">
                <pic:pic>
                  <pic:nvPicPr>
                    <pic:cNvPr id="0" name="fileEDesktop2410311308_%E9%BE%9A%E6%B2%BB%E6%A6%95_%E4%BA%91%E8%AE%A1%E7%AE%97%E5%AE%9E%E9%AA%8CBDPoutputslab02evidence1a97d2117c334a7bb37fcf33588a2fe2probe05.html.png"/>
                    <pic:cNvPicPr/>
                  </pic:nvPicPr>
                  <pic:blipFill>
                    <a:blip r:embed="rId55"/>
                    <a:stretch>
                      <a:fillRect/>
                    </a:stretch>
                  </pic:blipFill>
                  <pic:spPr>
                    <a:xfrm>
                      <a:off x="0" y="0"/>
                      <a:ext cx="3600000" cy="218055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probe-05 证据页，run_id 1a97d2117c334a7bb37fcf33588a2fe2</w:t>
      </w:r>
    </w:p>
    <w:p>
      <w:pPr>
        <w:spacing w:before="0" w:after="0"/>
      </w:pPr>
      <w:r>
        <w:rPr>
          <w:rFonts w:ascii="宋体" w:hAnsi="宋体" w:eastAsia="宋体"/>
          <w:b w:val="0"/>
          <w:sz w:val="21"/>
        </w:rPr>
        <w:t>若此处失败，先判断是有意修改了上游文件还是意外覆盖，不要直接改清单里的摘要让校验变绿。若原始文件内容已改变，先重新运行 lab01 以真实对象往返重新核验这份输入，再运行 lab02；若原始文件未变而只有 Silver 或 Gold 损坏，则可直接重跑 lab02。</w:t>
      </w:r>
    </w:p>
    <w:p>
      <w:pPr>
        <w:keepNext/>
        <w:keepLines/>
        <w:spacing w:before="40" w:after="0" w:line="240" w:lineRule="auto"/>
        <w:jc w:val="center"/>
      </w:pPr>
      <w:r>
        <w:drawing>
          <wp:inline xmlns:a="http://schemas.openxmlformats.org/drawingml/2006/main" xmlns:pic="http://schemas.openxmlformats.org/drawingml/2006/picture">
            <wp:extent cx="3600000" cy="1540828"/>
            <wp:docPr id="1260220729" name="Picture 1260220729"/>
            <wp:cNvGraphicFramePr>
              <a:graphicFrameLocks noChangeAspect="1"/>
            </wp:cNvGraphicFramePr>
            <a:graphic>
              <a:graphicData uri="http://schemas.openxmlformats.org/drawingml/2006/picture">
                <pic:pic>
                  <pic:nvPicPr>
                    <pic:cNvPr id="0" name="最终身份登记.png"/>
                    <pic:cNvPicPr/>
                  </pic:nvPicPr>
                  <pic:blipFill>
                    <a:blip r:embed="rId56"/>
                    <a:stretch>
                      <a:fillRect/>
                    </a:stretch>
                  </pic:blipFill>
                  <pic:spPr>
                    <a:xfrm>
                      <a:off x="0" y="0"/>
                      <a:ext cx="3600000" cy="1540828"/>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最终身份登记，实验号 02</w:t>
      </w:r>
    </w:p>
    <w:p>
      <w:pPr>
        <w:spacing w:before="0" w:after="0"/>
      </w:pPr>
      <w:r>
        <w:rPr>
          <w:rFonts w:ascii="宋体" w:hAnsi="宋体" w:eastAsia="宋体"/>
          <w:b w:val="0"/>
          <w:sz w:val="21"/>
        </w:rPr>
        <w:t>7. 选做扩展：CSV 与两种 Parquet 的对比</w:t>
      </w:r>
    </w:p>
    <w:p>
      <w:pPr>
        <w:spacing w:before="0" w:after="0"/>
      </w:pPr>
      <w:r>
        <w:rPr>
          <w:rFonts w:ascii="宋体" w:hAnsi="宋体" w:eastAsia="宋体"/>
          <w:b w:val="0"/>
          <w:sz w:val="21"/>
        </w:rPr>
        <w:t>在同一份清洗数据上比较三种存储格式，固定查询与测量范围：同一张 Silver 表、同一条按服务聚合的 SQL、同一进程、同一台机器，每种格式预热 3 次后测量 7 次取中位数，避免首次读盘的冷缓存干扰。三种格式的聚合结果完全一致。</w:t>
      </w:r>
    </w:p>
    <w:p>
      <w:pPr>
        <w:keepNext/>
        <w:keepLines/>
        <w:spacing w:before="40" w:after="0" w:line="240" w:lineRule="auto"/>
        <w:jc w:val="center"/>
      </w:pPr>
      <w:r>
        <w:drawing>
          <wp:inline xmlns:a="http://schemas.openxmlformats.org/drawingml/2006/main" xmlns:pic="http://schemas.openxmlformats.org/drawingml/2006/picture">
            <wp:extent cx="3600000" cy="2467229"/>
            <wp:docPr id="1260220730" name="Picture 1260220730"/>
            <wp:cNvGraphicFramePr>
              <a:graphicFrameLocks noChangeAspect="1"/>
            </wp:cNvGraphicFramePr>
            <a:graphic>
              <a:graphicData uri="http://schemas.openxmlformats.org/drawingml/2006/picture">
                <pic:pic>
                  <pic:nvPicPr>
                    <pic:cNvPr id="0" name="选做截图2.1.png"/>
                    <pic:cNvPicPr/>
                  </pic:nvPicPr>
                  <pic:blipFill>
                    <a:blip r:embed="rId57"/>
                    <a:stretch>
                      <a:fillRect/>
                    </a:stretch>
                  </pic:blipFill>
                  <pic:spPr>
                    <a:xfrm>
                      <a:off x="0" y="0"/>
                      <a:ext cx="3600000" cy="2467229"/>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选做运行产物：comparison.json 与 events.csv</w:t>
      </w:r>
    </w:p>
    <w:p>
      <w:pPr>
        <w:keepNext/>
        <w:keepLines/>
        <w:spacing w:before="40" w:after="0" w:line="240" w:lineRule="auto"/>
        <w:jc w:val="center"/>
      </w:pPr>
      <w:r>
        <w:drawing>
          <wp:inline xmlns:a="http://schemas.openxmlformats.org/drawingml/2006/main" xmlns:pic="http://schemas.openxmlformats.org/drawingml/2006/picture">
            <wp:extent cx="3600000" cy="2693566"/>
            <wp:docPr id="1260220731" name="Picture 1260220731"/>
            <wp:cNvGraphicFramePr>
              <a:graphicFrameLocks noChangeAspect="1"/>
            </wp:cNvGraphicFramePr>
            <a:graphic>
              <a:graphicData uri="http://schemas.openxmlformats.org/drawingml/2006/picture">
                <pic:pic>
                  <pic:nvPicPr>
                    <pic:cNvPr id="0" name="选做截图2.2.png"/>
                    <pic:cNvPicPr/>
                  </pic:nvPicPr>
                  <pic:blipFill>
                    <a:blip r:embed="rId58"/>
                    <a:stretch>
                      <a:fillRect/>
                    </a:stretch>
                  </pic:blipFill>
                  <pic:spPr>
                    <a:xfrm>
                      <a:off x="0" y="0"/>
                      <a:ext cx="3600000" cy="2693566"/>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未压缩与 Zstd 两个 Parquet 文件及查询计划</w:t>
      </w:r>
    </w:p>
    <w:p>
      <w:pPr>
        <w:keepNext/>
        <w:keepLines/>
        <w:spacing w:before="40" w:after="0" w:line="240" w:lineRule="auto"/>
        <w:jc w:val="center"/>
      </w:pPr>
      <w:r>
        <w:drawing>
          <wp:inline xmlns:a="http://schemas.openxmlformats.org/drawingml/2006/main" xmlns:pic="http://schemas.openxmlformats.org/drawingml/2006/picture">
            <wp:extent cx="3600000" cy="2696437"/>
            <wp:docPr id="1260220732" name="Picture 1260220732"/>
            <wp:cNvGraphicFramePr>
              <a:graphicFrameLocks noChangeAspect="1"/>
            </wp:cNvGraphicFramePr>
            <a:graphic>
              <a:graphicData uri="http://schemas.openxmlformats.org/drawingml/2006/picture">
                <pic:pic>
                  <pic:nvPicPr>
                    <pic:cNvPr id="0" name="选做截图2.3.png"/>
                    <pic:cNvPicPr/>
                  </pic:nvPicPr>
                  <pic:blipFill>
                    <a:blip r:embed="rId59"/>
                    <a:stretch>
                      <a:fillRect/>
                    </a:stretch>
                  </pic:blipFill>
                  <pic:spPr>
                    <a:xfrm>
                      <a:off x="0" y="0"/>
                      <a:ext cx="3600000" cy="2696437"/>
                    </a:xfrm>
                    <a:prstGeom prst="rect"/>
                  </pic:spPr>
                </pic:pic>
              </a:graphicData>
            </a:graphic>
          </wp:inline>
        </w:drawing>
      </w:r>
    </w:p>
    <w:p>
      <w:pPr>
        <w:keepLines/>
        <w:spacing w:before="0" w:after="120" w:line="240" w:lineRule="auto"/>
        <w:jc w:val="center"/>
      </w:pPr>
      <w:r>
        <w:rPr>
          <w:rFonts w:ascii="宋体" w:hAnsi="宋体" w:eastAsia="宋体"/>
          <w:b w:val="0"/>
          <w:color w:val="FF0000"/>
          <w:sz w:val="21"/>
        </w:rPr>
        <w:t>三种格式的字节数与耗时，results_identical 为 true</w:t>
      </w:r>
    </w:p>
    <w:p>
      <w:pPr>
        <w:spacing w:before="160" w:after="40"/>
      </w:pPr>
      <w:r>
        <w:rPr>
          <w:rFonts w:ascii="宋体" w:hAnsi="宋体" w:eastAsia="宋体"/>
          <w:b/>
          <w:sz w:val="21"/>
        </w:rPr>
        <w:t>三、实验结果与分析</w:t>
      </w:r>
    </w:p>
    <w:p>
      <w:pPr>
        <w:spacing w:before="0" w:after="0"/>
      </w:pPr>
      <w:r>
        <w:rPr>
          <w:rFonts w:ascii="宋体" w:hAnsi="宋体" w:eastAsia="宋体"/>
          <w:b w:val="0"/>
          <w:sz w:val="21"/>
        </w:rPr>
        <w:t>1. 前置数据与来源原始文件 data/raw/events.jsonl 由实验 01 按 seed=42 生成，共 20102 行，3892184 字节，SHA-256 为 0d93bcd25e28047f804238c220bdb5b1d2dadf328647c07de85ba0104e8e2854，与 raw.json 记录一致。本章未重新生成数据，直接复用该文件。</w:t>
      </w:r>
    </w:p>
    <w:p>
      <w:pPr>
        <w:spacing w:before="0" w:after="0"/>
      </w:pPr>
      <w:r>
        <w:rPr>
          <w:rFonts w:ascii="宋体" w:hAnsi="宋体" w:eastAsia="宋体"/>
          <w:b w:val="0"/>
          <w:sz w:val="21"/>
        </w:rPr>
        <w:t>2. 数据契约</w:t>
      </w:r>
    </w:p>
    <w:p>
      <w:pPr>
        <w:spacing w:before="0" w:after="0"/>
      </w:pPr>
      <w:r>
        <w:rPr>
          <w:rFonts w:ascii="宋体" w:hAnsi="宋体" w:eastAsia="宋体"/>
          <w:b w:val="0"/>
          <w:sz w:val="21"/>
        </w:rPr>
        <w:t>字段：event_id、event_time、service、model、input_tokens、output_tokens、latency_ms、status 共 8 个，缺任一即拒绝为 missing_field。类型：input_tokens、output_tokens、latency_ms 必须是严格整数，使用 type(x) is int 判断。范围：三个数值字段必须大于等于 0。时间：event_time 必须是带时区的 UTC ISO 格式，utcoffset() 必须为 0，无时区或非零偏移分别拒绝。枚举：status 只允许 ok 与 error。重复政策：同 event_id 且内容完全相同计入重复数；同 event_id 但内容不同则报冲突并停止发布，不默默删去。</w:t>
      </w:r>
    </w:p>
    <w:p>
      <w:pPr>
        <w:spacing w:before="0" w:after="0"/>
      </w:pPr>
      <w:r>
        <w:rPr>
          <w:rFonts w:ascii="宋体" w:hAnsi="宋体" w:eastAsia="宋体"/>
          <w:b w:val="0"/>
          <w:sz w:val="21"/>
        </w:rPr>
        <w:t>3. 六行小表的手工推演</w:t>
      </w:r>
    </w:p>
    <w:p>
      <w:pPr>
        <w:spacing w:before="0" w:after="0"/>
      </w:pPr>
      <w:r>
        <w:rPr>
          <w:rFonts w:ascii="宋体" w:hAnsi="宋体" w:eastAsia="宋体"/>
          <w:b w:val="0"/>
          <w:sz w:val="21"/>
        </w:rPr>
        <w:t>按到达顺序逐行处理：第 1 行 a/10 合法，保留；第 2 行 b/20 合法，保留；第 3 行 a/10 与第 1 行完全相同，计入重复；第 4 行 c/-1 因负值被隔离；第 5 行 d/40 因时间为 not-a-time 被隔离；第 6 行 e/30 合法，保留。</w:t>
      </w:r>
    </w:p>
    <w:p>
      <w:pPr>
        <w:spacing w:before="0" w:after="0"/>
      </w:pPr>
      <w:r>
        <w:rPr>
          <w:rFonts w:ascii="宋体" w:hAnsi="宋体" w:eastAsia="宋体"/>
          <w:b w:val="0"/>
          <w:color w:val="FF0000"/>
          <w:sz w:val="21"/>
        </w:rPr>
        <w:t>手工结果为：合法独特数 3（a、b、e），重复数 1，隔离数 2，保留事件的 input_tokens 总量为 10+20+30 = 60。守恒关系 3+1+2 = 6 成立。</w:t>
      </w:r>
    </w:p>
    <w:p>
      <w:pPr>
        <w:spacing w:before="0" w:after="0"/>
      </w:pPr>
      <w:r>
        <w:rPr>
          <w:rFonts w:ascii="宋体" w:hAnsi="宋体" w:eastAsia="宋体"/>
          <w:b w:val="0"/>
          <w:sz w:val="21"/>
        </w:rPr>
        <w:t>若第 3 行变成 ID=a、Token=99，则它不再是普通重复，而是同 ID 不同内容冲突。本课程规则遇到冲突时停止发布并要求先定义更正政策。业务中可以使用版本、更新时间或纠错事件，但“最后一条一定正确”不是无需论证的默认事实——如果两条记录的采集时间不可靠，简单保留最后一条可能把错误数据留下来、把正确数据丢掉。</w:t>
      </w:r>
    </w:p>
    <w:p>
      <w:pPr>
        <w:spacing w:before="0" w:after="0"/>
      </w:pPr>
      <w:r>
        <w:rPr>
          <w:rFonts w:ascii="宋体" w:hAnsi="宋体" w:eastAsia="宋体"/>
          <w:b w:val="0"/>
          <w:sz w:val="21"/>
        </w:rPr>
        <w:t>4. 基线质量与守恒</w:t>
      </w:r>
    </w:p>
    <w:p>
      <w:pPr>
        <w:spacing w:before="0" w:after="0"/>
      </w:pPr>
      <w:r>
        <w:rPr>
          <w:rFonts w:ascii="宋体" w:hAnsi="宋体" w:eastAsia="宋体"/>
          <w:b w:val="0"/>
          <w:color w:val="FF0000"/>
          <w:sz w:val="21"/>
        </w:rPr>
        <w:t>原始 20102 行，合法独特 20000 行，重复 100 行，隔离 2 行，守恒 20102 成立。被隔离的两条记录如下：第 20101 行 event_id 为 bad-negative，input_tokens 为 -1，拒绝原因 invalid_input_tokens；第 20102 行 event_id 为 bad-time，event_time 为 not-a-time，拒绝原因 invalid_event_time。两条都在隔离区保留了行号、原因和原始记录，因此“20102 条为什么只剩 20000 条”可以逐条追溯。</w:t>
      </w:r>
    </w:p>
    <w:p>
      <w:pPr>
        <w:spacing w:before="0" w:after="0"/>
      </w:pPr>
      <w:r>
        <w:rPr>
          <w:rFonts w:ascii="宋体" w:hAnsi="宋体" w:eastAsia="宋体"/>
          <w:b w:val="0"/>
          <w:sz w:val="21"/>
        </w:rPr>
        <w:t>5. 存储与 SQL</w:t>
      </w:r>
    </w:p>
    <w:p>
      <w:pPr>
        <w:spacing w:before="0" w:after="0"/>
      </w:pPr>
      <w:r>
        <w:rPr>
          <w:rFonts w:ascii="宋体" w:hAnsi="宋体" w:eastAsia="宋体"/>
          <w:b w:val="0"/>
          <w:sz w:val="21"/>
        </w:rPr>
        <w:t>Silver 共 20000 行 5 个行组，schema 为 8 个字段，其中 event_id、event_time、service、model、status 为 string，三个数值字段为 int64。Golden 每日汇总共 6 行（2 天 × 3 个服务）。Silver 总量为 (20000, 18015640, 6145862)，Gold 按 requests 求和后同为 (20000, 18015640, 6145862)，totals_match 为 true，说明聚合没有丢账也没有重复计数。</w:t>
      </w:r>
    </w:p>
    <w:p>
      <w:pPr>
        <w:spacing w:before="0" w:after="0"/>
      </w:pPr>
      <w:r>
        <w:rPr>
          <w:rFonts w:ascii="宋体" w:hAnsi="宋体" w:eastAsia="宋体"/>
          <w:b w:val="0"/>
          <w:sz w:val="21"/>
        </w:rPr>
        <w:t>原始 JSONL 为 3892184 字节，Silver Parquet 为 224693 字节，两者比约为 17 倍。但这个比较不是纯格式性能对照：JSONL 含 100 条重复和 2 条坏行，Silver 已清洗；两者编码方式与压缩方式也不同。因此文件变小不能直接等同于处理变快。</w:t>
      </w:r>
    </w:p>
    <w:p>
      <w:pPr>
        <w:spacing w:before="0" w:after="0"/>
      </w:pPr>
      <w:r>
        <w:rPr>
          <w:rFonts w:ascii="宋体" w:hAnsi="宋体" w:eastAsia="宋体"/>
          <w:b w:val="0"/>
          <w:sz w:val="21"/>
        </w:rPr>
        <w:t>6. 阈值改动与对照</w:t>
      </w:r>
    </w:p>
    <w:p>
      <w:pPr>
        <w:spacing w:before="0" w:after="0"/>
      </w:pPr>
      <w:r>
        <w:rPr>
          <w:rFonts w:ascii="宋体" w:hAnsi="宋体" w:eastAsia="宋体"/>
          <w:b w:val="0"/>
          <w:sz w:val="21"/>
        </w:rPr>
        <w:t>2000 阈值：合法独特 20000，重复 100，隔离 2，输入 Token 总量 18015640，与基线完全一致，说明这条附加规则没有拒绝任何已有合法事件。</w:t>
      </w:r>
    </w:p>
    <w:p>
      <w:pPr>
        <w:spacing w:before="0" w:after="0"/>
      </w:pPr>
      <w:r>
        <w:rPr>
          <w:rFonts w:ascii="宋体" w:hAnsi="宋体" w:eastAsia="宋体"/>
          <w:b w:val="0"/>
          <w:sz w:val="21"/>
        </w:rPr>
        <w:t>1200 阈值：合法独特降至 13405，重复降至 67，输入 Token 总量降至 8110488，additionally 有 6628 条记录因 policy_input_limit 被拒绝。</w:t>
      </w:r>
    </w:p>
    <w:p>
      <w:pPr>
        <w:spacing w:before="0" w:after="0"/>
      </w:pPr>
      <w:r>
        <w:rPr>
          <w:rFonts w:ascii="宋体" w:hAnsi="宋体" w:eastAsia="宋体"/>
          <w:b w:val="0"/>
          <w:color w:val="FF0000"/>
          <w:sz w:val="21"/>
        </w:rPr>
        <w:t>重复数从 100 降到 67 是关键观察：程序先校验再去重，被新阈值拒绝的原始重复行也进入了拒绝计数，因此不能再按 20000 + 100 + 2 的旧口径核对，必须用 13405 + 67 + 6628 + 1 + 1 = 20102 验证守恒。</w:t>
      </w:r>
    </w:p>
    <w:p>
      <w:pPr>
        <w:spacing w:before="0" w:after="0"/>
      </w:pPr>
      <w:r>
        <w:rPr>
          <w:rFonts w:ascii="宋体" w:hAnsi="宋体" w:eastAsia="宋体"/>
          <w:b w:val="0"/>
          <w:sz w:val="21"/>
        </w:rPr>
        <w:t>误拒绝的代价：被拒绝的 6628 条记录里包含 input_tokens 在 1201 到 2000 之间的合法请求，它们在技术上完全合规，只是超出了本人设定的业务上限。这类记录一旦进入隔离区就不会进入 Silver，下游的用量统计会系统性偏低。技术校验负责判断“这条记录是否可用”，业务政策负责判断“这条记录是否应该计入”，二者必须分开表述，不能把业务上限说成数据非法。</w:t>
      </w:r>
    </w:p>
    <w:p>
      <w:pPr>
        <w:spacing w:before="0" w:after="0"/>
      </w:pPr>
      <w:r>
        <w:rPr>
          <w:rFonts w:ascii="宋体" w:hAnsi="宋体" w:eastAsia="宋体"/>
          <w:b w:val="0"/>
          <w:sz w:val="21"/>
        </w:rPr>
        <w:t>7. 坏样本探针</w:t>
      </w:r>
    </w:p>
    <w:p>
      <w:pPr>
        <w:spacing w:before="0" w:after="0"/>
      </w:pPr>
      <w:r>
        <w:rPr>
          <w:rFonts w:ascii="宋体" w:hAnsi="宋体" w:eastAsia="宋体"/>
          <w:b w:val="0"/>
          <w:color w:val="FF0000"/>
          <w:sz w:val="21"/>
        </w:rPr>
        <w:t>三个探针都在个人脚本中构造，调用真实 validate_event()，不改动原始文件：负数探针返回 invalid_input_tokens；布尔值探针 True 返回 invalid_input_tokens，因为 bool 虽是 int 的子类但被严格类型判断排除；无时区探针 2026-03-01T12:00:00 返回 non_utc_time。把布尔值换成字符串 "100" 后错误类型不变，仍为 invalid_input_tokens，因为字符串同样不是 int。这说明契约不允许静默转换——如果为了让字符串通过而改用无条件 int()，会掩盖上游接口的类型错误。</w:t>
      </w:r>
    </w:p>
    <w:p>
      <w:pPr>
        <w:spacing w:before="0" w:after="0"/>
      </w:pPr>
      <w:r>
        <w:rPr>
          <w:rFonts w:ascii="宋体" w:hAnsi="宋体" w:eastAsia="宋体"/>
          <w:b w:val="0"/>
          <w:sz w:val="21"/>
        </w:rPr>
        <w:t>8. 文件血缘与恢复</w:t>
      </w:r>
    </w:p>
    <w:p>
      <w:pPr>
        <w:spacing w:before="0" w:after="0"/>
      </w:pPr>
      <w:r>
        <w:rPr>
          <w:rFonts w:ascii="宋体" w:hAnsi="宋体" w:eastAsia="宋体"/>
          <w:b w:val="0"/>
          <w:color w:val="FF0000"/>
          <w:sz w:val="21"/>
        </w:rPr>
        <w:t>silver.json 记录 source_sha256、silver_sha256、gold_sha256、行数、schema 与 contract_version（本次为 2）。核验脚本重新计算三个实际文件的摘要并与清单比对，输出 manifest hashes match。这个清单帮助后续章节判断文件是否在不知情时发生改变。但它不是数据库事务：它只提供文件内容核验和来源记录，没有实现并发写入原子提交、多文件事务或时间旅行。本课程这一章也没有实现 Iceberg、Delta Lake 或 Hudi 的事务日志与并发提交。</w:t>
      </w:r>
    </w:p>
    <w:p>
      <w:pPr>
        <w:spacing w:before="0" w:after="0"/>
      </w:pPr>
      <w:r>
        <w:rPr>
          <w:rFonts w:ascii="宋体" w:hAnsi="宋体" w:eastAsia="宋体"/>
          <w:b w:val="0"/>
          <w:sz w:val="21"/>
        </w:rPr>
        <w:t>9. 选做扩展：三种存储格式对比</w:t>
      </w:r>
    </w:p>
    <w:p>
      <w:pPr>
        <w:spacing w:before="0" w:after="0"/>
      </w:pPr>
      <w:r>
        <w:rPr>
          <w:rFonts w:ascii="宋体" w:hAnsi="宋体" w:eastAsia="宋体"/>
          <w:b w:val="0"/>
          <w:sz w:val="21"/>
        </w:rPr>
        <w:t>测量结果如下，三种格式的聚合结果完全一致：</w:t>
      </w:r>
    </w:p>
    <w:p>
      <w:pPr>
        <w:spacing w:before="0" w:after="0"/>
      </w:pPr>
      <w:r>
        <w:rPr>
          <w:rFonts w:ascii="宋体" w:hAnsi="宋体" w:eastAsia="宋体"/>
          <w:b w:val="0"/>
          <w:sz w:val="21"/>
        </w:rPr>
        <w:t>CSV：1612574 字节，中位耗时 92.643 毫秒；未压缩 Parquet：1250207 字节，中位耗时 5.028 毫秒；Zstd Parquet：224693 字节，中位耗时 5.329 毫秒。</w:t>
      </w:r>
    </w:p>
    <w:p>
      <w:pPr>
        <w:spacing w:before="0" w:after="0"/>
      </w:pPr>
      <w:r>
        <w:rPr>
          <w:rFonts w:ascii="宋体" w:hAnsi="宋体" w:eastAsia="宋体"/>
          <w:b w:val="0"/>
          <w:color w:val="FF0000"/>
          <w:sz w:val="21"/>
        </w:rPr>
        <w:t>Parquet 比 CSV 快约 18 倍，但加速主要不来自压缩：未压缩 Parquet 与 Zstd Parquet 的耗时几乎相同。真正的原因是列式存储只需要读取聚合用到的 4 列，且类型信息已写在文件里不需要推断，而 CSV 必须解析全部 8 列的文本并逐列推断类型。Zstd 把文件压到 CSV 的 14%，却没有带来读取加速，反而略慢约 0.3 毫秒，说明压缩节省的是磁盘空间，解压本身有开销。这正好印证手册的提醒：文件变小不等于性能提升。</w:t>
      </w:r>
    </w:p>
    <w:p>
      <w:pPr>
        <w:spacing w:before="0" w:after="0"/>
      </w:pPr>
      <w:r>
        <w:rPr>
          <w:rFonts w:ascii="宋体" w:hAnsi="宋体" w:eastAsia="宋体"/>
          <w:b w:val="0"/>
          <w:sz w:val="21"/>
        </w:rPr>
        <w:t>10. 产物与限制</w:t>
      </w:r>
    </w:p>
    <w:p>
      <w:pPr>
        <w:spacing w:before="0" w:after="0"/>
      </w:pPr>
      <w:r>
        <w:rPr>
          <w:rFonts w:ascii="宋体" w:hAnsi="宋体" w:eastAsia="宋体"/>
          <w:b w:val="0"/>
          <w:sz w:val="21"/>
        </w:rPr>
        <w:t>outputs/lab02 下生成 quality.json、quarantine.json、query-plan.txt、student-policy-2000.json、student-policy-1200.json 与 compare 目录；data/silver/events.parquet、data/gold/service_daily.parquet 与 data/manifests/silver.json 供实验 03、04 继续使用。限制：本实现把 20000 条记录全部放入内存字典去重，数据远超内存时需要外部排序、分布式去重或持久索引；只有单个文件、未按目录分区，不能宣称观察到目录分区裁剪；单次运行的时间测量不能推广为不同硬件或不同数据规模下的性能结论。</w:t>
      </w:r>
    </w:p>
    <w:p>
      <w:pPr>
        <w:spacing w:before="0" w:after="0"/>
      </w:pPr>
      <w:r>
        <w:rPr>
          <w:rFonts w:ascii="宋体" w:hAnsi="宋体" w:eastAsia="宋体"/>
          <w:b w:val="0"/>
          <w:sz w:val="21"/>
        </w:rPr>
        <w:t>11. 运行记录索引</w:t>
      </w:r>
    </w:p>
    <w:p>
      <w:pPr>
        <w:spacing w:before="0" w:after="0"/>
      </w:pPr>
      <w:r>
        <w:rPr>
          <w:rFonts w:ascii="宋体" w:hAnsi="宋体" w:eastAsia="宋体"/>
          <w:b w:val="0"/>
          <w:sz w:val="21"/>
        </w:rPr>
        <w:t>本次实验共 10 次真实运行的证据，均带学号 2410311308 与实验号 02，JSON 与同名 HTML 成对保存，可在证据仓库查看：</w:t>
      </w:r>
    </w:p>
    <w:p>
      <w:pPr>
        <w:spacing w:before="0" w:after="0"/>
      </w:pPr>
      <w:hyperlink r:id="rId29">
        <w:r>
          <w:rPr>
            <w:rFonts w:ascii="宋体" w:hAnsi="宋体" w:eastAsia="宋体"/>
            <w:b/>
            <w:color w:val="FF0000"/>
            <w:sz w:val="21"/>
          </w:rPr>
          <w:t>https://github.com/yiyun2026/bdp-coursework/lab01/evidence（实验二证据在 lab02 分支目录下）</w:t>
        </w:r>
      </w:hyperlink>
    </w:p>
    <w:p>
      <w:pPr>
        <w:spacing w:before="0" w:after="0"/>
      </w:pPr>
      <w:r>
        <w:rPr>
          <w:rFonts w:ascii="宋体" w:hAnsi="宋体" w:eastAsia="宋体"/>
          <w:b w:val="0"/>
          <w:sz w:val="21"/>
        </w:rPr>
        <w:t>start　cddfee846a1549db9abe3f1190d26d54　身份登记</w:t>
      </w:r>
    </w:p>
    <w:p>
      <w:pPr>
        <w:spacing w:before="0" w:after="0"/>
      </w:pPr>
      <w:r>
        <w:rPr>
          <w:rFonts w:ascii="宋体" w:hAnsi="宋体" w:eastAsia="宋体"/>
          <w:b w:val="0"/>
          <w:sz w:val="21"/>
        </w:rPr>
        <w:t>verify　a578991845f842d88e8895d2e2c2db92　主流水线清洗与聚合</w:t>
      </w:r>
    </w:p>
    <w:p>
      <w:pPr>
        <w:spacing w:before="0" w:after="0"/>
      </w:pPr>
      <w:r>
        <w:rPr>
          <w:rFonts w:ascii="宋体" w:hAnsi="宋体" w:eastAsia="宋体"/>
          <w:b w:val="0"/>
          <w:sz w:val="21"/>
        </w:rPr>
        <w:t>probe-01　32a99557827a43d3927919b26ef2a504　Parquet 结构与行组</w:t>
      </w:r>
    </w:p>
    <w:p>
      <w:pPr>
        <w:spacing w:before="0" w:after="0"/>
      </w:pPr>
      <w:r>
        <w:rPr>
          <w:rFonts w:ascii="宋体" w:hAnsi="宋体" w:eastAsia="宋体"/>
          <w:b w:val="0"/>
          <w:sz w:val="21"/>
        </w:rPr>
        <w:t>inspect_gold　affccbecbf5c411bb7e60715e35bec69　Silver 与 Gold 总量核对</w:t>
      </w:r>
    </w:p>
    <w:p>
      <w:pPr>
        <w:spacing w:before="0" w:after="0"/>
      </w:pPr>
      <w:r>
        <w:rPr>
          <w:rFonts w:ascii="宋体" w:hAnsi="宋体" w:eastAsia="宋体"/>
          <w:b w:val="0"/>
          <w:sz w:val="21"/>
        </w:rPr>
        <w:t>student_quality_policy　4d92a580e80f43adb23a0303a7eb8303　阈值 2000 基线</w:t>
      </w:r>
    </w:p>
    <w:p>
      <w:pPr>
        <w:spacing w:before="0" w:after="0"/>
      </w:pPr>
      <w:r>
        <w:rPr>
          <w:rFonts w:ascii="宋体" w:hAnsi="宋体" w:eastAsia="宋体"/>
          <w:b w:val="0"/>
          <w:sz w:val="21"/>
        </w:rPr>
        <w:t>student_quality_policy　1d25cc5ea3234e53968ed3cfc5dd931b　阈值 1200</w:t>
      </w:r>
    </w:p>
    <w:p>
      <w:pPr>
        <w:spacing w:before="0" w:after="0"/>
      </w:pPr>
      <w:r>
        <w:rPr>
          <w:rFonts w:ascii="宋体" w:hAnsi="宋体" w:eastAsia="宋体"/>
          <w:b w:val="0"/>
          <w:sz w:val="21"/>
        </w:rPr>
        <w:t>student_quality_policy　fff6ed51e2454113b8efa0e80040d802　字符串探针 "100"</w:t>
      </w:r>
    </w:p>
    <w:p>
      <w:pPr>
        <w:spacing w:before="0" w:after="0"/>
      </w:pPr>
      <w:r>
        <w:rPr>
          <w:rFonts w:ascii="宋体" w:hAnsi="宋体" w:eastAsia="宋体"/>
          <w:b w:val="0"/>
          <w:sz w:val="21"/>
        </w:rPr>
        <w:t>probe-05　1a97d2117c334a7bb37fcf33588a2fe2　清单哈希核验</w:t>
      </w:r>
    </w:p>
    <w:p>
      <w:pPr>
        <w:spacing w:before="0" w:after="0"/>
      </w:pPr>
      <w:r>
        <w:rPr>
          <w:rFonts w:ascii="宋体" w:hAnsi="宋体" w:eastAsia="宋体"/>
          <w:b w:val="0"/>
          <w:sz w:val="21"/>
        </w:rPr>
        <w:t>optional_format_compare　c3f8385aecd74e4f99473b74e102e62b　选做三种格式对比</w:t>
      </w:r>
    </w:p>
    <w:p>
      <w:pPr>
        <w:spacing w:before="0" w:after="0"/>
      </w:pPr>
      <w:r>
        <w:rPr>
          <w:rFonts w:ascii="宋体" w:hAnsi="宋体" w:eastAsia="宋体"/>
          <w:b w:val="0"/>
          <w:sz w:val="21"/>
        </w:rPr>
        <w:t>final　07399fbd9f5542fe8b9bf22eb2b7ab2a　最终身份登记</w:t>
      </w:r>
    </w:p>
    <w:p>
      <w:pPr>
        <w:spacing w:before="160" w:after="40"/>
      </w:pPr>
      <w:r>
        <w:rPr>
          <w:rFonts w:ascii="宋体" w:hAnsi="宋体" w:eastAsia="宋体"/>
          <w:b/>
          <w:sz w:val="21"/>
        </w:rPr>
        <w:t>四、实验理论回答</w:t>
      </w:r>
    </w:p>
    <w:p>
      <w:pPr>
        <w:spacing w:before="60" w:after="0"/>
      </w:pPr>
      <w:r>
        <w:rPr>
          <w:rFonts w:ascii="宋体" w:hAnsi="宋体" w:eastAsia="宋体"/>
          <w:b w:val="0"/>
          <w:sz w:val="21"/>
        </w:rPr>
        <w:t>为什么 True、"100" 与整数 100 在本契约中的处理可能不同？</w:t>
      </w:r>
    </w:p>
    <w:p>
      <w:pPr>
        <w:spacing w:before="0" w:after="0"/>
      </w:pPr>
      <w:r>
        <w:rPr>
          <w:rFonts w:ascii="宋体" w:hAnsi="宋体" w:eastAsia="宋体"/>
          <w:b w:val="0"/>
          <w:color w:val="FF0000"/>
          <w:sz w:val="21"/>
        </w:rPr>
        <w:t>契约用的是 type(x) is int 而不是 isinstance(x, int)。Python 中 bool 是 int 的子类，isinstance(True, int) 为真，但 type(True) is int 为假，因此 True 被拒绝。字符串 "100" 的 type 是 str，同样不是 int，也被拒绝。整数 100 的 type 就是 int，通过。这个严格判断是刻意的：如果把 True 当作 1 Token、把 "100" 当作 100 静默转换，上游接口的类型错误就会被掩盖，统计结果出现难以察觉的偏差。</w:t>
      </w:r>
    </w:p>
    <w:p>
      <w:pPr>
        <w:spacing w:before="60" w:after="0"/>
      </w:pPr>
      <w:r>
        <w:rPr>
          <w:rFonts w:ascii="宋体" w:hAnsi="宋体" w:eastAsia="宋体"/>
          <w:b w:val="0"/>
          <w:sz w:val="21"/>
        </w:rPr>
        <w:t>为什么同 ID 内容冲突不能直接当作普通重复计数？</w:t>
      </w:r>
    </w:p>
    <w:p>
      <w:pPr>
        <w:spacing w:before="0" w:after="0"/>
      </w:pPr>
      <w:r>
        <w:rPr>
          <w:rFonts w:ascii="宋体" w:hAnsi="宋体" w:eastAsia="宋体"/>
          <w:b w:val="0"/>
          <w:color w:val="FF0000"/>
          <w:sz w:val="21"/>
        </w:rPr>
        <w:t>普通重复是同一事件被重复上报，内容完全相同，删掉不影响事实。同 ID 内容不同则意味着两次记录对同一事件给出不同事实，其中至少一条是错的，但仅凭这两行无法判断哪条正确。若直接按重复处理并保留一条，等于在未定义规则的情况下丢掉了可能正确的那条。本课程遇到冲突时停止发布并要求先定义更正政策，正是为了让这个判断显式化，而不是由程序悄悄决定。</w:t>
      </w:r>
    </w:p>
    <w:p>
      <w:pPr>
        <w:spacing w:before="60" w:after="0"/>
      </w:pPr>
      <w:r>
        <w:rPr>
          <w:rFonts w:ascii="宋体" w:hAnsi="宋体" w:eastAsia="宋体"/>
          <w:b w:val="0"/>
          <w:sz w:val="21"/>
        </w:rPr>
        <w:t>原始 JSONL 与清洗 Parquet 的大小比较为什么不是纯格式性能对照？</w:t>
      </w:r>
    </w:p>
    <w:p>
      <w:pPr>
        <w:spacing w:before="0" w:after="0"/>
      </w:pPr>
      <w:r>
        <w:rPr>
          <w:rFonts w:ascii="宋体" w:hAnsi="宋体" w:eastAsia="宋体"/>
          <w:b w:val="0"/>
          <w:color w:val="FF0000"/>
          <w:sz w:val="21"/>
        </w:rPr>
        <w:t>两者在三个维度上同时变化：内容不同（JSONL 含 100 条重复和 2 条坏行，Parquet 已清洗）、编码不同（文本行 vs 列式二进制）、压缩不同（无压缩 vs Zstd）。文件变小是这三个因素叠加的结果，无法把其中任何一项单独归因于格式。要比较格式本身，必须固定数据内容、只改变存储格式，这正是选做扩展做的事。</w:t>
      </w:r>
    </w:p>
    <w:p>
      <w:pPr>
        <w:spacing w:before="60" w:after="0"/>
      </w:pPr>
      <w:r>
        <w:rPr>
          <w:rFonts w:ascii="宋体" w:hAnsi="宋体" w:eastAsia="宋体"/>
          <w:b w:val="0"/>
          <w:sz w:val="21"/>
        </w:rPr>
        <w:t>列裁剪、谓词下推、行组、目录分区各指什么？本章实际实现了哪些？</w:t>
      </w:r>
    </w:p>
    <w:p>
      <w:pPr>
        <w:spacing w:before="0" w:after="0"/>
      </w:pPr>
      <w:r>
        <w:rPr>
          <w:rFonts w:ascii="宋体" w:hAnsi="宋体" w:eastAsia="宋体"/>
          <w:b w:val="0"/>
          <w:color w:val="FF0000"/>
          <w:sz w:val="21"/>
        </w:rPr>
        <w:t>列裁剪指只读取查询需要的列；谓词下推指把过滤条件下推到扫描层执行；行组是 Parquet 内部把若干行组织在一起的存储单位，每个行组带列统计；目录分区是按字段值把数据分到不同目录。本章实现了列裁剪与谓词下推——查询计划中 Projections 只有 input_tokens，Filters 为 service='search'，扫描行数从 20000 降到 3969。本章使用行组（5 个行组，每个 4096 行上限），但没有按目录分区，只写了一个 events.parquet 文件，因此不能宣称观察到目录分区裁剪。</w:t>
      </w:r>
    </w:p>
    <w:p>
      <w:pPr>
        <w:spacing w:before="60" w:after="0"/>
      </w:pPr>
      <w:r>
        <w:rPr>
          <w:rFonts w:ascii="宋体" w:hAnsi="宋体" w:eastAsia="宋体"/>
          <w:b w:val="0"/>
          <w:sz w:val="21"/>
        </w:rPr>
        <w:t>阈值 1200 会丢掉哪些合法业务请求？技术校验与业务政策怎样区分？</w:t>
      </w:r>
    </w:p>
    <w:p>
      <w:pPr>
        <w:spacing w:before="0" w:after="0"/>
      </w:pPr>
      <w:r>
        <w:rPr>
          <w:rFonts w:ascii="宋体" w:hAnsi="宋体" w:eastAsia="宋体"/>
          <w:b w:val="0"/>
          <w:color w:val="FF0000"/>
          <w:sz w:val="21"/>
        </w:rPr>
        <w:t>会丢掉 6628 条 input_tokens 在 1201 到 2000 之间（以及更高）的记录。这些记录字段完整、类型正确、时间为 UTC，在技术层面完全合规，只是超出了本人设定的业务上限，因此它们进入隔离区而非 Silver，下游统计会系统性偏低。技术校验判断的是“这条记录是否符合数据契约”，结论是客观的、与业务无关；业务政策判断的是“这条记录是否应计入本次统计”，取决于分析目的。二者必须分开表述，不能把业务上限说成数据非法。</w:t>
      </w:r>
    </w:p>
    <w:p>
      <w:pPr>
        <w:spacing w:before="60" w:after="0"/>
      </w:pPr>
      <w:r>
        <w:rPr>
          <w:rFonts w:ascii="宋体" w:hAnsi="宋体" w:eastAsia="宋体"/>
          <w:b w:val="0"/>
          <w:sz w:val="21"/>
        </w:rPr>
        <w:t>文件清单为什么不等于 ACID 事务或完整湖仓表格式？</w:t>
      </w:r>
    </w:p>
    <w:p>
      <w:pPr>
        <w:spacing w:before="0" w:after="0"/>
      </w:pPr>
      <w:r>
        <w:rPr>
          <w:rFonts w:ascii="宋体" w:hAnsi="宋体" w:eastAsia="宋体"/>
          <w:b w:val="0"/>
          <w:color w:val="FF0000"/>
          <w:sz w:val="21"/>
        </w:rPr>
        <w:t>ACID 要求原子性、一致性、隔离性和持久性，核心是多写者并发下的提交与回滚。本章的清单只记录文件哈希、行数、schema 与契约版本，用于事后核验文件是否被改动，它不控制写入顺序、不支持并发提交、不能回滚、也没有时间旅行。Iceberg、Delta Lake、Hudi 这类表格式提供事务日志与快照管理，本章均未实现。因此清单是数据血缘的最小表达，不能称为事务或表格式。</w:t>
      </w:r>
    </w:p>
    <w:p>
      <w:pPr>
        <w:spacing w:before="160" w:after="40"/>
      </w:pPr>
      <w:r>
        <w:rPr>
          <w:rFonts w:ascii="宋体" w:hAnsi="宋体" w:eastAsia="宋体"/>
          <w:b/>
          <w:sz w:val="21"/>
        </w:rPr>
        <w:t>五、AI 使用披露</w:t>
      </w:r>
    </w:p>
    <w:p>
      <w:pPr>
        <w:spacing w:before="0" w:after="0"/>
      </w:pPr>
      <w:r>
        <w:rPr>
          <w:rFonts w:ascii="宋体" w:hAnsi="宋体" w:eastAsia="宋体"/>
          <w:b w:val="0"/>
          <w:sz w:val="21"/>
        </w:rPr>
        <w:t>本实验在课程允许的范围内使用了 AI 助手，用途限于三类：理解 DuckDB 与 PyArrow 的参数含义、分析报错信息、整理报告的行文结构。AI 没有参与任何一次实际运行，报告中出现的行数、哈希、耗时、run_id 与判定结果均来自本机真实执行。</w:t>
      </w:r>
    </w:p>
    <w:p>
      <w:pPr>
        <w:spacing w:before="0" w:after="0"/>
      </w:pPr>
      <w:r>
        <w:rPr>
          <w:rFonts w:ascii="宋体" w:hAnsi="宋体" w:eastAsia="宋体"/>
          <w:b w:val="0"/>
          <w:sz w:val="21"/>
        </w:rPr>
        <w:t>核对方法有三项。第一，每次截图前打开证据 HTML，确认页面顶部原生显示的学号、实验号 02 与正文 run_id 一致，并把这行身份栏完整截入画面。第二，对 Silver 与 Gold 的总量另用 DuckDB 查询独立核对，确认 requests 之和与 Silver 行数相等、Token 总量一致。第三，把远端课程仓库与本地克隆做版本比对，确认所用手册与评分标准未被改动。</w:t>
      </w:r>
    </w:p>
    <w:p>
      <w:pPr>
        <w:spacing w:before="0" w:after="0"/>
      </w:pPr>
      <w:r>
        <w:rPr>
          <w:rFonts w:ascii="宋体" w:hAnsi="宋体" w:eastAsia="宋体"/>
          <w:b w:val="0"/>
          <w:sz w:val="21"/>
        </w:rPr>
        <w:t>本人独立完成的内容：六行小表的手工推演与四个计数值、同 ID 冲突的处理判断、阈值改为 1200 前后的三项预测、三个坏样本探针的错误类型预测、选做实验中关于加速来源的分析，以及本报告的全部运行取证。</w:t>
      </w:r>
    </w:p>
    <w:p>
      <w:pPr>
        <w:spacing w:before="160" w:after="40"/>
      </w:pPr>
      <w:r>
        <w:rPr>
          <w:rFonts w:ascii="宋体" w:hAnsi="宋体" w:eastAsia="宋体"/>
          <w:b/>
          <w:sz w:val="21"/>
        </w:rPr>
        <w:t>六、实验心得</w:t>
      </w:r>
    </w:p>
    <w:p>
      <w:pPr>
        <w:spacing w:before="20" w:after="0"/>
      </w:pPr>
      <w:r>
        <w:rPr>
          <w:rFonts w:ascii="宋体" w:hAnsi="宋体" w:eastAsia="宋体"/>
          <w:b w:val="0"/>
          <w:sz w:val="21"/>
        </w:rPr>
        <w:t>这次实验让我第一次真切感受到“数据能存下来”和“数据能用”之间的距离。实验 01 证明了字节没变，但这份文件里还混着 100 条重复和 2 条坏行，直接拿去统计就会出偏差。做完实验我才明白，质量契约不是可有可无的文档，而是决定哪些数据能进下游的那道闸门。</w:t>
      </w:r>
    </w:p>
    <w:p>
      <w:pPr>
        <w:spacing w:before="20" w:after="0"/>
      </w:pPr>
      <w:r>
        <w:rPr>
          <w:rFonts w:ascii="宋体" w:hAnsi="宋体" w:eastAsia="宋体"/>
          <w:b w:val="0"/>
          <w:sz w:val="21"/>
        </w:rPr>
        <w:t>六行小表的推演看起来简单，但真正动手算才发现自己在“重复”和“冲突”之间的界线是模糊的。我一开始想的是同 ID 就留一条，后来读手册才意识到：内容完全相同才叫重复，内容不同就是冲突，程序必须停下来而不是自己挑一个。这个区别在真实系统里可能意味着一整批统计要不要发布。</w:t>
      </w:r>
    </w:p>
    <w:p>
      <w:pPr>
        <w:spacing w:before="20" w:after="0"/>
      </w:pPr>
      <w:r>
        <w:rPr>
          <w:rFonts w:ascii="宋体" w:hAnsi="宋体" w:eastAsia="宋体"/>
          <w:b w:val="0"/>
          <w:sz w:val="21"/>
        </w:rPr>
        <w:t>改阈值那一步的结果出乎我的预期。我以为只是合法数据变少，没想到重复数也从 100 掉到了 67。回头想才通：程序先校验再去重，那些被 1200 挡掉的原始重复行根本没机会进入去重环节，于是跑到了拒绝计数里。这让我理解了为什么守恒式必须按实际口径重算，而不是抱着旧的 20000+100+2 不放。更让我在意的是那 6628 条被拒的记录——它们在技术上完全合法，只是被我人为设的上限挡在了外面，下游统计会因此系统性偏低。技术校验和业务政策确实是两件事。</w:t>
      </w:r>
    </w:p>
    <w:p>
      <w:pPr>
        <w:spacing w:before="20" w:after="0"/>
      </w:pPr>
      <w:r>
        <w:rPr>
          <w:rFonts w:ascii="宋体" w:hAnsi="宋体" w:eastAsia="宋体"/>
          <w:b w:val="0"/>
          <w:sz w:val="21"/>
        </w:rPr>
        <w:t>选做部分的对比也让我改变了一个偏见。我原本以为 Parquet 快是因为压缩，结果未压缩和 Zstd 两种 Parquet 耗时几乎一样，真正的原因是列式存储只读需要的列。压缩把文件压到 CSV 的 14%，速度反而略慢一点。这说明“文件变小”和“查询变快”是两个独立的问题，不能混为一谈。</w:t>
      </w:r>
    </w:p>
    <w:p>
      <w:pPr>
        <w:spacing w:before="160" w:after="40"/>
      </w:pPr>
      <w:r>
        <w:rPr>
          <w:rFonts w:ascii="宋体" w:hAnsi="宋体" w:eastAsia="宋体"/>
          <w:b/>
          <w:sz w:val="21"/>
        </w:rPr>
        <w:t>七、评语</w:t>
      </w:r>
    </w:p>
    <w:p>
      <w:pPr>
        <w:spacing w:before="0" w:after="0"/>
      </w:pPr>
    </w:p>
    <w:p>
      <w:pPr>
        <w:spacing w:before="0" w:after="0"/>
      </w:pPr>
      <w:r>
        <w:rPr>
          <w:rFonts w:ascii="宋体" w:hAnsi="宋体" w:eastAsia="宋体"/>
          <w:b w:val="0"/>
          <w:sz w:val="21"/>
        </w:rPr>
        <w:t xml:space="preserve">                                        指导教师：刘锦行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A9154"/>
    <w:multiLevelType w:val="singleLevel"/>
    <w:tmpl w:val="F70A9154"/>
    <w:lvl w:ilvl="0" w:tentative="0">
      <w:start w:val="4"/>
      <w:numFmt w:val="chineseCounting"/>
      <w:suff w:val="nothing"/>
      <w:lvlText w:val="%1、"/>
      <w:lvlJc w:val="left"/>
      <w:rPr>
        <w:rFonts w:hint="eastAsia"/>
      </w:rPr>
    </w:lvl>
  </w:abstractNum>
  <w:abstractNum w:abstractNumId="1">
    <w:nsid w:val="2789CD0D"/>
    <w:multiLevelType w:val="singleLevel"/>
    <w:tmpl w:val="2789CD0D"/>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yMGYzOWI1Y2QwNTVkZDhjYWU0MDBlYTE0OWZiZTQifQ=="/>
  </w:docVars>
  <w:rsids>
    <w:rsidRoot w:val="008C528C"/>
    <w:rsid w:val="00190484"/>
    <w:rsid w:val="002C5F8F"/>
    <w:rsid w:val="004D6C1B"/>
    <w:rsid w:val="0087115F"/>
    <w:rsid w:val="008C528C"/>
    <w:rsid w:val="009B5AF8"/>
    <w:rsid w:val="009E58B5"/>
    <w:rsid w:val="00A92A69"/>
    <w:rsid w:val="00AB7813"/>
    <w:rsid w:val="00B1422C"/>
    <w:rsid w:val="00B219A8"/>
    <w:rsid w:val="00D01B8C"/>
    <w:rsid w:val="00DC07FD"/>
    <w:rsid w:val="00DF0673"/>
    <w:rsid w:val="00DF1A15"/>
    <w:rsid w:val="00E3487A"/>
    <w:rsid w:val="00E50AF9"/>
    <w:rsid w:val="00E51085"/>
    <w:rsid w:val="00E73CAA"/>
    <w:rsid w:val="00F56BA8"/>
    <w:rsid w:val="08870C0F"/>
    <w:rsid w:val="08FA1588"/>
    <w:rsid w:val="119909D8"/>
    <w:rsid w:val="15676C84"/>
    <w:rsid w:val="1C403CED"/>
    <w:rsid w:val="20FC4788"/>
    <w:rsid w:val="25306575"/>
    <w:rsid w:val="258C0837"/>
    <w:rsid w:val="278F6075"/>
    <w:rsid w:val="31E236FC"/>
    <w:rsid w:val="322B3A9D"/>
    <w:rsid w:val="33075C78"/>
    <w:rsid w:val="3C165555"/>
    <w:rsid w:val="3FCB6FA1"/>
    <w:rsid w:val="4400471D"/>
    <w:rsid w:val="46FC3AF3"/>
    <w:rsid w:val="5729486A"/>
    <w:rsid w:val="57985F48"/>
    <w:rsid w:val="5939268C"/>
    <w:rsid w:val="5E5033CF"/>
    <w:rsid w:val="62112524"/>
    <w:rsid w:val="67AF6883"/>
    <w:rsid w:val="6E62394B"/>
    <w:rsid w:val="6EFD46DE"/>
    <w:rsid w:val="6FA32464"/>
    <w:rsid w:val="7379582D"/>
    <w:rsid w:val="7ADC6193"/>
    <w:rsid w:val="7B303C2E"/>
    <w:rsid w:val="7E784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page number"/>
    <w:qFormat/>
    <w:uiPriority w:val="0"/>
  </w:style>
  <w:style w:type="character" w:styleId="12">
    <w:name w:val="Hyperlink"/>
    <w:basedOn w:val="9"/>
    <w:unhideWhenUsed/>
    <w:qFormat/>
    <w:uiPriority w:val="99"/>
    <w:rPr>
      <w:color w:val="0563C1" w:themeColor="hyperlink"/>
      <w:u w:val="single"/>
      <w14:textFill>
        <w14:solidFill>
          <w14:schemeClr w14:val="hlink"/>
        </w14:solidFill>
      </w14:textFill>
    </w:rPr>
  </w:style>
  <w:style w:type="character" w:styleId="13">
    <w:name w:val="HTML Code"/>
    <w:basedOn w:val="9"/>
    <w:semiHidden/>
    <w:unhideWhenUsed/>
    <w:qFormat/>
    <w:uiPriority w:val="99"/>
    <w:rPr>
      <w:rFonts w:ascii="Courier New" w:hAnsi="Courier New"/>
      <w:sz w:val="20"/>
    </w:rPr>
  </w:style>
  <w:style w:type="paragraph" w:styleId="14">
    <w:name w:val="List Paragraph"/>
    <w:basedOn w:val="1"/>
    <w:qFormat/>
    <w:uiPriority w:val="34"/>
    <w:pPr>
      <w:ind w:firstLine="420" w:firstLineChars="200"/>
    </w:pPr>
  </w:style>
  <w:style w:type="character" w:customStyle="1" w:styleId="15">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hyperlink" Target="https://github.com/yiyun2026/bdp-coursework" TargetMode="External"/><Relationship Id="rId30" Type="http://schemas.openxmlformats.org/officeDocument/2006/relationships/image" Target="media/image2.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Pages>
  <Words>4894</Words>
  <Characters>8281</Characters>
  <Lines>2</Lines>
  <Paragraphs>1</Paragraphs>
  <TotalTime>1</TotalTime>
  <ScaleCrop>false</ScaleCrop>
  <LinksUpToDate>false</LinksUpToDate>
  <CharactersWithSpaces>8956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2026-09-16T01:43:00Z</dcterms:created>
  <dc:creator>錦行 劉</dc:creator>
  <cp:lastModifiedBy>WPS_1761092712</cp:lastModifiedBy>
  <dcterms:modified xsi:type="dcterms:W3CDTF">2026-10-20T09:06:20Z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943222084D444136A46AB927226EE245_13</vt:lpwstr>
  </property>
  <property fmtid="{D5CDD505-2E9C-101B-9397-08002B2CF9AE}" pid="4" name="KSOTemplateDocerSaveRecord">
    <vt:lpwstr>eyJoZGlkIjoiZWUyMGYzOWI1Y2QwNTVkZDhjYWU0MDBlYTE0OWZiZTQiLCJ1c2VySWQiOiIxNjQxMjI4NjY4In0=</vt:lpwstr>
  </property>
</Properties>
</file>