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圆柱绕流符号建模与灵敏度研究成果汇总报告</w:t>
      </w:r>
    </w:p>
    <w:p>
      <w:pPr>
        <w:spacing w:after="240"/>
      </w:pPr>
      <w:r>
        <w:rPr>
          <w:sz w:val="22"/>
        </w:rPr>
        <w:t>截至 2026 年 9 月 20 日</w:t>
      </w:r>
    </w:p>
    <w:p>
      <w:pPr>
        <w:pStyle w:val="Heading1"/>
      </w:pPr>
      <w:r>
        <w:t>摘要</w:t>
      </w:r>
    </w:p>
    <w:p>
      <w:pPr>
        <w:jc w:val="both"/>
      </w:pPr>
      <w:r>
        <w:rPr>
          <w:b w:val="0"/>
        </w:rPr>
        <w:t>本项目围绕二维圆柱尾流，研究能否通过物理约束符号回归，从基准流场获得可解释表达式，并进一步预测半径和圆心位置变化引起的流动响应。现阶段已经完成 COMSOL 数据预处理、速度与流函数建模、几何响应分解、符号模型与神经网络梯度对照，以及观测可辨识性、导数损失、局部响应重建和标签可靠性等实验。</w:t>
      </w:r>
    </w:p>
    <w:p>
      <w:pPr>
        <w:jc w:val="both"/>
      </w:pPr>
      <w:r>
        <w:rPr>
          <w:b/>
        </w:rPr>
        <w:t>最主要的成果，是建立了从流场拟合到参数响应评价的研究框架，并识别出决定响应预测是否可信的三个条件：观测必须提供目标所需的信息，模型必须准确表示相关导数，有限差分参照必须具有稳定的统计与离散化定义。</w:t>
      </w:r>
      <w:r>
        <w:rPr>
          <w:b w:val="0"/>
        </w:rPr>
        <w:t xml:space="preserve"> 这些条件分别得到 P1、P2 与真实尾流审计的支持。</w:t>
      </w:r>
    </w:p>
    <w:p>
      <w:pPr>
        <w:jc w:val="both"/>
      </w:pPr>
      <w:r>
        <w:rPr>
          <w:b w:val="0"/>
        </w:rPr>
        <w:t>已有结果尚未证明“仅凭单次基准仿真的被动后处理，就能准确恢复全部几何参数总响应”。坐标输运项 K 可以由基准空间梯度和几何映射计算，但内在响应 M 还需要参数方向的信息。当前半径响应流函数在统一的有限差分目标上，完整无量纲总响应相对误差为 u 分量 82.92%、v 分量 155.71%；周期平均审计又显示，部分旧响应标签显著依赖平均窗口。因此，当前成果应定位为可解释响应建模的原型、机制诊断和可复核证据基础。[E1–E4]</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4535"/>
        <w:gridCol w:w="2948"/>
      </w:tblGrid>
      <w:tr>
        <w:trPr>
          <w:cantSplit/>
          <w:tblHeader/>
        </w:trPr>
        <w:tc>
          <w:tcPr>
            <w:tcW w:type="dxa" w:w="1928"/>
            <w:vAlign w:val="center"/>
            <w:shd w:fill="DCE6ED"/>
            <w:tcMar>
              <w:top w:w="75" w:type="dxa"/>
              <w:bottom w:w="75" w:type="dxa"/>
              <w:left w:w="100" w:type="dxa"/>
              <w:right w:w="100" w:type="dxa"/>
            </w:tcMar>
          </w:tcPr>
          <w:p>
            <w:pPr>
              <w:keepNext/>
              <w:spacing w:before="0" w:after="0" w:line="269" w:lineRule="auto"/>
              <w:jc w:val="left"/>
            </w:pPr>
            <w:r>
              <w:rPr>
                <w:b/>
                <w:sz w:val="18"/>
              </w:rPr>
              <w:t>成果模块</w:t>
            </w:r>
          </w:p>
        </w:tc>
        <w:tc>
          <w:tcPr>
            <w:tcW w:type="dxa" w:w="4535"/>
            <w:vAlign w:val="center"/>
            <w:shd w:fill="DCE6ED"/>
            <w:tcMar>
              <w:top w:w="75" w:type="dxa"/>
              <w:bottom w:w="75" w:type="dxa"/>
              <w:left w:w="100" w:type="dxa"/>
              <w:right w:w="100" w:type="dxa"/>
            </w:tcMar>
          </w:tcPr>
          <w:p>
            <w:pPr>
              <w:keepNext/>
              <w:spacing w:before="0" w:after="0" w:line="269" w:lineRule="auto"/>
              <w:jc w:val="center"/>
            </w:pPr>
            <w:r>
              <w:rPr>
                <w:b/>
                <w:sz w:val="18"/>
              </w:rPr>
              <w:t>代表性结果</w:t>
            </w:r>
          </w:p>
        </w:tc>
        <w:tc>
          <w:tcPr>
            <w:tcW w:type="dxa" w:w="2948"/>
            <w:vAlign w:val="center"/>
            <w:shd w:fill="DCE6ED"/>
            <w:tcMar>
              <w:top w:w="75" w:type="dxa"/>
              <w:bottom w:w="75" w:type="dxa"/>
              <w:left w:w="100" w:type="dxa"/>
              <w:right w:w="100" w:type="dxa"/>
            </w:tcMar>
          </w:tcPr>
          <w:p>
            <w:pPr>
              <w:keepNext/>
              <w:spacing w:before="0" w:after="0" w:line="269" w:lineRule="auto"/>
              <w:jc w:val="center"/>
            </w:pPr>
            <w:r>
              <w:rPr>
                <w:b/>
                <w:sz w:val="18"/>
              </w:rPr>
              <w:t>当前证据范围</w:t>
            </w:r>
          </w:p>
        </w:tc>
      </w:tr>
      <w:tr>
        <w:trPr>
          <w:cantSplit/>
        </w:trPr>
        <w:tc>
          <w:tcPr>
            <w:tcW w:type="dxa" w:w="1928"/>
            <w:vAlign w:val="center"/>
            <w:shd w:fill="FFFFFF"/>
            <w:tcMar>
              <w:top w:w="75" w:type="dxa"/>
              <w:bottom w:w="75" w:type="dxa"/>
              <w:left w:w="100" w:type="dxa"/>
              <w:right w:w="100" w:type="dxa"/>
            </w:tcMar>
          </w:tcPr>
          <w:p>
            <w:pPr>
              <w:keepNext w:val="0"/>
              <w:spacing w:before="0" w:after="0" w:line="269" w:lineRule="auto"/>
              <w:jc w:val="left"/>
            </w:pPr>
            <w:r>
              <w:rPr>
                <w:b w:val="0"/>
                <w:sz w:val="18"/>
              </w:rPr>
              <w:t>响应分解与实现</w:t>
            </w:r>
          </w:p>
        </w:tc>
        <w:tc>
          <w:tcPr>
            <w:tcW w:type="dxa" w:w="4535"/>
            <w:vAlign w:val="center"/>
            <w:shd w:fill="FFFFFF"/>
            <w:tcMar>
              <w:top w:w="75" w:type="dxa"/>
              <w:bottom w:w="75" w:type="dxa"/>
              <w:left w:w="100" w:type="dxa"/>
              <w:right w:w="100" w:type="dxa"/>
            </w:tcMar>
          </w:tcPr>
          <w:p>
            <w:pPr>
              <w:keepNext w:val="0"/>
              <w:spacing w:before="0" w:after="0" w:line="269" w:lineRule="auto"/>
              <w:jc w:val="left"/>
            </w:pPr>
            <w:r>
              <w:rPr>
                <w:b w:val="0"/>
                <w:sz w:val="18"/>
              </w:rPr>
              <w:t>六条解析链式关系成立；离散路径闭合约 1.70×10⁻¹⁶</w:t>
            </w:r>
          </w:p>
        </w:tc>
        <w:tc>
          <w:tcPr>
            <w:tcW w:type="dxa" w:w="2948"/>
            <w:vAlign w:val="center"/>
            <w:shd w:fill="FFFFFF"/>
            <w:tcMar>
              <w:top w:w="75" w:type="dxa"/>
              <w:bottom w:w="75" w:type="dxa"/>
              <w:left w:w="100" w:type="dxa"/>
              <w:right w:w="100" w:type="dxa"/>
            </w:tcMar>
          </w:tcPr>
          <w:p>
            <w:pPr>
              <w:keepNext w:val="0"/>
              <w:spacing w:before="0" w:after="0" w:line="269" w:lineRule="auto"/>
              <w:jc w:val="center"/>
            </w:pPr>
            <w:r>
              <w:rPr>
                <w:b w:val="0"/>
                <w:sz w:val="18"/>
              </w:rPr>
              <w:t>公式与记账验证</w:t>
            </w:r>
          </w:p>
        </w:tc>
      </w:tr>
      <w:tr>
        <w:trPr>
          <w:cantSplit/>
        </w:trPr>
        <w:tc>
          <w:tcPr>
            <w:tcW w:type="dxa" w:w="1928"/>
            <w:vAlign w:val="center"/>
            <w:shd w:fill="F5F7F9"/>
            <w:tcMar>
              <w:top w:w="75" w:type="dxa"/>
              <w:bottom w:w="75" w:type="dxa"/>
              <w:left w:w="100" w:type="dxa"/>
              <w:right w:w="100" w:type="dxa"/>
            </w:tcMar>
          </w:tcPr>
          <w:p>
            <w:pPr>
              <w:keepNext w:val="0"/>
              <w:spacing w:before="0" w:after="0" w:line="269" w:lineRule="auto"/>
              <w:jc w:val="left"/>
            </w:pPr>
            <w:r>
              <w:rPr>
                <w:b w:val="0"/>
                <w:sz w:val="18"/>
              </w:rPr>
              <w:t>微分观测可辨识性</w:t>
            </w:r>
          </w:p>
        </w:tc>
        <w:tc>
          <w:tcPr>
            <w:tcW w:type="dxa" w:w="4535"/>
            <w:vAlign w:val="center"/>
            <w:shd w:fill="F5F7F9"/>
            <w:tcMar>
              <w:top w:w="75" w:type="dxa"/>
              <w:bottom w:w="75" w:type="dxa"/>
              <w:left w:w="100" w:type="dxa"/>
              <w:right w:w="100" w:type="dxa"/>
            </w:tcMar>
          </w:tcPr>
          <w:p>
            <w:pPr>
              <w:keepNext w:val="0"/>
              <w:spacing w:before="0" w:after="0" w:line="269" w:lineRule="auto"/>
              <w:jc w:val="center"/>
            </w:pPr>
            <w:r>
              <w:rPr>
                <w:b w:val="0"/>
                <w:sz w:val="18"/>
              </w:rPr>
              <w:t>七项字典秩从 3 提升至 6，仅剩常数规范</w:t>
            </w:r>
          </w:p>
        </w:tc>
        <w:tc>
          <w:tcPr>
            <w:tcW w:type="dxa" w:w="2948"/>
            <w:vAlign w:val="center"/>
            <w:shd w:fill="F5F7F9"/>
            <w:tcMar>
              <w:top w:w="75" w:type="dxa"/>
              <w:bottom w:w="75" w:type="dxa"/>
              <w:left w:w="100" w:type="dxa"/>
              <w:right w:w="100" w:type="dxa"/>
            </w:tcMar>
          </w:tcPr>
          <w:p>
            <w:pPr>
              <w:keepNext w:val="0"/>
              <w:spacing w:before="0" w:after="0" w:line="269" w:lineRule="auto"/>
              <w:jc w:val="center"/>
            </w:pPr>
            <w:r>
              <w:rPr>
                <w:b w:val="0"/>
                <w:sz w:val="18"/>
              </w:rPr>
              <w:t>指定字典和观测域</w:t>
            </w:r>
          </w:p>
        </w:tc>
      </w:tr>
      <w:tr>
        <w:trPr>
          <w:cantSplit/>
        </w:trPr>
        <w:tc>
          <w:tcPr>
            <w:tcW w:type="dxa" w:w="1928"/>
            <w:vAlign w:val="center"/>
            <w:shd w:fill="FFFFFF"/>
            <w:tcMar>
              <w:top w:w="75" w:type="dxa"/>
              <w:bottom w:w="75" w:type="dxa"/>
              <w:left w:w="100" w:type="dxa"/>
              <w:right w:w="100" w:type="dxa"/>
            </w:tcMar>
          </w:tcPr>
          <w:p>
            <w:pPr>
              <w:keepNext w:val="0"/>
              <w:spacing w:before="0" w:after="0" w:line="269" w:lineRule="auto"/>
              <w:jc w:val="left"/>
            </w:pPr>
            <w:r>
              <w:rPr>
                <w:b w:val="0"/>
                <w:sz w:val="18"/>
              </w:rPr>
              <w:t>导数损失探索</w:t>
            </w:r>
          </w:p>
        </w:tc>
        <w:tc>
          <w:tcPr>
            <w:tcW w:type="dxa" w:w="4535"/>
            <w:vAlign w:val="center"/>
            <w:shd w:fill="FFFFFF"/>
            <w:tcMar>
              <w:top w:w="75" w:type="dxa"/>
              <w:bottom w:w="75" w:type="dxa"/>
              <w:left w:w="100" w:type="dxa"/>
              <w:right w:w="100" w:type="dxa"/>
            </w:tcMar>
          </w:tcPr>
          <w:p>
            <w:pPr>
              <w:keepNext w:val="0"/>
              <w:spacing w:before="0" w:after="0" w:line="269" w:lineRule="auto"/>
              <w:jc w:val="left"/>
            </w:pPr>
            <w:r>
              <w:rPr>
                <w:b w:val="0"/>
                <w:sz w:val="18"/>
              </w:rPr>
              <w:t>历史两组候选在新增测试点的梯度 MSE 差异约 66.17%</w:t>
            </w:r>
          </w:p>
        </w:tc>
        <w:tc>
          <w:tcPr>
            <w:tcW w:type="dxa" w:w="2948"/>
            <w:vAlign w:val="center"/>
            <w:shd w:fill="FFFFFF"/>
            <w:tcMar>
              <w:top w:w="75" w:type="dxa"/>
              <w:bottom w:w="75" w:type="dxa"/>
              <w:left w:w="100" w:type="dxa"/>
              <w:right w:w="100" w:type="dxa"/>
            </w:tcMar>
          </w:tcPr>
          <w:p>
            <w:pPr>
              <w:keepNext w:val="0"/>
              <w:spacing w:before="0" w:after="0" w:line="269" w:lineRule="auto"/>
              <w:jc w:val="center"/>
            </w:pPr>
            <w:r>
              <w:rPr>
                <w:b w:val="0"/>
                <w:sz w:val="18"/>
              </w:rPr>
              <w:t>尚缺配对多种子因果验证</w:t>
            </w:r>
          </w:p>
        </w:tc>
      </w:tr>
      <w:tr>
        <w:trPr>
          <w:cantSplit/>
        </w:trPr>
        <w:tc>
          <w:tcPr>
            <w:tcW w:type="dxa" w:w="1928"/>
            <w:vAlign w:val="center"/>
            <w:shd w:fill="F5F7F9"/>
            <w:tcMar>
              <w:top w:w="75" w:type="dxa"/>
              <w:bottom w:w="75" w:type="dxa"/>
              <w:left w:w="100" w:type="dxa"/>
              <w:right w:w="100" w:type="dxa"/>
            </w:tcMar>
          </w:tcPr>
          <w:p>
            <w:pPr>
              <w:keepNext w:val="0"/>
              <w:spacing w:before="0" w:after="0" w:line="269" w:lineRule="auto"/>
              <w:jc w:val="left"/>
            </w:pPr>
            <w:r>
              <w:rPr>
                <w:b w:val="0"/>
                <w:sz w:val="18"/>
              </w:rPr>
              <w:t>基准代理梯度</w:t>
            </w:r>
          </w:p>
        </w:tc>
        <w:tc>
          <w:tcPr>
            <w:tcW w:type="dxa" w:w="4535"/>
            <w:vAlign w:val="center"/>
            <w:shd w:fill="F5F7F9"/>
            <w:tcMar>
              <w:top w:w="75" w:type="dxa"/>
              <w:bottom w:w="75" w:type="dxa"/>
              <w:left w:w="100" w:type="dxa"/>
              <w:right w:w="100" w:type="dxa"/>
            </w:tcMar>
          </w:tcPr>
          <w:p>
            <w:pPr>
              <w:keepNext w:val="0"/>
              <w:spacing w:before="0" w:after="0" w:line="269" w:lineRule="auto"/>
              <w:jc w:val="left"/>
            </w:pPr>
            <w:r>
              <w:rPr>
                <w:b w:val="0"/>
                <w:sz w:val="18"/>
              </w:rPr>
              <w:t>R/​u 的 K 误差为符号模型 16.87%、MLP 均值场 5.58%</w:t>
            </w:r>
          </w:p>
        </w:tc>
        <w:tc>
          <w:tcPr>
            <w:tcW w:type="dxa" w:w="2948"/>
            <w:vAlign w:val="center"/>
            <w:shd w:fill="F5F7F9"/>
            <w:tcMar>
              <w:top w:w="75" w:type="dxa"/>
              <w:bottom w:w="75" w:type="dxa"/>
              <w:left w:w="100" w:type="dxa"/>
              <w:right w:w="100" w:type="dxa"/>
            </w:tcMar>
          </w:tcPr>
          <w:p>
            <w:pPr>
              <w:keepNext w:val="0"/>
              <w:spacing w:before="0" w:after="0" w:line="269" w:lineRule="auto"/>
              <w:jc w:val="center"/>
            </w:pPr>
            <w:r>
              <w:rPr>
                <w:b w:val="0"/>
                <w:sz w:val="18"/>
              </w:rPr>
              <w:t>当前存档与同一 FD 目标</w:t>
            </w:r>
          </w:p>
        </w:tc>
      </w:tr>
      <w:tr>
        <w:trPr>
          <w:cantSplit/>
        </w:trPr>
        <w:tc>
          <w:tcPr>
            <w:tcW w:type="dxa" w:w="1928"/>
            <w:vAlign w:val="center"/>
            <w:shd w:fill="FFFFFF"/>
            <w:tcMar>
              <w:top w:w="75" w:type="dxa"/>
              <w:bottom w:w="75" w:type="dxa"/>
              <w:left w:w="100" w:type="dxa"/>
              <w:right w:w="100" w:type="dxa"/>
            </w:tcMar>
          </w:tcPr>
          <w:p>
            <w:pPr>
              <w:keepNext w:val="0"/>
              <w:spacing w:before="0" w:after="0" w:line="269" w:lineRule="auto"/>
              <w:jc w:val="left"/>
            </w:pPr>
            <w:r>
              <w:rPr>
                <w:b w:val="0"/>
                <w:sz w:val="18"/>
              </w:rPr>
              <w:t>局部 M 重建</w:t>
            </w:r>
          </w:p>
        </w:tc>
        <w:tc>
          <w:tcPr>
            <w:tcW w:type="dxa" w:w="4535"/>
            <w:vAlign w:val="center"/>
            <w:shd w:fill="FFFFFF"/>
            <w:tcMar>
              <w:top w:w="75" w:type="dxa"/>
              <w:bottom w:w="75" w:type="dxa"/>
              <w:left w:w="100" w:type="dxa"/>
              <w:right w:w="100" w:type="dxa"/>
            </w:tcMar>
          </w:tcPr>
          <w:p>
            <w:pPr>
              <w:keepNext w:val="0"/>
              <w:spacing w:before="0" w:after="0" w:line="269" w:lineRule="auto"/>
              <w:jc w:val="left"/>
            </w:pPr>
            <w:r>
              <w:rPr>
                <w:b w:val="0"/>
                <w:sz w:val="18"/>
              </w:rPr>
              <w:t>原留单片 R/u、R/v 为 5.15%、8.49%；cx 明显失败</w:t>
            </w:r>
          </w:p>
        </w:tc>
        <w:tc>
          <w:tcPr>
            <w:tcW w:type="dxa" w:w="2948"/>
            <w:vAlign w:val="center"/>
            <w:shd w:fill="FFFFFF"/>
            <w:tcMar>
              <w:top w:w="75" w:type="dxa"/>
              <w:bottom w:w="75" w:type="dxa"/>
              <w:left w:w="100" w:type="dxa"/>
              <w:right w:w="100" w:type="dxa"/>
            </w:tcMar>
          </w:tcPr>
          <w:p>
            <w:pPr>
              <w:keepNext w:val="0"/>
              <w:spacing w:before="0" w:after="0" w:line="269" w:lineRule="auto"/>
              <w:jc w:val="center"/>
            </w:pPr>
            <w:r>
              <w:rPr>
                <w:b w:val="0"/>
                <w:sz w:val="18"/>
              </w:rPr>
              <w:t>同算例空间标签预测</w:t>
            </w:r>
          </w:p>
        </w:tc>
      </w:tr>
      <w:tr>
        <w:trPr>
          <w:cantSplit/>
        </w:trPr>
        <w:tc>
          <w:tcPr>
            <w:tcW w:type="dxa" w:w="1928"/>
            <w:vAlign w:val="center"/>
            <w:shd w:fill="F5F7F9"/>
            <w:tcMar>
              <w:top w:w="75" w:type="dxa"/>
              <w:bottom w:w="75" w:type="dxa"/>
              <w:left w:w="100" w:type="dxa"/>
              <w:right w:w="100" w:type="dxa"/>
            </w:tcMar>
          </w:tcPr>
          <w:p>
            <w:pPr>
              <w:keepNext w:val="0"/>
              <w:spacing w:before="0" w:after="0" w:line="269" w:lineRule="auto"/>
              <w:jc w:val="left"/>
            </w:pPr>
            <w:r>
              <w:rPr>
                <w:b w:val="0"/>
                <w:sz w:val="18"/>
              </w:rPr>
              <w:t>标签可靠性</w:t>
            </w:r>
          </w:p>
        </w:tc>
        <w:tc>
          <w:tcPr>
            <w:tcW w:type="dxa" w:w="4535"/>
            <w:vAlign w:val="center"/>
            <w:shd w:fill="F5F7F9"/>
            <w:tcMar>
              <w:top w:w="75" w:type="dxa"/>
              <w:bottom w:w="75" w:type="dxa"/>
              <w:left w:w="100" w:type="dxa"/>
              <w:right w:w="100" w:type="dxa"/>
            </w:tcMar>
          </w:tcPr>
          <w:p>
            <w:pPr>
              <w:keepNext w:val="0"/>
              <w:spacing w:before="0" w:after="0" w:line="269" w:lineRule="auto"/>
              <w:jc w:val="left"/>
            </w:pPr>
            <w:r>
              <w:rPr>
                <w:b w:val="0"/>
                <w:sz w:val="18"/>
              </w:rPr>
              <w:t>周期平均相对旧标签改变 R/v 79.89%、cx/v 32.37%</w:t>
            </w:r>
          </w:p>
        </w:tc>
        <w:tc>
          <w:tcPr>
            <w:tcW w:type="dxa" w:w="2948"/>
            <w:vAlign w:val="center"/>
            <w:shd w:fill="F5F7F9"/>
            <w:tcMar>
              <w:top w:w="75" w:type="dxa"/>
              <w:bottom w:w="75" w:type="dxa"/>
              <w:left w:w="100" w:type="dxa"/>
              <w:right w:w="100" w:type="dxa"/>
            </w:tcMar>
          </w:tcPr>
          <w:p>
            <w:pPr>
              <w:keepNext w:val="0"/>
              <w:spacing w:before="0" w:after="0" w:line="269" w:lineRule="auto"/>
              <w:jc w:val="center"/>
            </w:pPr>
            <w:r>
              <w:rPr>
                <w:b w:val="0"/>
                <w:sz w:val="18"/>
              </w:rPr>
              <w:t>平均协议敏感性诊断</w:t>
            </w:r>
          </w:p>
        </w:tc>
      </w:tr>
      <w:tr>
        <w:trPr>
          <w:cantSplit/>
        </w:trPr>
        <w:tc>
          <w:tcPr>
            <w:tcW w:type="dxa" w:w="1928"/>
            <w:vAlign w:val="center"/>
            <w:shd w:fill="FFFFFF"/>
            <w:tcMar>
              <w:top w:w="75" w:type="dxa"/>
              <w:bottom w:w="75" w:type="dxa"/>
              <w:left w:w="100" w:type="dxa"/>
              <w:right w:w="100" w:type="dxa"/>
            </w:tcMar>
          </w:tcPr>
          <w:p>
            <w:pPr>
              <w:keepNext w:val="0"/>
              <w:spacing w:before="0" w:after="0" w:line="269" w:lineRule="auto"/>
              <w:jc w:val="left"/>
            </w:pPr>
            <w:r>
              <w:rPr>
                <w:b w:val="0"/>
                <w:sz w:val="18"/>
              </w:rPr>
              <w:t>通道约束比研究</w:t>
            </w:r>
          </w:p>
        </w:tc>
        <w:tc>
          <w:tcPr>
            <w:tcW w:type="dxa" w:w="4535"/>
            <w:vAlign w:val="center"/>
            <w:shd w:fill="FFFFFF"/>
            <w:tcMar>
              <w:top w:w="75" w:type="dxa"/>
              <w:bottom w:w="75" w:type="dxa"/>
              <w:left w:w="100" w:type="dxa"/>
              <w:right w:w="100" w:type="dxa"/>
            </w:tcMar>
          </w:tcPr>
          <w:p>
            <w:pPr>
              <w:keepNext w:val="0"/>
              <w:spacing w:before="0" w:after="0" w:line="269" w:lineRule="auto"/>
              <w:jc w:val="center"/>
            </w:pPr>
            <w:r>
              <w:rPr>
                <w:b w:val="0"/>
                <w:sz w:val="18"/>
              </w:rPr>
              <w:t>差分步长变化使 H/D 趋势翻转</w:t>
            </w:r>
          </w:p>
        </w:tc>
        <w:tc>
          <w:tcPr>
            <w:tcW w:type="dxa" w:w="2948"/>
            <w:vAlign w:val="center"/>
            <w:shd w:fill="FFFFFF"/>
            <w:tcMar>
              <w:top w:w="75" w:type="dxa"/>
              <w:bottom w:w="75" w:type="dxa"/>
              <w:left w:w="100" w:type="dxa"/>
              <w:right w:w="100" w:type="dxa"/>
            </w:tcMar>
          </w:tcPr>
          <w:p>
            <w:pPr>
              <w:keepNext w:val="0"/>
              <w:spacing w:before="0" w:after="0" w:line="269" w:lineRule="auto"/>
              <w:jc w:val="center"/>
            </w:pPr>
            <w:r>
              <w:rPr>
                <w:b w:val="0"/>
                <w:sz w:val="18"/>
              </w:rPr>
              <w:t>当前无可靠物理结论</w:t>
            </w:r>
          </w:p>
        </w:tc>
      </w:tr>
      <w:tr>
        <w:trPr>
          <w:cantSplit/>
        </w:trPr>
        <w:tc>
          <w:tcPr>
            <w:tcW w:type="dxa" w:w="1928"/>
            <w:vAlign w:val="center"/>
            <w:shd w:fill="F5F7F9"/>
            <w:tcMar>
              <w:top w:w="75" w:type="dxa"/>
              <w:bottom w:w="75" w:type="dxa"/>
              <w:left w:w="100" w:type="dxa"/>
              <w:right w:w="100" w:type="dxa"/>
            </w:tcMar>
          </w:tcPr>
          <w:p>
            <w:pPr>
              <w:keepNext w:val="0"/>
              <w:spacing w:before="0" w:after="0" w:line="269" w:lineRule="auto"/>
              <w:jc w:val="left"/>
            </w:pPr>
            <w:r>
              <w:rPr>
                <w:b w:val="0"/>
                <w:sz w:val="18"/>
              </w:rPr>
              <w:t>参数重要性排序</w:t>
            </w:r>
          </w:p>
        </w:tc>
        <w:tc>
          <w:tcPr>
            <w:tcW w:type="dxa" w:w="4535"/>
            <w:vAlign w:val="center"/>
            <w:shd w:fill="F5F7F9"/>
            <w:tcMar>
              <w:top w:w="75" w:type="dxa"/>
              <w:bottom w:w="75" w:type="dxa"/>
              <w:left w:w="100" w:type="dxa"/>
              <w:right w:w="100" w:type="dxa"/>
            </w:tcMar>
          </w:tcPr>
          <w:p>
            <w:pPr>
              <w:keepNext w:val="0"/>
              <w:spacing w:before="0" w:after="0" w:line="269" w:lineRule="auto"/>
              <w:jc w:val="left"/>
            </w:pPr>
            <w:r>
              <w:rPr>
                <w:b w:val="0"/>
                <w:sz w:val="18"/>
              </w:rPr>
              <w:t>同一全域指标下 T、数据 K、符号 K 均给出 R &gt; cy &gt; cx</w:t>
            </w:r>
          </w:p>
        </w:tc>
        <w:tc>
          <w:tcPr>
            <w:tcW w:type="dxa" w:w="2948"/>
            <w:vAlign w:val="center"/>
            <w:shd w:fill="F5F7F9"/>
            <w:tcMar>
              <w:top w:w="75" w:type="dxa"/>
              <w:bottom w:w="75" w:type="dxa"/>
              <w:left w:w="100" w:type="dxa"/>
              <w:right w:w="100" w:type="dxa"/>
            </w:tcMar>
          </w:tcPr>
          <w:p>
            <w:pPr>
              <w:keepNext w:val="0"/>
              <w:spacing w:before="0" w:after="0" w:line="269" w:lineRule="auto"/>
              <w:jc w:val="center"/>
            </w:pPr>
            <w:r>
              <w:rPr>
                <w:b w:val="0"/>
                <w:sz w:val="18"/>
              </w:rPr>
              <w:t>单工况探索性排序</w:t>
            </w:r>
          </w:p>
        </w:tc>
      </w:tr>
      <w:tr>
        <w:trPr>
          <w:cantSplit/>
        </w:trPr>
        <w:tc>
          <w:tcPr>
            <w:tcW w:type="dxa" w:w="1928"/>
            <w:vAlign w:val="center"/>
            <w:shd w:fill="FFFFFF"/>
            <w:tcMar>
              <w:top w:w="75" w:type="dxa"/>
              <w:bottom w:w="75" w:type="dxa"/>
              <w:left w:w="100" w:type="dxa"/>
              <w:right w:w="100" w:type="dxa"/>
            </w:tcMar>
          </w:tcPr>
          <w:p>
            <w:pPr>
              <w:keepNext w:val="0"/>
              <w:spacing w:before="0" w:after="0" w:line="269" w:lineRule="auto"/>
              <w:jc w:val="left"/>
            </w:pPr>
            <w:r>
              <w:rPr>
                <w:b w:val="0"/>
                <w:sz w:val="18"/>
              </w:rPr>
              <w:t>工程流程</w:t>
            </w:r>
          </w:p>
        </w:tc>
        <w:tc>
          <w:tcPr>
            <w:tcW w:type="dxa" w:w="4535"/>
            <w:vAlign w:val="center"/>
            <w:shd w:fill="FFFFFF"/>
            <w:tcMar>
              <w:top w:w="75" w:type="dxa"/>
              <w:bottom w:w="75" w:type="dxa"/>
              <w:left w:w="100" w:type="dxa"/>
              <w:right w:w="100" w:type="dxa"/>
            </w:tcMar>
          </w:tcPr>
          <w:p>
            <w:pPr>
              <w:keepNext w:val="0"/>
              <w:spacing w:before="0" w:after="0" w:line="269" w:lineRule="auto"/>
              <w:jc w:val="left"/>
            </w:pPr>
            <w:r>
              <w:rPr>
                <w:b w:val="0"/>
                <w:sz w:val="18"/>
              </w:rPr>
              <w:t>数据指纹、运行隔离、固定选式和合成文件链测试已实现</w:t>
            </w:r>
          </w:p>
        </w:tc>
        <w:tc>
          <w:tcPr>
            <w:tcW w:type="dxa" w:w="2948"/>
            <w:vAlign w:val="center"/>
            <w:shd w:fill="FFFFFF"/>
            <w:tcMar>
              <w:top w:w="75" w:type="dxa"/>
              <w:bottom w:w="75" w:type="dxa"/>
              <w:left w:w="100" w:type="dxa"/>
              <w:right w:w="100" w:type="dxa"/>
            </w:tcMar>
          </w:tcPr>
          <w:p>
            <w:pPr>
              <w:keepNext w:val="0"/>
              <w:spacing w:before="0" w:after="0" w:line="269" w:lineRule="auto"/>
              <w:jc w:val="center"/>
            </w:pPr>
            <w:r>
              <w:rPr>
                <w:b w:val="0"/>
                <w:sz w:val="18"/>
              </w:rPr>
              <w:t>真实 CFD 全链重训尚未完成</w:t>
            </w:r>
          </w:p>
        </w:tc>
      </w:tr>
    </w:tbl>
    <w:p>
      <w:pPr>
        <w:spacing w:after="20" w:before="0" w:line="240" w:lineRule="auto"/>
      </w:pPr>
      <w:r>
        <w:rPr>
          <w:sz w:val="4"/>
        </w:rPr>
      </w:r>
    </w:p>
    <w:p>
      <w:pPr>
        <w:jc w:val="both"/>
      </w:pPr>
      <w:r>
        <w:rPr>
          <w:b w:val="0"/>
        </w:rPr>
        <w:t>关键词：圆柱尾流；物理约束符号回归；流函数；参数灵敏度；微分观测；导数学习；周期平均。</w:t>
      </w:r>
    </w:p>
    <w:p>
      <w:pPr>
        <w:pStyle w:val="Heading1"/>
        <w:pageBreakBefore/>
      </w:pPr>
      <w:r>
        <w:t>1 研究问题与成果范围</w:t>
      </w:r>
    </w:p>
    <w:p>
      <w:pPr>
        <w:pStyle w:val="Heading2"/>
      </w:pPr>
      <w:r>
        <w:t>1 1 从速度表达式到参数响应</w:t>
      </w:r>
    </w:p>
    <w:p>
      <w:pPr>
        <w:jc w:val="both"/>
      </w:pPr>
      <w:r>
        <w:rPr>
          <w:b w:val="0"/>
        </w:rPr>
        <w:t>研究最初从“用简单公式拟合单次圆柱流场”出发，逐步转向更严格的问题：拟合得到的公式，其空间导数是否可靠；空间导数能解释多少几何参数响应；剩余响应需要什么额外信息。二者之间存在明确的任务差异。一个表达式可以很好地拟合速度，却给出较差的梯度；一个无散度代理也可能无法预测参数变化后的流动。</w:t>
      </w:r>
    </w:p>
    <w:p>
      <w:pPr>
        <w:jc w:val="both"/>
      </w:pPr>
      <w:r>
        <w:rPr>
          <w:b w:val="0"/>
        </w:rPr>
        <w:t>本报告把成果按实际验证层次组织。P0 检查响应分解与记账；P1 检查部分微分观测的信息缺失；P2 检查函数值与导数目标的错配；ψ 和 MLP 比较基准代理的空间梯度；φ 与 A0 分别探索响应的符号表达和局部特征重建；P3 检查不同通道约束比下的半径响应；2026 年 9 月的两轮审计进一步检查结论、标签与评价协议。[E1–E3]</w:t>
      </w:r>
    </w:p>
    <w:p>
      <w:pPr>
        <w:pStyle w:val="Heading2"/>
      </w:pPr>
      <w:r>
        <w:t>1 2 单次仿真的信息口径</w:t>
      </w:r>
    </w:p>
    <w:p>
      <w:pPr>
        <w:jc w:val="both"/>
      </w:pPr>
      <w:r>
        <w:rPr>
          <w:b w:val="0"/>
        </w:rPr>
        <w:t>“一次仿真”需要区分三种信息条件。D0 指一次基准轨迹的被动后处理；D1 指一次非线性基准求解加辅助切线或伴随求解；D2 指包含参数扰动的多算例数据。当前 φ 和 A0 的训练标签来自扰动算例，属于使用了 D2 信息的监督重建。未来可以研究离线多算例训练、在线只输入一个新基准场的模型，但必须另行验证跨算例推广并计入离线成本。</w:t>
      </w:r>
    </w:p>
    <w:p>
      <w:pPr>
        <w:jc w:val="both"/>
      </w:pPr>
      <w:r>
        <w:rPr>
          <w:b w:val="0"/>
        </w:rPr>
        <w:t>P1 中补充 v 观测解决的是流函数的部分空间信息缺失；完整几何响应缺少的是参数方向信息。恢复 ψ 并不自动恢复 M。这一区分也是后续面向人工智能方法研究的基础。</w:t>
      </w:r>
    </w:p>
    <w:p>
      <w:pPr>
        <w:pStyle w:val="Heading1"/>
      </w:pPr>
      <w:r>
        <w:t>2 数据基础与实验资产</w:t>
      </w:r>
    </w:p>
    <w:p>
      <w:pPr>
        <w:pStyle w:val="Heading2"/>
      </w:pPr>
      <w:r>
        <w:t>2 1 基准和几何扰动数据</w:t>
      </w:r>
    </w:p>
    <w:p>
      <w:pPr>
        <w:jc w:val="both"/>
      </w:pPr>
      <w:r>
        <w:rPr>
          <w:b w:val="0"/>
        </w:rPr>
        <w:t>主数据由一组基准和 R、cx、cy 三个方向的六组正负扰动组成，原始文本约 5.35 GB。每组包含 0–8 s 的 801 帧，导出间隔为 0.01 s。旧流程使用索引 400 至 800，即 4.00–8.00 s 的 401 帧等权平均。2026 年 9 月 9 日已从原始时序重新计算，六项 M 与旧存档最大相对差约 1.70×10⁻¹³，确认这些标签可以从原始数据重建。[E3]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24"/>
        <w:gridCol w:w="7087"/>
      </w:tblGrid>
      <w:tr>
        <w:trPr>
          <w:cantSplit/>
          <w:tblHeader/>
        </w:trPr>
        <w:tc>
          <w:tcPr>
            <w:tcW w:type="dxa" w:w="2324"/>
            <w:vAlign w:val="center"/>
            <w:shd w:fill="DCE6ED"/>
            <w:tcMar>
              <w:top w:w="75" w:type="dxa"/>
              <w:bottom w:w="75" w:type="dxa"/>
              <w:left w:w="100" w:type="dxa"/>
              <w:right w:w="100" w:type="dxa"/>
            </w:tcMar>
          </w:tcPr>
          <w:p>
            <w:pPr>
              <w:keepNext/>
              <w:spacing w:before="0" w:after="0" w:line="269" w:lineRule="auto"/>
              <w:jc w:val="left"/>
            </w:pPr>
            <w:r>
              <w:rPr>
                <w:b/>
                <w:sz w:val="18"/>
              </w:rPr>
              <w:t>项目</w:t>
            </w:r>
          </w:p>
        </w:tc>
        <w:tc>
          <w:tcPr>
            <w:tcW w:type="dxa" w:w="7087"/>
            <w:vAlign w:val="center"/>
            <w:shd w:fill="DCE6ED"/>
            <w:tcMar>
              <w:top w:w="75" w:type="dxa"/>
              <w:bottom w:w="75" w:type="dxa"/>
              <w:left w:w="100" w:type="dxa"/>
              <w:right w:w="100" w:type="dxa"/>
            </w:tcMar>
          </w:tcPr>
          <w:p>
            <w:pPr>
              <w:keepNext/>
              <w:spacing w:before="0" w:after="0" w:line="269" w:lineRule="auto"/>
              <w:jc w:val="center"/>
            </w:pPr>
            <w:r>
              <w:rPr>
                <w:b/>
                <w:sz w:val="18"/>
              </w:rPr>
              <w:t>已确认的设置</w:t>
            </w:r>
          </w:p>
        </w:tc>
      </w:tr>
      <w:tr>
        <w:trPr>
          <w:cantSplit/>
        </w:trPr>
        <w:tc>
          <w:tcPr>
            <w:tcW w:type="dxa" w:w="2324"/>
            <w:vAlign w:val="center"/>
            <w:shd w:fill="FFFFFF"/>
            <w:tcMar>
              <w:top w:w="75" w:type="dxa"/>
              <w:bottom w:w="75" w:type="dxa"/>
              <w:left w:w="100" w:type="dxa"/>
              <w:right w:w="100" w:type="dxa"/>
            </w:tcMar>
          </w:tcPr>
          <w:p>
            <w:pPr>
              <w:keepNext w:val="0"/>
              <w:spacing w:before="0" w:after="0" w:line="269" w:lineRule="auto"/>
              <w:jc w:val="left"/>
            </w:pPr>
            <w:r>
              <w:rPr>
                <w:b w:val="0"/>
                <w:sz w:val="18"/>
              </w:rPr>
              <w:t>基准几何</w:t>
            </w:r>
          </w:p>
        </w:tc>
        <w:tc>
          <w:tcPr>
            <w:tcW w:type="dxa" w:w="7087"/>
            <w:vAlign w:val="center"/>
            <w:shd w:fill="FFFFFF"/>
            <w:tcMar>
              <w:top w:w="75" w:type="dxa"/>
              <w:bottom w:w="75" w:type="dxa"/>
              <w:left w:w="100" w:type="dxa"/>
              <w:right w:w="100" w:type="dxa"/>
            </w:tcMar>
          </w:tcPr>
          <w:p>
            <w:pPr>
              <w:keepNext w:val="0"/>
              <w:spacing w:before="0" w:after="0" w:line="269" w:lineRule="auto"/>
              <w:jc w:val="left"/>
            </w:pPr>
            <w:r>
              <w:rPr>
                <w:b w:val="0"/>
                <w:sz w:val="18"/>
              </w:rPr>
              <w:t>D=0.1 m，R=0.05 m，圆心 cx=0.2 m、cy=0.2 m</w:t>
            </w:r>
          </w:p>
        </w:tc>
      </w:tr>
      <w:tr>
        <w:trPr>
          <w:cantSplit/>
        </w:trPr>
        <w:tc>
          <w:tcPr>
            <w:tcW w:type="dxa" w:w="2324"/>
            <w:vAlign w:val="center"/>
            <w:shd w:fill="F5F7F9"/>
            <w:tcMar>
              <w:top w:w="75" w:type="dxa"/>
              <w:bottom w:w="75" w:type="dxa"/>
              <w:left w:w="100" w:type="dxa"/>
              <w:right w:w="100" w:type="dxa"/>
            </w:tcMar>
          </w:tcPr>
          <w:p>
            <w:pPr>
              <w:keepNext w:val="0"/>
              <w:spacing w:before="0" w:after="0" w:line="269" w:lineRule="auto"/>
              <w:jc w:val="left"/>
            </w:pPr>
            <w:r>
              <w:rPr>
                <w:b w:val="0"/>
                <w:sz w:val="18"/>
              </w:rPr>
              <w:t>参数差分步长</w:t>
            </w:r>
          </w:p>
        </w:tc>
        <w:tc>
          <w:tcPr>
            <w:tcW w:type="dxa" w:w="7087"/>
            <w:vAlign w:val="center"/>
            <w:shd w:fill="F5F7F9"/>
            <w:tcMar>
              <w:top w:w="75" w:type="dxa"/>
              <w:bottom w:w="75" w:type="dxa"/>
              <w:left w:w="100" w:type="dxa"/>
              <w:right w:w="100" w:type="dxa"/>
            </w:tcMar>
          </w:tcPr>
          <w:p>
            <w:pPr>
              <w:keepNext w:val="0"/>
              <w:spacing w:before="0" w:after="0" w:line="269" w:lineRule="auto"/>
              <w:jc w:val="left"/>
            </w:pPr>
            <w:r>
              <w:rPr>
                <w:b w:val="0"/>
                <w:sz w:val="18"/>
              </w:rPr>
              <w:t>hR=0.001 m，hcx=hcy=0.002 m</w:t>
            </w:r>
          </w:p>
        </w:tc>
      </w:tr>
      <w:tr>
        <w:trPr>
          <w:cantSplit/>
        </w:trPr>
        <w:tc>
          <w:tcPr>
            <w:tcW w:type="dxa" w:w="2324"/>
            <w:vAlign w:val="center"/>
            <w:shd w:fill="FFFFFF"/>
            <w:tcMar>
              <w:top w:w="75" w:type="dxa"/>
              <w:bottom w:w="75" w:type="dxa"/>
              <w:left w:w="100" w:type="dxa"/>
              <w:right w:w="100" w:type="dxa"/>
            </w:tcMar>
          </w:tcPr>
          <w:p>
            <w:pPr>
              <w:keepNext w:val="0"/>
              <w:spacing w:before="0" w:after="0" w:line="269" w:lineRule="auto"/>
              <w:jc w:val="left"/>
            </w:pPr>
            <w:r>
              <w:rPr>
                <w:b w:val="0"/>
                <w:sz w:val="18"/>
              </w:rPr>
              <w:t>基准速度尺度</w:t>
            </w:r>
          </w:p>
        </w:tc>
        <w:tc>
          <w:tcPr>
            <w:tcW w:type="dxa" w:w="7087"/>
            <w:vAlign w:val="center"/>
            <w:shd w:fill="FFFFFF"/>
            <w:tcMar>
              <w:top w:w="75" w:type="dxa"/>
              <w:bottom w:w="75" w:type="dxa"/>
              <w:left w:w="100" w:type="dxa"/>
              <w:right w:w="100" w:type="dxa"/>
            </w:tcMar>
          </w:tcPr>
          <w:p>
            <w:pPr>
              <w:keepNext w:val="0"/>
              <w:spacing w:before="0" w:after="0" w:line="269" w:lineRule="auto"/>
              <w:jc w:val="left"/>
            </w:pPr>
            <w:r>
              <w:rPr>
                <w:b w:val="0"/>
                <w:sz w:val="18"/>
              </w:rPr>
              <w:t>入口附近节点时均 u 的均值 Uin≈0.7299456 m/s</w:t>
            </w:r>
          </w:p>
        </w:tc>
      </w:tr>
      <w:tr>
        <w:trPr>
          <w:cantSplit/>
        </w:trPr>
        <w:tc>
          <w:tcPr>
            <w:tcW w:type="dxa" w:w="2324"/>
            <w:vAlign w:val="center"/>
            <w:shd w:fill="F5F7F9"/>
            <w:tcMar>
              <w:top w:w="75" w:type="dxa"/>
              <w:bottom w:w="75" w:type="dxa"/>
              <w:left w:w="100" w:type="dxa"/>
              <w:right w:w="100" w:type="dxa"/>
            </w:tcMar>
          </w:tcPr>
          <w:p>
            <w:pPr>
              <w:keepNext w:val="0"/>
              <w:spacing w:before="0" w:after="0" w:line="269" w:lineRule="auto"/>
              <w:jc w:val="left"/>
            </w:pPr>
            <w:r>
              <w:rPr>
                <w:b w:val="0"/>
                <w:sz w:val="18"/>
              </w:rPr>
              <w:t>主尾流窗口</w:t>
            </w:r>
          </w:p>
        </w:tc>
        <w:tc>
          <w:tcPr>
            <w:tcW w:type="dxa" w:w="7087"/>
            <w:vAlign w:val="center"/>
            <w:shd w:fill="F5F7F9"/>
            <w:tcMar>
              <w:top w:w="75" w:type="dxa"/>
              <w:bottom w:w="75" w:type="dxa"/>
              <w:left w:w="100" w:type="dxa"/>
              <w:right w:w="100" w:type="dxa"/>
            </w:tcMar>
          </w:tcPr>
          <w:p>
            <w:pPr>
              <w:keepNext w:val="0"/>
              <w:spacing w:before="0" w:after="0" w:line="269" w:lineRule="auto"/>
              <w:jc w:val="center"/>
            </w:pPr>
            <w:r>
              <w:rPr>
                <w:b w:val="0"/>
                <w:sz w:val="18"/>
              </w:rPr>
              <w:t>ξ∈[3,5]，η∈[−1.9,1.9]</w:t>
            </w:r>
          </w:p>
        </w:tc>
      </w:tr>
      <w:tr>
        <w:trPr>
          <w:cantSplit/>
        </w:trPr>
        <w:tc>
          <w:tcPr>
            <w:tcW w:type="dxa" w:w="2324"/>
            <w:vAlign w:val="center"/>
            <w:shd w:fill="FFFFFF"/>
            <w:tcMar>
              <w:top w:w="75" w:type="dxa"/>
              <w:bottom w:w="75" w:type="dxa"/>
              <w:left w:w="100" w:type="dxa"/>
              <w:right w:w="100" w:type="dxa"/>
            </w:tcMar>
          </w:tcPr>
          <w:p>
            <w:pPr>
              <w:keepNext w:val="0"/>
              <w:spacing w:before="0" w:after="0" w:line="269" w:lineRule="auto"/>
              <w:jc w:val="left"/>
            </w:pPr>
            <w:r>
              <w:rPr>
                <w:b w:val="0"/>
                <w:sz w:val="18"/>
              </w:rPr>
              <w:t>当前规则网格</w:t>
            </w:r>
          </w:p>
        </w:tc>
        <w:tc>
          <w:tcPr>
            <w:tcW w:type="dxa" w:w="7087"/>
            <w:vAlign w:val="center"/>
            <w:shd w:fill="FFFFFF"/>
            <w:tcMar>
              <w:top w:w="75" w:type="dxa"/>
              <w:bottom w:w="75" w:type="dxa"/>
              <w:left w:w="100" w:type="dxa"/>
              <w:right w:w="100" w:type="dxa"/>
            </w:tcMar>
          </w:tcPr>
          <w:p>
            <w:pPr>
              <w:keepNext w:val="0"/>
              <w:spacing w:before="0" w:after="0" w:line="269" w:lineRule="auto"/>
              <w:jc w:val="left"/>
            </w:pPr>
            <w:r>
              <w:rPr>
                <w:b w:val="0"/>
                <w:sz w:val="18"/>
              </w:rPr>
              <w:t>33×64，共 2112 点；Δξ=0.0625，Δη≈0.0603</w:t>
            </w:r>
          </w:p>
        </w:tc>
      </w:tr>
      <w:tr>
        <w:trPr>
          <w:cantSplit/>
        </w:trPr>
        <w:tc>
          <w:tcPr>
            <w:tcW w:type="dxa" w:w="2324"/>
            <w:vAlign w:val="center"/>
            <w:shd w:fill="F5F7F9"/>
            <w:tcMar>
              <w:top w:w="75" w:type="dxa"/>
              <w:bottom w:w="75" w:type="dxa"/>
              <w:left w:w="100" w:type="dxa"/>
              <w:right w:w="100" w:type="dxa"/>
            </w:tcMar>
          </w:tcPr>
          <w:p>
            <w:pPr>
              <w:keepNext w:val="0"/>
              <w:spacing w:before="0" w:after="0" w:line="269" w:lineRule="auto"/>
              <w:jc w:val="left"/>
            </w:pPr>
            <w:r>
              <w:rPr>
                <w:b w:val="0"/>
                <w:sz w:val="18"/>
              </w:rPr>
              <w:t>旧符号模型网格</w:t>
            </w:r>
          </w:p>
        </w:tc>
        <w:tc>
          <w:tcPr>
            <w:tcW w:type="dxa" w:w="7087"/>
            <w:vAlign w:val="center"/>
            <w:shd w:fill="F5F7F9"/>
            <w:tcMar>
              <w:top w:w="75" w:type="dxa"/>
              <w:bottom w:w="75" w:type="dxa"/>
              <w:left w:w="100" w:type="dxa"/>
              <w:right w:w="100" w:type="dxa"/>
            </w:tcMar>
          </w:tcPr>
          <w:p>
            <w:pPr>
              <w:keepNext w:val="0"/>
              <w:spacing w:before="0" w:after="0" w:line="269" w:lineRule="auto"/>
              <w:jc w:val="center"/>
            </w:pPr>
            <w:r>
              <w:rPr>
                <w:b w:val="0"/>
                <w:sz w:val="18"/>
              </w:rPr>
              <w:t>ψ 和 φ 的历史训练快照为 16×64</w:t>
            </w:r>
          </w:p>
        </w:tc>
      </w:tr>
      <w:tr>
        <w:trPr>
          <w:cantSplit/>
        </w:trPr>
        <w:tc>
          <w:tcPr>
            <w:tcW w:type="dxa" w:w="2324"/>
            <w:vAlign w:val="center"/>
            <w:shd w:fill="FFFFFF"/>
            <w:tcMar>
              <w:top w:w="75" w:type="dxa"/>
              <w:bottom w:w="75" w:type="dxa"/>
              <w:left w:w="100" w:type="dxa"/>
              <w:right w:w="100" w:type="dxa"/>
            </w:tcMar>
          </w:tcPr>
          <w:p>
            <w:pPr>
              <w:keepNext w:val="0"/>
              <w:spacing w:before="0" w:after="0" w:line="269" w:lineRule="auto"/>
              <w:jc w:val="left"/>
            </w:pPr>
            <w:r>
              <w:rPr>
                <w:b w:val="0"/>
                <w:sz w:val="18"/>
              </w:rPr>
              <w:t>当前 MLP 网格</w:t>
            </w:r>
          </w:p>
        </w:tc>
        <w:tc>
          <w:tcPr>
            <w:tcW w:type="dxa" w:w="7087"/>
            <w:vAlign w:val="center"/>
            <w:shd w:fill="FFFFFF"/>
            <w:tcMar>
              <w:top w:w="75" w:type="dxa"/>
              <w:bottom w:w="75" w:type="dxa"/>
              <w:left w:w="100" w:type="dxa"/>
              <w:right w:w="100" w:type="dxa"/>
            </w:tcMar>
          </w:tcPr>
          <w:p>
            <w:pPr>
              <w:keepNext w:val="0"/>
              <w:spacing w:before="0" w:after="0" w:line="269" w:lineRule="auto"/>
              <w:jc w:val="center"/>
            </w:pPr>
            <w:r>
              <w:rPr>
                <w:b w:val="0"/>
                <w:sz w:val="18"/>
              </w:rPr>
              <w:t>33×64，三个随机种子</w:t>
            </w:r>
          </w:p>
        </w:tc>
      </w:tr>
      <w:tr>
        <w:trPr>
          <w:cantSplit/>
        </w:trPr>
        <w:tc>
          <w:tcPr>
            <w:tcW w:type="dxa" w:w="2324"/>
            <w:vAlign w:val="center"/>
            <w:shd w:fill="F5F7F9"/>
            <w:tcMar>
              <w:top w:w="75" w:type="dxa"/>
              <w:bottom w:w="75" w:type="dxa"/>
              <w:left w:w="100" w:type="dxa"/>
              <w:right w:w="100" w:type="dxa"/>
            </w:tcMar>
          </w:tcPr>
          <w:p>
            <w:pPr>
              <w:keepNext w:val="0"/>
              <w:spacing w:before="0" w:after="0" w:line="269" w:lineRule="auto"/>
              <w:jc w:val="left"/>
            </w:pPr>
            <w:r>
              <w:rPr>
                <w:b w:val="0"/>
                <w:sz w:val="18"/>
              </w:rPr>
              <w:t>原始物理信息边界</w:t>
            </w:r>
          </w:p>
        </w:tc>
        <w:tc>
          <w:tcPr>
            <w:tcW w:type="dxa" w:w="7087"/>
            <w:vAlign w:val="center"/>
            <w:shd w:fill="F5F7F9"/>
            <w:tcMar>
              <w:top w:w="75" w:type="dxa"/>
              <w:bottom w:w="75" w:type="dxa"/>
              <w:left w:w="100" w:type="dxa"/>
              <w:right w:w="100" w:type="dxa"/>
            </w:tcMar>
          </w:tcPr>
          <w:p>
            <w:pPr>
              <w:keepNext w:val="0"/>
              <w:spacing w:before="0" w:after="0" w:line="269" w:lineRule="auto"/>
              <w:jc w:val="left"/>
            </w:pPr>
            <w:r>
              <w:rPr>
                <w:b w:val="0"/>
                <w:sz w:val="18"/>
              </w:rPr>
              <w:t>基准导出含 6361 个节点；Re 和黏度等信息尚未完整提供</w:t>
            </w:r>
          </w:p>
        </w:tc>
      </w:tr>
    </w:tbl>
    <w:p>
      <w:pPr>
        <w:spacing w:after="20" w:before="0" w:line="240" w:lineRule="auto"/>
      </w:pPr>
      <w:r>
        <w:rPr>
          <w:sz w:val="4"/>
        </w:rPr>
      </w:r>
    </w:p>
    <w:p>
      <w:pPr>
        <w:jc w:val="both"/>
      </w:pPr>
      <w:r>
        <w:rPr>
          <w:b w:val="0"/>
        </w:rPr>
        <w:t>R 扰动数据沿入口峰值 Umax·D≈0.15 的控制路径变化。因而现有 R 响应是沿该路径的变化率，不能直接解释为固定入口速度下的纯半径偏导。Umax 与归一化使用的 Uin 含义不同，不能混用。[E1、E3、E5]</w:t>
      </w:r>
    </w:p>
    <w:p>
      <w:pPr>
        <w:pStyle w:val="Heading2"/>
      </w:pPr>
      <w:r>
        <w:t>2 2 通道约束比与结果版本</w:t>
      </w:r>
    </w:p>
    <w:p>
      <w:pPr>
        <w:jc w:val="both"/>
      </w:pPr>
      <w:r>
        <w:rPr>
          <w:b w:val="0"/>
        </w:rPr>
        <w:t>P3 另有约 12 GB 的 H_​D.txt，包含 H/​D=4 和 8、每组五个半径档位，共约 4032 万个时空样本。半径为 R=0.05+0.001sR，sR 取 −1、−0.5、0、0.5、1，分别构成 ±1%R 和 ±2%R 差分。[E10]</w:t>
      </w:r>
    </w:p>
    <w:p>
      <w:pPr>
        <w:jc w:val="both"/>
      </w:pPr>
      <w:r>
        <w:rPr>
          <w:b w:val="0"/>
        </w:rPr>
        <w:t>数据网格更新不等于模型已经重训。当前密集 CFD 评价网格为 33×64，历史符号 ψ/φ 仍来自 16×64 快照。下文真实流场指标优先采用 2026 年 9 月 8 日在统一目标上的重算；P0 的旧网格结果单独注明。周期平均结果目前用于诊断，尚未替换全流程的训练与评价参照。</w:t>
      </w:r>
    </w:p>
    <w:p>
      <w:pPr>
        <w:pStyle w:val="Heading1"/>
      </w:pPr>
      <w:r>
        <w:t>3 方法体系与理论成果</w:t>
      </w:r>
    </w:p>
    <w:p>
      <w:pPr>
        <w:pStyle w:val="Heading2"/>
      </w:pPr>
      <w:r>
        <w:t>3 1 流函数表示与不可压缩结构</w:t>
      </w:r>
    </w:p>
    <w:p>
      <w:pPr>
        <w:jc w:val="both"/>
      </w:pPr>
      <w:r>
        <w:rPr>
          <w:b w:val="0"/>
        </w:rPr>
        <w:t>定义无量纲坐标 ξ、η，并用流函数表示二维速度：</w:t>
      </w:r>
    </w:p>
    <w:p>
      <w:pPr>
        <w:keepLines/>
        <w:spacing w:before="60" w:after="140"/>
        <w:jc w:val="center"/>
      </w:pPr>
      <m:oMath>
        <m:r>
          <w:rPr>
            <w:rFonts w:ascii="Cambria Math" w:hAnsi="Cambria Math"/>
            <w:sz w:val="22"/>
          </w:rPr>
          <m:t xml:space="preserve">ξ = </m:t>
        </m:r>
        <m:f>
          <m:num>
            <m:r>
              <w:rPr>
                <w:rFonts w:ascii="Cambria Math" w:hAnsi="Cambria Math"/>
                <w:sz w:val="22"/>
              </w:rPr>
              <m:t xml:space="preserve">x − </m:t>
            </m:r>
            <m:sSub>
              <m:e>
                <m:r>
                  <w:rPr>
                    <w:rFonts w:ascii="Cambria Math" w:hAnsi="Cambria Math"/>
                    <w:sz w:val="22"/>
                  </w:rPr>
                  <m:t>c</m:t>
                </m:r>
              </m:e>
              <m:sub>
                <m:r>
                  <w:rPr>
                    <w:rFonts w:ascii="Cambria Math" w:hAnsi="Cambria Math"/>
                    <w:sz w:val="22"/>
                  </w:rPr>
                  <m:t>x</m:t>
                </m:r>
              </m:sub>
            </m:sSub>
          </m:num>
          <m:den>
            <m:r>
              <w:rPr>
                <w:rFonts w:ascii="Cambria Math" w:hAnsi="Cambria Math"/>
                <w:sz w:val="22"/>
              </w:rPr>
              <m:t>D</m:t>
            </m:r>
          </m:den>
        </m:f>
        <m:r>
          <w:rPr>
            <w:rFonts w:ascii="Cambria Math" w:hAnsi="Cambria Math"/>
            <w:sz w:val="22"/>
          </w:rPr>
          <m:t xml:space="preserve">     η = </m:t>
        </m:r>
        <m:f>
          <m:num>
            <m:r>
              <w:rPr>
                <w:rFonts w:ascii="Cambria Math" w:hAnsi="Cambria Math"/>
                <w:sz w:val="22"/>
              </w:rPr>
              <m:t xml:space="preserve">y − </m:t>
            </m:r>
            <m:sSub>
              <m:e>
                <m:r>
                  <w:rPr>
                    <w:rFonts w:ascii="Cambria Math" w:hAnsi="Cambria Math"/>
                    <w:sz w:val="22"/>
                  </w:rPr>
                  <m:t>c</m:t>
                </m:r>
              </m:e>
              <m:sub>
                <m:r>
                  <w:rPr>
                    <w:rFonts w:ascii="Cambria Math" w:hAnsi="Cambria Math"/>
                    <w:sz w:val="22"/>
                  </w:rPr>
                  <m:t>y</m:t>
                </m:r>
              </m:sub>
            </m:sSub>
          </m:num>
          <m:den>
            <m:r>
              <w:rPr>
                <w:rFonts w:ascii="Cambria Math" w:hAnsi="Cambria Math"/>
                <w:sz w:val="22"/>
              </w:rPr>
              <m:t>D</m:t>
            </m:r>
          </m:den>
        </m:f>
        <m:r>
          <w:rPr>
            <w:rFonts w:ascii="Cambria Math" w:hAnsi="Cambria Math"/>
            <w:sz w:val="22"/>
          </w:rPr>
          <m:t xml:space="preserve">     D = 2R</m:t>
        </m:r>
      </m:oMath>
    </w:p>
    <w:p>
      <w:pPr>
        <w:keepLines/>
        <w:spacing w:before="60" w:after="140"/>
        <w:jc w:val="center"/>
      </w:pPr>
      <m:oMath>
        <m:sSup>
          <m:e>
            <m:r>
              <w:rPr>
                <w:rFonts w:ascii="Cambria Math" w:hAnsi="Cambria Math"/>
                <w:sz w:val="22"/>
              </w:rPr>
              <m:t>u</m:t>
            </m:r>
          </m:e>
          <m:sup>
            <m:r>
              <w:rPr>
                <w:rFonts w:ascii="Cambria Math" w:hAnsi="Cambria Math"/>
                <w:sz w:val="22"/>
              </w:rPr>
              <m:t>*</m:t>
            </m:r>
          </m:sup>
        </m:sSup>
        <m:r>
          <w:rPr>
            <w:rFonts w:ascii="Cambria Math" w:hAnsi="Cambria Math"/>
            <w:sz w:val="22"/>
          </w:rPr>
          <m:t xml:space="preserve"> = </m:t>
        </m:r>
        <m:f>
          <m:num>
            <m:r>
              <w:rPr>
                <w:rFonts w:ascii="Cambria Math" w:hAnsi="Cambria Math"/>
                <w:sz w:val="22"/>
              </w:rPr>
              <m:t>∂</m:t>
            </m:r>
            <m:sSup>
              <m:e>
                <m:r>
                  <w:rPr>
                    <w:rFonts w:ascii="Cambria Math" w:hAnsi="Cambria Math"/>
                    <w:sz w:val="22"/>
                  </w:rPr>
                  <m:t>ψ</m:t>
                </m:r>
              </m:e>
              <m:sup>
                <m:r>
                  <w:rPr>
                    <w:rFonts w:ascii="Cambria Math" w:hAnsi="Cambria Math"/>
                    <w:sz w:val="22"/>
                  </w:rPr>
                  <m:t>*</m:t>
                </m:r>
              </m:sup>
            </m:sSup>
          </m:num>
          <m:den>
            <m:r>
              <w:rPr>
                <w:rFonts w:ascii="Cambria Math" w:hAnsi="Cambria Math"/>
                <w:sz w:val="22"/>
              </w:rPr>
              <m:t>∂η</m:t>
            </m:r>
          </m:den>
        </m:f>
        <m:r>
          <w:rPr>
            <w:rFonts w:ascii="Cambria Math" w:hAnsi="Cambria Math"/>
            <w:sz w:val="22"/>
          </w:rPr>
          <m:t xml:space="preserve">     </m:t>
        </m:r>
        <m:sSup>
          <m:e>
            <m:r>
              <w:rPr>
                <w:rFonts w:ascii="Cambria Math" w:hAnsi="Cambria Math"/>
                <w:sz w:val="22"/>
              </w:rPr>
              <m:t>v</m:t>
            </m:r>
          </m:e>
          <m:sup>
            <m:r>
              <w:rPr>
                <w:rFonts w:ascii="Cambria Math" w:hAnsi="Cambria Math"/>
                <w:sz w:val="22"/>
              </w:rPr>
              <m:t>*</m:t>
            </m:r>
          </m:sup>
        </m:sSup>
        <m:r>
          <w:rPr>
            <w:rFonts w:ascii="Cambria Math" w:hAnsi="Cambria Math"/>
            <w:sz w:val="22"/>
          </w:rPr>
          <m:t xml:space="preserve"> = −</m:t>
        </m:r>
        <m:f>
          <m:num>
            <m:r>
              <w:rPr>
                <w:rFonts w:ascii="Cambria Math" w:hAnsi="Cambria Math"/>
                <w:sz w:val="22"/>
              </w:rPr>
              <m:t>∂</m:t>
            </m:r>
            <m:sSup>
              <m:e>
                <m:r>
                  <w:rPr>
                    <w:rFonts w:ascii="Cambria Math" w:hAnsi="Cambria Math"/>
                    <w:sz w:val="22"/>
                  </w:rPr>
                  <m:t>ψ</m:t>
                </m:r>
              </m:e>
              <m:sup>
                <m:r>
                  <w:rPr>
                    <w:rFonts w:ascii="Cambria Math" w:hAnsi="Cambria Math"/>
                    <w:sz w:val="22"/>
                  </w:rPr>
                  <m:t>*</m:t>
                </m:r>
              </m:sup>
            </m:sSup>
          </m:num>
          <m:den>
            <m:r>
              <w:rPr>
                <w:rFonts w:ascii="Cambria Math" w:hAnsi="Cambria Math"/>
                <w:sz w:val="22"/>
              </w:rPr>
              <m:t>∂ξ</m:t>
            </m:r>
          </m:den>
        </m:f>
      </m:oMath>
    </w:p>
    <w:p>
      <w:pPr>
        <w:jc w:val="both"/>
      </w:pPr>
      <w:r>
        <w:rPr>
          <w:b w:val="0"/>
        </w:rPr>
        <w:t>在函数足够光滑时，两个混合偏导相消，因此模型速度满足解析散度为零。该结构消除了独立拟合 u/​v 时的运动学不一致，但没有保证动量方程、速度精度或参数响应精度。训练中的 ψ-A 只约束 u；ψ-B 联合约束 u/​v。主 ψ 搜索仍通过规则网格中心差分构造速度损失，后续导出速度与灵敏度使用解析求导；P2 的解析表达式树导数损失是独立实验，尚未完成在主 ψ 训练中的验证。[E1、E5]</w:t>
      </w:r>
    </w:p>
    <w:p>
      <w:pPr>
        <w:pStyle w:val="Heading2"/>
      </w:pPr>
      <w:r>
        <w:t>3 2 几何输运与内在响应的分解</w:t>
      </w:r>
    </w:p>
    <w:p>
      <w:pPr>
        <w:jc w:val="both"/>
      </w:pPr>
      <w:r>
        <w:rPr>
          <w:b w:val="0"/>
        </w:rPr>
        <w:t>令 q* 表示任一无量纲速度分量，a 表示 R、cx 或 cy。固定物理位置的总响应 T* 可以写为坐标输运 K* 与固定参考坐标内在响应 M* 的和：</w:t>
      </w:r>
    </w:p>
    <w:p>
      <w:pPr>
        <w:keepLines/>
        <w:spacing w:before="60" w:after="140"/>
        <w:jc w:val="center"/>
      </w:pPr>
      <m:oMath>
        <m:sSubSup>
          <m:e>
            <m:r>
              <w:rPr>
                <w:rFonts w:ascii="Cambria Math" w:hAnsi="Cambria Math"/>
                <w:sz w:val="22"/>
              </w:rPr>
              <m:t>T</m:t>
            </m:r>
          </m:e>
          <m:sub>
            <m:r>
              <w:rPr>
                <w:rFonts w:ascii="Cambria Math" w:hAnsi="Cambria Math"/>
                <w:sz w:val="22"/>
              </w:rPr>
              <m:t>a</m:t>
            </m:r>
          </m:sub>
          <m:sup>
            <m:r>
              <w:rPr>
                <w:rFonts w:ascii="Cambria Math" w:hAnsi="Cambria Math"/>
                <w:sz w:val="22"/>
              </w:rPr>
              <m:t>*</m:t>
            </m:r>
          </m:sup>
        </m:sSubSup>
        <m:r>
          <w:rPr>
            <w:rFonts w:ascii="Cambria Math" w:hAnsi="Cambria Math"/>
            <w:sz w:val="22"/>
          </w:rPr>
          <m:t xml:space="preserve"> = </m:t>
        </m:r>
        <m:sSubSup>
          <m:e>
            <m:r>
              <w:rPr>
                <w:rFonts w:ascii="Cambria Math" w:hAnsi="Cambria Math"/>
                <w:sz w:val="22"/>
              </w:rPr>
              <m:t>K</m:t>
            </m:r>
          </m:e>
          <m:sub>
            <m:r>
              <w:rPr>
                <w:rFonts w:ascii="Cambria Math" w:hAnsi="Cambria Math"/>
                <w:sz w:val="22"/>
              </w:rPr>
              <m:t>a</m:t>
            </m:r>
          </m:sub>
          <m:sup>
            <m:r>
              <w:rPr>
                <w:rFonts w:ascii="Cambria Math" w:hAnsi="Cambria Math"/>
                <w:sz w:val="22"/>
              </w:rPr>
              <m:t>*</m:t>
            </m:r>
          </m:sup>
        </m:sSubSup>
        <m:r>
          <w:rPr>
            <w:rFonts w:ascii="Cambria Math" w:hAnsi="Cambria Math"/>
            <w:sz w:val="22"/>
          </w:rPr>
          <m:t xml:space="preserve"> + </m:t>
        </m:r>
        <m:sSubSup>
          <m:e>
            <m:r>
              <w:rPr>
                <w:rFonts w:ascii="Cambria Math" w:hAnsi="Cambria Math"/>
                <w:sz w:val="22"/>
              </w:rPr>
              <m:t>M</m:t>
            </m:r>
          </m:e>
          <m:sub>
            <m:r>
              <w:rPr>
                <w:rFonts w:ascii="Cambria Math" w:hAnsi="Cambria Math"/>
                <w:sz w:val="22"/>
              </w:rPr>
              <m:t>a</m:t>
            </m:r>
          </m:sub>
          <m:sup>
            <m:r>
              <w:rPr>
                <w:rFonts w:ascii="Cambria Math" w:hAnsi="Cambria Math"/>
                <w:sz w:val="22"/>
              </w:rPr>
              <m:t>*</m:t>
            </m:r>
          </m:sup>
        </m:sSubSup>
      </m:oMath>
    </w:p>
    <w:p>
      <w:pPr>
        <w:keepLines/>
        <w:spacing w:before="60" w:after="140"/>
        <w:jc w:val="center"/>
      </w:pPr>
      <m:oMath>
        <m:sSubSup>
          <m:e>
            <m:r>
              <w:rPr>
                <w:rFonts w:ascii="Cambria Math" w:hAnsi="Cambria Math"/>
                <w:sz w:val="22"/>
              </w:rPr>
              <m:t>K</m:t>
            </m:r>
          </m:e>
          <m:sub>
            <m:r>
              <w:rPr>
                <w:rFonts w:ascii="Cambria Math" w:hAnsi="Cambria Math"/>
                <w:sz w:val="22"/>
              </w:rPr>
              <m:t>R</m:t>
            </m:r>
          </m:sub>
          <m:sup>
            <m:r>
              <w:rPr>
                <w:rFonts w:ascii="Cambria Math" w:hAnsi="Cambria Math"/>
                <w:sz w:val="22"/>
              </w:rPr>
              <m:t>*</m:t>
            </m:r>
          </m:sup>
        </m:sSubSup>
        <m:r>
          <w:rPr>
            <w:rFonts w:ascii="Cambria Math" w:hAnsi="Cambria Math"/>
            <w:sz w:val="22"/>
          </w:rPr>
          <m:t xml:space="preserve"> = −</m:t>
        </m:r>
        <m:f>
          <m:num>
            <m:r>
              <w:rPr>
                <w:rFonts w:ascii="Cambria Math" w:hAnsi="Cambria Math"/>
                <w:sz w:val="22"/>
              </w:rPr>
              <m:t>2</m:t>
            </m:r>
          </m:num>
          <m:den>
            <m:r>
              <w:rPr>
                <w:rFonts w:ascii="Cambria Math" w:hAnsi="Cambria Math"/>
                <w:sz w:val="22"/>
              </w:rPr>
              <m:t>D</m:t>
            </m:r>
          </m:den>
        </m:f>
        <m:d>
          <m:dPr>
            <m:begChr m:val="("/>
            <m:endChr m:val=")"/>
          </m:dPr>
          <m:e>
            <m:r>
              <w:rPr>
                <w:rFonts w:ascii="Cambria Math" w:hAnsi="Cambria Math"/>
                <w:sz w:val="22"/>
              </w:rPr>
              <m:t>ξ</m:t>
            </m:r>
            <m:sSub>
              <m:e>
                <m:r>
                  <w:rPr>
                    <w:rFonts w:ascii="Cambria Math" w:hAnsi="Cambria Math"/>
                    <w:sz w:val="22"/>
                  </w:rPr>
                  <m:t>∂</m:t>
                </m:r>
              </m:e>
              <m:sub>
                <m:r>
                  <w:rPr>
                    <w:rFonts w:ascii="Cambria Math" w:hAnsi="Cambria Math"/>
                    <w:sz w:val="22"/>
                  </w:rPr>
                  <m:t>ξ</m:t>
                </m:r>
              </m:sub>
            </m:sSub>
            <m:sSup>
              <m:e>
                <m:r>
                  <w:rPr>
                    <w:rFonts w:ascii="Cambria Math" w:hAnsi="Cambria Math"/>
                    <w:sz w:val="22"/>
                  </w:rPr>
                  <m:t>q</m:t>
                </m:r>
              </m:e>
              <m:sup>
                <m:r>
                  <w:rPr>
                    <w:rFonts w:ascii="Cambria Math" w:hAnsi="Cambria Math"/>
                    <w:sz w:val="22"/>
                  </w:rPr>
                  <m:t>*</m:t>
                </m:r>
              </m:sup>
            </m:sSup>
            <m:r>
              <w:rPr>
                <w:rFonts w:ascii="Cambria Math" w:hAnsi="Cambria Math"/>
                <w:sz w:val="22"/>
              </w:rPr>
              <m:t xml:space="preserve"> + η</m:t>
            </m:r>
            <m:sSub>
              <m:e>
                <m:r>
                  <w:rPr>
                    <w:rFonts w:ascii="Cambria Math" w:hAnsi="Cambria Math"/>
                    <w:sz w:val="22"/>
                  </w:rPr>
                  <m:t>∂</m:t>
                </m:r>
              </m:e>
              <m:sub>
                <m:r>
                  <w:rPr>
                    <w:rFonts w:ascii="Cambria Math" w:hAnsi="Cambria Math"/>
                    <w:sz w:val="22"/>
                  </w:rPr>
                  <m:t>η</m:t>
                </m:r>
              </m:sub>
            </m:sSub>
            <m:sSup>
              <m:e>
                <m:r>
                  <w:rPr>
                    <w:rFonts w:ascii="Cambria Math" w:hAnsi="Cambria Math"/>
                    <w:sz w:val="22"/>
                  </w:rPr>
                  <m:t>q</m:t>
                </m:r>
              </m:e>
              <m:sup>
                <m:r>
                  <w:rPr>
                    <w:rFonts w:ascii="Cambria Math" w:hAnsi="Cambria Math"/>
                    <w:sz w:val="22"/>
                  </w:rPr>
                  <m:t>*</m:t>
                </m:r>
              </m:sup>
            </m:sSup>
          </m:e>
        </m:d>
      </m:oMath>
    </w:p>
    <w:p>
      <w:pPr>
        <w:keepLines/>
        <w:spacing w:before="60" w:after="140"/>
        <w:jc w:val="center"/>
      </w:pPr>
      <m:oMath>
        <m:sSubSup>
          <m:e>
            <m:r>
              <w:rPr>
                <w:rFonts w:ascii="Cambria Math" w:hAnsi="Cambria Math"/>
                <w:sz w:val="22"/>
              </w:rPr>
              <m:t>K</m:t>
            </m:r>
          </m:e>
          <m:sub>
            <m:sSub>
              <m:e>
                <m:r>
                  <w:rPr>
                    <w:rFonts w:ascii="Cambria Math" w:hAnsi="Cambria Math"/>
                    <w:sz w:val="22"/>
                  </w:rPr>
                  <m:t>c</m:t>
                </m:r>
              </m:e>
              <m:sub>
                <m:r>
                  <w:rPr>
                    <w:rFonts w:ascii="Cambria Math" w:hAnsi="Cambria Math"/>
                    <w:sz w:val="22"/>
                  </w:rPr>
                  <m:t>x</m:t>
                </m:r>
              </m:sub>
            </m:sSub>
          </m:sub>
          <m:sup>
            <m:r>
              <w:rPr>
                <w:rFonts w:ascii="Cambria Math" w:hAnsi="Cambria Math"/>
                <w:sz w:val="22"/>
              </w:rPr>
              <m:t>*</m:t>
            </m:r>
          </m:sup>
        </m:sSubSup>
        <m:r>
          <w:rPr>
            <w:rFonts w:ascii="Cambria Math" w:hAnsi="Cambria Math"/>
            <w:sz w:val="22"/>
          </w:rPr>
          <m:t xml:space="preserve"> = −</m:t>
        </m:r>
        <m:f>
          <m:num>
            <m:r>
              <w:rPr>
                <w:rFonts w:ascii="Cambria Math" w:hAnsi="Cambria Math"/>
                <w:sz w:val="22"/>
              </w:rPr>
              <m:t>1</m:t>
            </m:r>
          </m:num>
          <m:den>
            <m:r>
              <w:rPr>
                <w:rFonts w:ascii="Cambria Math" w:hAnsi="Cambria Math"/>
                <w:sz w:val="22"/>
              </w:rPr>
              <m:t>D</m:t>
            </m:r>
          </m:den>
        </m:f>
        <m:sSub>
          <m:e>
            <m:r>
              <w:rPr>
                <w:rFonts w:ascii="Cambria Math" w:hAnsi="Cambria Math"/>
                <w:sz w:val="22"/>
              </w:rPr>
              <m:t>∂</m:t>
            </m:r>
          </m:e>
          <m:sub>
            <m:r>
              <w:rPr>
                <w:rFonts w:ascii="Cambria Math" w:hAnsi="Cambria Math"/>
                <w:sz w:val="22"/>
              </w:rPr>
              <m:t>ξ</m:t>
            </m:r>
          </m:sub>
        </m:sSub>
        <m:sSup>
          <m:e>
            <m:r>
              <w:rPr>
                <w:rFonts w:ascii="Cambria Math" w:hAnsi="Cambria Math"/>
                <w:sz w:val="22"/>
              </w:rPr>
              <m:t>q</m:t>
            </m:r>
          </m:e>
          <m:sup>
            <m:r>
              <w:rPr>
                <w:rFonts w:ascii="Cambria Math" w:hAnsi="Cambria Math"/>
                <w:sz w:val="22"/>
              </w:rPr>
              <m:t>*</m:t>
            </m:r>
          </m:sup>
        </m:sSup>
        <m:r>
          <w:rPr>
            <w:rFonts w:ascii="Cambria Math" w:hAnsi="Cambria Math"/>
            <w:sz w:val="22"/>
          </w:rPr>
          <m:t xml:space="preserve">     </m:t>
        </m:r>
        <m:sSubSup>
          <m:e>
            <m:r>
              <w:rPr>
                <w:rFonts w:ascii="Cambria Math" w:hAnsi="Cambria Math"/>
                <w:sz w:val="22"/>
              </w:rPr>
              <m:t>K</m:t>
            </m:r>
          </m:e>
          <m:sub>
            <m:sSub>
              <m:e>
                <m:r>
                  <w:rPr>
                    <w:rFonts w:ascii="Cambria Math" w:hAnsi="Cambria Math"/>
                    <w:sz w:val="22"/>
                  </w:rPr>
                  <m:t>c</m:t>
                </m:r>
              </m:e>
              <m:sub>
                <m:r>
                  <w:rPr>
                    <w:rFonts w:ascii="Cambria Math" w:hAnsi="Cambria Math"/>
                    <w:sz w:val="22"/>
                  </w:rPr>
                  <m:t>y</m:t>
                </m:r>
              </m:sub>
            </m:sSub>
          </m:sub>
          <m:sup>
            <m:r>
              <w:rPr>
                <w:rFonts w:ascii="Cambria Math" w:hAnsi="Cambria Math"/>
                <w:sz w:val="22"/>
              </w:rPr>
              <m:t>*</m:t>
            </m:r>
          </m:sup>
        </m:sSubSup>
        <m:r>
          <w:rPr>
            <w:rFonts w:ascii="Cambria Math" w:hAnsi="Cambria Math"/>
            <w:sz w:val="22"/>
          </w:rPr>
          <m:t xml:space="preserve"> = −</m:t>
        </m:r>
        <m:f>
          <m:num>
            <m:r>
              <w:rPr>
                <w:rFonts w:ascii="Cambria Math" w:hAnsi="Cambria Math"/>
                <w:sz w:val="22"/>
              </w:rPr>
              <m:t>1</m:t>
            </m:r>
          </m:num>
          <m:den>
            <m:r>
              <w:rPr>
                <w:rFonts w:ascii="Cambria Math" w:hAnsi="Cambria Math"/>
                <w:sz w:val="22"/>
              </w:rPr>
              <m:t>D</m:t>
            </m:r>
          </m:den>
        </m:f>
        <m:sSub>
          <m:e>
            <m:r>
              <w:rPr>
                <w:rFonts w:ascii="Cambria Math" w:hAnsi="Cambria Math"/>
                <w:sz w:val="22"/>
              </w:rPr>
              <m:t>∂</m:t>
            </m:r>
          </m:e>
          <m:sub>
            <m:r>
              <w:rPr>
                <w:rFonts w:ascii="Cambria Math" w:hAnsi="Cambria Math"/>
                <w:sz w:val="22"/>
              </w:rPr>
              <m:t>η</m:t>
            </m:r>
          </m:sub>
        </m:sSub>
        <m:sSup>
          <m:e>
            <m:r>
              <w:rPr>
                <w:rFonts w:ascii="Cambria Math" w:hAnsi="Cambria Math"/>
                <w:sz w:val="22"/>
              </w:rPr>
              <m:t>q</m:t>
            </m:r>
          </m:e>
          <m:sup>
            <m:r>
              <w:rPr>
                <w:rFonts w:ascii="Cambria Math" w:hAnsi="Cambria Math"/>
                <w:sz w:val="22"/>
              </w:rPr>
              <m:t>*</m:t>
            </m:r>
          </m:sup>
        </m:sSup>
      </m:oMath>
    </w:p>
    <w:p>
      <w:pPr>
        <w:jc w:val="both"/>
      </w:pPr>
      <w:r>
        <w:rPr>
          <w:b w:val="0"/>
        </w:rPr>
        <w:t>若速度尺度随参数变化，有量纲响应还包括归一化尺度的导数：</w:t>
      </w:r>
    </w:p>
    <w:p>
      <w:pPr>
        <w:keepLines/>
        <w:spacing w:before="60" w:after="140"/>
        <w:jc w:val="center"/>
      </w:pPr>
      <m:oMath>
        <m:sSub>
          <m:e>
            <m:r>
              <w:rPr>
                <w:rFonts w:ascii="Cambria Math" w:hAnsi="Cambria Math"/>
                <w:sz w:val="22"/>
              </w:rPr>
              <m:t>T</m:t>
            </m:r>
          </m:e>
          <m:sub>
            <m:r>
              <w:rPr>
                <w:rFonts w:ascii="Cambria Math" w:hAnsi="Cambria Math"/>
                <w:sz w:val="22"/>
              </w:rPr>
              <m:t>a</m:t>
            </m:r>
          </m:sub>
        </m:sSub>
        <m:r>
          <w:rPr>
            <w:rFonts w:ascii="Cambria Math" w:hAnsi="Cambria Math"/>
            <w:sz w:val="22"/>
          </w:rPr>
          <m:t xml:space="preserve"> = </m:t>
        </m:r>
        <m:sSub>
          <m:e>
            <m:r>
              <w:rPr>
                <w:rFonts w:ascii="Cambria Math" w:hAnsi="Cambria Math"/>
                <w:sz w:val="22"/>
              </w:rPr>
              <m:t>U</m:t>
            </m:r>
          </m:e>
          <m:sub>
            <m:r>
              <w:rPr>
                <w:rFonts w:ascii="Cambria Math" w:hAnsi="Cambria Math"/>
                <w:sz w:val="22"/>
              </w:rPr>
              <m:t>0</m:t>
            </m:r>
          </m:sub>
        </m:sSub>
        <m:d>
          <m:dPr>
            <m:begChr m:val="("/>
            <m:endChr m:val=")"/>
          </m:dPr>
          <m:e>
            <m:sSubSup>
              <m:e>
                <m:r>
                  <w:rPr>
                    <w:rFonts w:ascii="Cambria Math" w:hAnsi="Cambria Math"/>
                    <w:sz w:val="22"/>
                  </w:rPr>
                  <m:t>K</m:t>
                </m:r>
              </m:e>
              <m:sub>
                <m:r>
                  <w:rPr>
                    <w:rFonts w:ascii="Cambria Math" w:hAnsi="Cambria Math"/>
                    <w:sz w:val="22"/>
                  </w:rPr>
                  <m:t>a</m:t>
                </m:r>
              </m:sub>
              <m:sup>
                <m:r>
                  <w:rPr>
                    <w:rFonts w:ascii="Cambria Math" w:hAnsi="Cambria Math"/>
                    <w:sz w:val="22"/>
                  </w:rPr>
                  <m:t>*</m:t>
                </m:r>
              </m:sup>
            </m:sSubSup>
            <m:r>
              <w:rPr>
                <w:rFonts w:ascii="Cambria Math" w:hAnsi="Cambria Math"/>
                <w:sz w:val="22"/>
              </w:rPr>
              <m:t xml:space="preserve"> + </m:t>
            </m:r>
            <m:sSubSup>
              <m:e>
                <m:r>
                  <w:rPr>
                    <w:rFonts w:ascii="Cambria Math" w:hAnsi="Cambria Math"/>
                    <w:sz w:val="22"/>
                  </w:rPr>
                  <m:t>M</m:t>
                </m:r>
              </m:e>
              <m:sub>
                <m:r>
                  <w:rPr>
                    <w:rFonts w:ascii="Cambria Math" w:hAnsi="Cambria Math"/>
                    <w:sz w:val="22"/>
                  </w:rPr>
                  <m:t>a</m:t>
                </m:r>
              </m:sub>
              <m:sup>
                <m:r>
                  <w:rPr>
                    <w:rFonts w:ascii="Cambria Math" w:hAnsi="Cambria Math"/>
                    <w:sz w:val="22"/>
                  </w:rPr>
                  <m:t>*</m:t>
                </m:r>
              </m:sup>
            </m:sSubSup>
          </m:e>
        </m:d>
        <m:r>
          <w:rPr>
            <w:rFonts w:ascii="Cambria Math" w:hAnsi="Cambria Math"/>
            <w:sz w:val="22"/>
          </w:rPr>
          <m:t xml:space="preserve"> + </m:t>
        </m:r>
        <m:sSubSup>
          <m:e>
            <m:r>
              <w:rPr>
                <w:rFonts w:ascii="Cambria Math" w:hAnsi="Cambria Math"/>
                <w:sz w:val="22"/>
              </w:rPr>
              <m:t>U</m:t>
            </m:r>
          </m:e>
          <m:sub>
            <m:r>
              <w:rPr>
                <w:rFonts w:ascii="Cambria Math" w:hAnsi="Cambria Math"/>
                <w:sz w:val="22"/>
              </w:rPr>
              <m:t>a</m:t>
            </m:r>
          </m:sub>
          <m:sup>
            <m:r>
              <w:rPr>
                <w:rFonts w:ascii="Cambria Math" w:hAnsi="Cambria Math"/>
                <w:sz w:val="22"/>
              </w:rPr>
              <m:t>′</m:t>
            </m:r>
          </m:sup>
        </m:sSubSup>
        <m:sSubSup>
          <m:e>
            <m:r>
              <w:rPr>
                <w:rFonts w:ascii="Cambria Math" w:hAnsi="Cambria Math"/>
                <w:sz w:val="22"/>
              </w:rPr>
              <m:t>q</m:t>
            </m:r>
          </m:e>
          <m:sub>
            <m:r>
              <w:rPr>
                <w:rFonts w:ascii="Cambria Math" w:hAnsi="Cambria Math"/>
                <w:sz w:val="22"/>
              </w:rPr>
              <m:t>0</m:t>
            </m:r>
          </m:sub>
          <m:sup>
            <m:r>
              <w:rPr>
                <w:rFonts w:ascii="Cambria Math" w:hAnsi="Cambria Math"/>
                <w:sz w:val="22"/>
              </w:rPr>
              <m:t>*</m:t>
            </m:r>
          </m:sup>
        </m:sSubSup>
      </m:oMath>
    </w:p>
    <w:p>
      <w:pPr>
        <w:jc w:val="both"/>
      </w:pPr>
      <w:r>
        <w:rPr>
          <w:b w:val="0"/>
        </w:rPr>
        <w:t>该分解属于坐标链式法则。项目的成果在于把它落实为可计算、可对照的场分解，明确不同模型的误差来源。2026 年 9 月 8 日的构造解验证覆盖 R/​cx/​cy×u/​v 六条关系，解析表达式严格相等；中心差分步长依次减半时误差比在 3.99934–4.00052，符合二阶中心差分。[E1]</w:t>
      </w:r>
    </w:p>
    <w:p>
      <w:pPr>
        <w:pStyle w:val="Heading2"/>
      </w:pPr>
      <w:r>
        <w:t>3 3 单基准信息的边界</w:t>
      </w:r>
    </w:p>
    <w:p>
      <w:pPr>
        <w:jc w:val="both"/>
      </w:pPr>
      <w:r>
        <w:rPr>
          <w:b w:val="0"/>
        </w:rPr>
        <w:t>构造两族流函数 ψA=ψ0 与 ψB=ψ0+(R−R0)ξη。二者在 R0 上的基准场和所有空间导数完全相同，且都保持无散度结构，但 ψB 多出的半径内在响应为 Mu=ξ、Mv=−η。因此，基准流场与不可压缩约束本身不足以唯一决定参数响应。</w:t>
      </w:r>
    </w:p>
    <w:p>
      <w:pPr>
        <w:jc w:val="both"/>
      </w:pPr>
      <w:r>
        <w:rPr>
          <w:b w:val="0"/>
        </w:rPr>
        <w:t>这一反例说明运动学信息不足；它没有声称两族函数满足相同参数化 N-S 方程及边界条件。若提供完整 PDE、初边值及其参数依赖，可以通过切线等辅助方程进一步约束响应。目前尚无已经实现并验证的局部切线求解器。[E1、E4]</w:t>
      </w:r>
    </w:p>
    <w:p>
      <w:pPr>
        <w:pStyle w:val="Heading1"/>
      </w:pPr>
      <w:r>
        <w:t>4 基准流场符号建模与梯度比较</w:t>
      </w:r>
    </w:p>
    <w:p>
      <w:pPr>
        <w:pStyle w:val="Heading2"/>
      </w:pPr>
      <w:r>
        <w:t>4 1 从直接速度拟合转向流函数</w:t>
      </w:r>
    </w:p>
    <w:p>
      <w:pPr>
        <w:jc w:val="both"/>
      </w:pPr>
      <w:r>
        <w:rPr>
          <w:b w:val="0"/>
        </w:rPr>
        <w:t>早期直接 u 拟合包含值拟合 A 与加入连续性残差的 B。保存的 Pareto 候选中，缺少 ξ 依赖的比例分别为 8/​9 和 11/​12；流函数 u-only 候选为 9/​15，联合 u/​v 为 5/​15。这表明互补观测与模型表示会影响找到的表达式，但候选比例属于当前搜索快照，不是普适概率，也不能证明直接 u 模型中 ξ 缺失只有一个成因。[E6]</w:t>
      </w:r>
    </w:p>
    <w:p>
      <w:pPr>
        <w:jc w:val="both"/>
      </w:pPr>
      <w:r>
        <w:rPr>
          <w:b w:val="0"/>
        </w:rPr>
        <w:t>另一个已归档分支尝试把数据特征 ∂v/∂y 再用符号代理 g 替换，形成 B+g。归档记录显示，放宽直接 A 的复杂度预算后，A 可达到 MSE≈8.5×10⁻⁴、展开运算数 13，而 B+g 的一个展开表达式达到 41 个运算。这揭示复杂度预算会混淆所谓物理约束优势。该分支还存在同数据拟合评价、扰动重标度未定义等问题，已经退出主线。对应输出目录缺失，旧复杂度口径也不完全统一，数字仅作为历史记录。[E11]</w:t>
      </w:r>
    </w:p>
    <w:p>
      <w:pPr>
        <w:pStyle w:val="Heading2"/>
      </w:pPr>
      <w:r>
        <w:t>4 2 当前基准代理的梯度精度</w:t>
      </w:r>
    </w:p>
    <w:p>
      <w:pPr>
        <w:jc w:val="both"/>
      </w:pPr>
      <w:r>
        <w:rPr>
          <w:b w:val="0"/>
        </w:rPr>
        <w:t>以统一 33×64 FD 目标的 R/​u 响应为例，定义经验输运 Kemp=T−M。K 相对误差以 Kemp 范数为分母，闭合误差以 T 范数为分母。表中“加入已知 M”用于隔离基准模型的 K 误差，不是可部署的完整响应预测。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1757"/>
        <w:gridCol w:w="2154"/>
        <w:gridCol w:w="2665"/>
      </w:tblGrid>
      <w:tr>
        <w:trPr>
          <w:cantSplit/>
          <w:tblHeader/>
        </w:trPr>
        <w:tc>
          <w:tcPr>
            <w:tcW w:type="dxa" w:w="2835"/>
            <w:vAlign w:val="center"/>
            <w:shd w:fill="DCE6ED"/>
            <w:tcMar>
              <w:top w:w="75" w:type="dxa"/>
              <w:bottom w:w="75" w:type="dxa"/>
              <w:left w:w="100" w:type="dxa"/>
              <w:right w:w="100" w:type="dxa"/>
            </w:tcMar>
          </w:tcPr>
          <w:p>
            <w:pPr>
              <w:keepNext/>
              <w:spacing w:before="0" w:after="0" w:line="269" w:lineRule="auto"/>
              <w:jc w:val="left"/>
            </w:pPr>
            <w:r>
              <w:rPr>
                <w:b/>
                <w:sz w:val="18"/>
              </w:rPr>
              <w:t>基准梯度来源</w:t>
            </w:r>
          </w:p>
        </w:tc>
        <w:tc>
          <w:tcPr>
            <w:tcW w:type="dxa" w:w="1757"/>
            <w:vAlign w:val="center"/>
            <w:shd w:fill="DCE6ED"/>
            <w:tcMar>
              <w:top w:w="75" w:type="dxa"/>
              <w:bottom w:w="75" w:type="dxa"/>
              <w:left w:w="100" w:type="dxa"/>
              <w:right w:w="100" w:type="dxa"/>
            </w:tcMar>
          </w:tcPr>
          <w:p>
            <w:pPr>
              <w:keepNext/>
              <w:spacing w:before="0" w:after="0" w:line="269" w:lineRule="auto"/>
              <w:jc w:val="center"/>
            </w:pPr>
            <w:r>
              <w:rPr>
                <w:b/>
                <w:sz w:val="18"/>
              </w:rPr>
              <w:t>当前 u 场 MSE</w:t>
            </w:r>
          </w:p>
        </w:tc>
        <w:tc>
          <w:tcPr>
            <w:tcW w:type="dxa" w:w="2154"/>
            <w:vAlign w:val="center"/>
            <w:shd w:fill="DCE6ED"/>
            <w:tcMar>
              <w:top w:w="75" w:type="dxa"/>
              <w:bottom w:w="75" w:type="dxa"/>
              <w:left w:w="100" w:type="dxa"/>
              <w:right w:w="100" w:type="dxa"/>
            </w:tcMar>
          </w:tcPr>
          <w:p>
            <w:pPr>
              <w:keepNext/>
              <w:spacing w:before="0" w:after="0" w:line="269" w:lineRule="auto"/>
              <w:jc w:val="center"/>
            </w:pPr>
            <w:r>
              <w:rPr>
                <w:b/>
                <w:sz w:val="18"/>
              </w:rPr>
              <w:t>K 相对误差</w:t>
            </w:r>
          </w:p>
        </w:tc>
        <w:tc>
          <w:tcPr>
            <w:tcW w:type="dxa" w:w="2665"/>
            <w:vAlign w:val="center"/>
            <w:shd w:fill="DCE6ED"/>
            <w:tcMar>
              <w:top w:w="75" w:type="dxa"/>
              <w:bottom w:w="75" w:type="dxa"/>
              <w:left w:w="100" w:type="dxa"/>
              <w:right w:w="100" w:type="dxa"/>
            </w:tcMar>
          </w:tcPr>
          <w:p>
            <w:pPr>
              <w:keepNext/>
              <w:spacing w:before="0" w:after="0" w:line="269" w:lineRule="auto"/>
              <w:jc w:val="center"/>
            </w:pPr>
            <w:r>
              <w:rPr>
                <w:b/>
                <w:sz w:val="18"/>
              </w:rPr>
              <w:t>K 加已知 M 的总闭合误差</w:t>
            </w:r>
          </w:p>
        </w:tc>
      </w:tr>
      <w:tr>
        <w:trPr>
          <w:cantSplit/>
        </w:trPr>
        <w:tc>
          <w:tcPr>
            <w:tcW w:type="dxa" w:w="2835"/>
            <w:vAlign w:val="center"/>
            <w:shd w:fill="FFFFFF"/>
            <w:tcMar>
              <w:top w:w="75" w:type="dxa"/>
              <w:bottom w:w="75" w:type="dxa"/>
              <w:left w:w="100" w:type="dxa"/>
              <w:right w:w="100" w:type="dxa"/>
            </w:tcMar>
          </w:tcPr>
          <w:p>
            <w:pPr>
              <w:keepNext w:val="0"/>
              <w:spacing w:before="0" w:after="0" w:line="269" w:lineRule="auto"/>
              <w:jc w:val="left"/>
            </w:pPr>
            <w:r>
              <w:rPr>
                <w:b w:val="0"/>
                <w:sz w:val="18"/>
              </w:rPr>
              <w:t>历史符号 ψ</w:t>
            </w:r>
          </w:p>
        </w:tc>
        <w:tc>
          <w:tcPr>
            <w:tcW w:type="dxa" w:w="1757"/>
            <w:vAlign w:val="center"/>
            <w:shd w:fill="FFFFFF"/>
            <w:tcMar>
              <w:top w:w="75" w:type="dxa"/>
              <w:bottom w:w="75" w:type="dxa"/>
              <w:left w:w="100" w:type="dxa"/>
              <w:right w:w="100" w:type="dxa"/>
            </w:tcMar>
          </w:tcPr>
          <w:p>
            <w:pPr>
              <w:keepNext w:val="0"/>
              <w:spacing w:before="0" w:after="0" w:line="269" w:lineRule="auto"/>
              <w:jc w:val="center"/>
            </w:pPr>
            <w:r>
              <w:rPr>
                <w:b w:val="0"/>
                <w:sz w:val="18"/>
              </w:rPr>
              <w:t>3.952×10⁻³</w:t>
            </w:r>
          </w:p>
        </w:tc>
        <w:tc>
          <w:tcPr>
            <w:tcW w:type="dxa" w:w="2154"/>
            <w:vAlign w:val="center"/>
            <w:shd w:fill="FFFFFF"/>
            <w:tcMar>
              <w:top w:w="75" w:type="dxa"/>
              <w:bottom w:w="75" w:type="dxa"/>
              <w:left w:w="100" w:type="dxa"/>
              <w:right w:w="100" w:type="dxa"/>
            </w:tcMar>
          </w:tcPr>
          <w:p>
            <w:pPr>
              <w:keepNext w:val="0"/>
              <w:spacing w:before="0" w:after="0" w:line="269" w:lineRule="auto"/>
              <w:jc w:val="center"/>
            </w:pPr>
            <w:r>
              <w:rPr>
                <w:b w:val="0"/>
                <w:sz w:val="18"/>
              </w:rPr>
              <w:t>16.87%</w:t>
            </w:r>
          </w:p>
        </w:tc>
        <w:tc>
          <w:tcPr>
            <w:tcW w:type="dxa" w:w="2665"/>
            <w:vAlign w:val="center"/>
            <w:shd w:fill="FFFFFF"/>
            <w:tcMar>
              <w:top w:w="75" w:type="dxa"/>
              <w:bottom w:w="75" w:type="dxa"/>
              <w:left w:w="100" w:type="dxa"/>
              <w:right w:w="100" w:type="dxa"/>
            </w:tcMar>
          </w:tcPr>
          <w:p>
            <w:pPr>
              <w:keepNext w:val="0"/>
              <w:spacing w:before="0" w:after="0" w:line="269" w:lineRule="auto"/>
              <w:jc w:val="center"/>
            </w:pPr>
            <w:r>
              <w:rPr>
                <w:b w:val="0"/>
                <w:sz w:val="18"/>
              </w:rPr>
              <w:t>45.85%</w:t>
            </w:r>
          </w:p>
        </w:tc>
      </w:tr>
      <w:tr>
        <w:trPr>
          <w:cantSplit/>
        </w:trPr>
        <w:tc>
          <w:tcPr>
            <w:tcW w:type="dxa" w:w="2835"/>
            <w:vAlign w:val="center"/>
            <w:shd w:fill="F5F7F9"/>
            <w:tcMar>
              <w:top w:w="75" w:type="dxa"/>
              <w:bottom w:w="75" w:type="dxa"/>
              <w:left w:w="100" w:type="dxa"/>
              <w:right w:w="100" w:type="dxa"/>
            </w:tcMar>
          </w:tcPr>
          <w:p>
            <w:pPr>
              <w:keepNext w:val="0"/>
              <w:spacing w:before="0" w:after="0" w:line="269" w:lineRule="auto"/>
              <w:jc w:val="left"/>
            </w:pPr>
            <w:r>
              <w:rPr>
                <w:b w:val="0"/>
                <w:sz w:val="18"/>
              </w:rPr>
              <w:t>三种子 MLP 均值场</w:t>
            </w:r>
          </w:p>
        </w:tc>
        <w:tc>
          <w:tcPr>
            <w:tcW w:type="dxa" w:w="1757"/>
            <w:vAlign w:val="center"/>
            <w:shd w:fill="F5F7F9"/>
            <w:tcMar>
              <w:top w:w="75" w:type="dxa"/>
              <w:bottom w:w="75" w:type="dxa"/>
              <w:left w:w="100" w:type="dxa"/>
              <w:right w:w="100" w:type="dxa"/>
            </w:tcMar>
          </w:tcPr>
          <w:p>
            <w:pPr>
              <w:keepNext w:val="0"/>
              <w:spacing w:before="0" w:after="0" w:line="269" w:lineRule="auto"/>
              <w:jc w:val="center"/>
            </w:pPr>
            <w:r>
              <w:rPr>
                <w:b w:val="0"/>
                <w:sz w:val="18"/>
              </w:rPr>
              <w:t>6.975×10⁻⁶</w:t>
            </w:r>
          </w:p>
        </w:tc>
        <w:tc>
          <w:tcPr>
            <w:tcW w:type="dxa" w:w="2154"/>
            <w:vAlign w:val="center"/>
            <w:shd w:fill="F5F7F9"/>
            <w:tcMar>
              <w:top w:w="75" w:type="dxa"/>
              <w:bottom w:w="75" w:type="dxa"/>
              <w:left w:w="100" w:type="dxa"/>
              <w:right w:w="100" w:type="dxa"/>
            </w:tcMar>
          </w:tcPr>
          <w:p>
            <w:pPr>
              <w:keepNext w:val="0"/>
              <w:spacing w:before="0" w:after="0" w:line="269" w:lineRule="auto"/>
              <w:jc w:val="center"/>
            </w:pPr>
            <w:r>
              <w:rPr>
                <w:b w:val="0"/>
                <w:sz w:val="18"/>
              </w:rPr>
              <w:t>5.58%</w:t>
            </w:r>
          </w:p>
        </w:tc>
        <w:tc>
          <w:tcPr>
            <w:tcW w:type="dxa" w:w="2665"/>
            <w:vAlign w:val="center"/>
            <w:shd w:fill="F5F7F9"/>
            <w:tcMar>
              <w:top w:w="75" w:type="dxa"/>
              <w:bottom w:w="75" w:type="dxa"/>
              <w:left w:w="100" w:type="dxa"/>
              <w:right w:w="100" w:type="dxa"/>
            </w:tcMar>
          </w:tcPr>
          <w:p>
            <w:pPr>
              <w:keepNext w:val="0"/>
              <w:spacing w:before="0" w:after="0" w:line="269" w:lineRule="auto"/>
              <w:jc w:val="center"/>
            </w:pPr>
            <w:r>
              <w:rPr>
                <w:b w:val="0"/>
                <w:sz w:val="18"/>
              </w:rPr>
              <w:t>15.17%</w:t>
            </w:r>
          </w:p>
        </w:tc>
      </w:tr>
      <w:tr>
        <w:trPr>
          <w:cantSplit/>
        </w:trPr>
        <w:tc>
          <w:tcPr>
            <w:tcW w:type="dxa" w:w="2835"/>
            <w:vAlign w:val="center"/>
            <w:shd w:fill="FFFFFF"/>
            <w:tcMar>
              <w:top w:w="75" w:type="dxa"/>
              <w:bottom w:w="75" w:type="dxa"/>
              <w:left w:w="100" w:type="dxa"/>
              <w:right w:w="100" w:type="dxa"/>
            </w:tcMar>
          </w:tcPr>
          <w:p>
            <w:pPr>
              <w:keepNext w:val="0"/>
              <w:spacing w:before="0" w:after="0" w:line="269" w:lineRule="auto"/>
              <w:jc w:val="left"/>
            </w:pPr>
            <w:r>
              <w:rPr>
                <w:b w:val="0"/>
                <w:sz w:val="18"/>
              </w:rPr>
              <w:t>基准 CFD 数据梯度</w:t>
            </w:r>
          </w:p>
        </w:tc>
        <w:tc>
          <w:tcPr>
            <w:tcW w:type="dxa" w:w="1757"/>
            <w:vAlign w:val="center"/>
            <w:shd w:fill="FFFFFF"/>
            <w:tcMar>
              <w:top w:w="75" w:type="dxa"/>
              <w:bottom w:w="75" w:type="dxa"/>
              <w:left w:w="100" w:type="dxa"/>
              <w:right w:w="100" w:type="dxa"/>
            </w:tcMar>
          </w:tcPr>
          <w:p>
            <w:pPr>
              <w:keepNext w:val="0"/>
              <w:spacing w:before="0" w:after="0" w:line="269" w:lineRule="auto"/>
              <w:jc w:val="center"/>
            </w:pPr>
            <w:r>
              <w:rPr>
                <w:b w:val="0"/>
                <w:sz w:val="18"/>
              </w:rPr>
              <w:t>不适用</w:t>
            </w:r>
          </w:p>
        </w:tc>
        <w:tc>
          <w:tcPr>
            <w:tcW w:type="dxa" w:w="2154"/>
            <w:vAlign w:val="center"/>
            <w:shd w:fill="FFFFFF"/>
            <w:tcMar>
              <w:top w:w="75" w:type="dxa"/>
              <w:bottom w:w="75" w:type="dxa"/>
              <w:left w:w="100" w:type="dxa"/>
              <w:right w:w="100" w:type="dxa"/>
            </w:tcMar>
          </w:tcPr>
          <w:p>
            <w:pPr>
              <w:keepNext w:val="0"/>
              <w:spacing w:before="0" w:after="0" w:line="269" w:lineRule="auto"/>
              <w:jc w:val="center"/>
            </w:pPr>
            <w:r>
              <w:rPr>
                <w:b w:val="0"/>
                <w:sz w:val="18"/>
              </w:rPr>
              <w:t>4.72%</w:t>
            </w:r>
          </w:p>
        </w:tc>
        <w:tc>
          <w:tcPr>
            <w:tcW w:type="dxa" w:w="2665"/>
            <w:vAlign w:val="center"/>
            <w:shd w:fill="FFFFFF"/>
            <w:tcMar>
              <w:top w:w="75" w:type="dxa"/>
              <w:bottom w:w="75" w:type="dxa"/>
              <w:left w:w="100" w:type="dxa"/>
              <w:right w:w="100" w:type="dxa"/>
            </w:tcMar>
          </w:tcPr>
          <w:p>
            <w:pPr>
              <w:keepNext w:val="0"/>
              <w:spacing w:before="0" w:after="0" w:line="269" w:lineRule="auto"/>
              <w:jc w:val="center"/>
            </w:pPr>
            <w:r>
              <w:rPr>
                <w:b w:val="0"/>
                <w:sz w:val="18"/>
              </w:rPr>
              <w:t>12.82%</w:t>
            </w:r>
          </w:p>
        </w:tc>
      </w:tr>
    </w:tbl>
    <w:p>
      <w:pPr>
        <w:spacing w:after="20" w:before="0" w:line="240" w:lineRule="auto"/>
      </w:pPr>
      <w:r>
        <w:rPr>
          <w:sz w:val="4"/>
        </w:rPr>
      </w:r>
    </w:p>
    <w:p>
      <w:pPr>
        <w:jc w:val="both"/>
      </w:pPr>
      <w:r>
        <w:rPr>
          <w:b w:val="0"/>
        </w:rPr>
        <w:t>MLP 使用 4×64 tanh 网络、float64、λv=1 和 20000 次优化步。三个种子的 K 误差为 5.58%、5.81%、5.54%；均值场指标是先平均预测再计算误差，并非三个误差的简单平均。其训练网格和容量与历史符号模型不同，所以只能确认当前存档上的梯度表示改善，不能据此作公平算法优越性或跨算例推广结论。[E1、E7]</w:t>
      </w:r>
    </w:p>
    <w:p>
      <w:pPr>
        <w:keepNext/>
        <w:spacing w:before="80" w:after="60"/>
        <w:jc w:val="center"/>
      </w:pPr>
      <w:r>
        <w:drawing>
          <wp:inline xmlns:a="http://schemas.openxmlformats.org/drawingml/2006/main" xmlns:pic="http://schemas.openxmlformats.org/drawingml/2006/picture">
            <wp:extent cx="5976000" cy="2547147"/>
            <wp:docPr id="1" name="Picture 1" descr="图1 当前 R/u 输运误差与总闭合误差对照"/>
            <wp:cNvGraphicFramePr>
              <a:graphicFrameLocks noChangeAspect="1"/>
            </wp:cNvGraphicFramePr>
            <a:graphic>
              <a:graphicData uri="http://schemas.openxmlformats.org/drawingml/2006/picture">
                <pic:pic>
                  <pic:nvPicPr>
                    <pic:cNvPr id="0" name="fig1_gradient_closure.png"/>
                    <pic:cNvPicPr/>
                  </pic:nvPicPr>
                  <pic:blipFill>
                    <a:blip r:embed="rId10"/>
                    <a:stretch>
                      <a:fillRect/>
                    </a:stretch>
                  </pic:blipFill>
                  <pic:spPr>
                    <a:xfrm>
                      <a:off x="0" y="0"/>
                      <a:ext cx="5976000" cy="2547147"/>
                    </a:xfrm>
                    <a:prstGeom prst="rect"/>
                  </pic:spPr>
                </pic:pic>
              </a:graphicData>
            </a:graphic>
          </wp:inline>
        </w:drawing>
      </w:r>
    </w:p>
    <w:p>
      <w:pPr>
        <w:pStyle w:val="Caption"/>
        <w:jc w:val="center"/>
      </w:pPr>
      <w:r>
        <w:t>图1 当前 R/u 输运误差与总闭合误差对照</w:t>
      </w:r>
    </w:p>
    <w:p>
      <w:pPr>
        <w:jc w:val="both"/>
      </w:pPr>
      <w:r>
        <w:rPr>
          <w:b w:val="0"/>
        </w:rPr>
        <w:t>将 MLP 的训练网格由 16×64 加密至 33×64，均值场 K 误差由 5.6946% 降至 5.5848%，仅改善约 0.11 个百分点；同期数据梯度参照由 4.8381% 变为 4.7182%。因此，该加密实验没有显示模型相对数据梯度差距的实质缩小。所谓“数据梯度底线”只是当前离散参照，不是不可突破的真实误差下界。[E7]</w:t>
      </w:r>
    </w:p>
    <w:p>
      <w:pPr>
        <w:pStyle w:val="Heading2"/>
      </w:pPr>
      <w:r>
        <w:t>4 3 保存候选中的值与梯度排序错配</w:t>
      </w:r>
    </w:p>
    <w:p>
      <w:pPr>
        <w:jc w:val="both"/>
      </w:pPr>
      <w:r>
        <w:rPr>
          <w:b w:val="0"/>
        </w:rPr>
        <w:t>对现有 ψ-A/​B 候选回溯评价，记录的 B-E14-C21 的 R/​u K 误差为 16.87%；梯度最优的 A-E12-C19 为 14.45%，但原 u-MSE 是前者的 1.85 倍。所有候选的原 u-MSE 与 K 误差 Spearman 相关系数仍为 0.944。由此可见，值误差总体有参考价值，却不足以唯一确定下游梯度最优表达式。</w:t>
      </w:r>
    </w:p>
    <w:p>
      <w:pPr>
        <w:jc w:val="both"/>
      </w:pPr>
      <w:r>
        <w:rPr>
          <w:b w:val="0"/>
        </w:rPr>
        <w:t>这一回溯同时用同一 FD 目标排序和报告，属于诊断，不是导数选式的独立测试。即使选到保存候选中的最优 K，其加入已知 M 后的闭合误差仍约 39.26%，说明仅改变本批候选的选择还不足以完成响应任务。[E8]</w:t>
      </w:r>
    </w:p>
    <w:p>
      <w:pPr>
        <w:pStyle w:val="Heading1"/>
      </w:pPr>
      <w:r>
        <w:t>5 P0 与半径响应流函数实验</w:t>
      </w:r>
    </w:p>
    <w:p>
      <w:pPr>
        <w:pStyle w:val="Heading2"/>
      </w:pPr>
      <w:r>
        <w:t>5 1 离散路径闭合的意义</w:t>
      </w:r>
    </w:p>
    <w:p>
      <w:pPr>
        <w:jc w:val="both"/>
      </w:pPr>
      <w:r>
        <w:rPr>
          <w:b w:val="0"/>
        </w:rPr>
        <w:t>P0 对同一组映射前后场构造有限步长的 T、M 和路径输运，最大闭合残差约 1.70×10⁻¹⁶。因为三个量按同一代数关系构造，随机数组也可闭合到 1.36×10⁻¹⁶。它有效检查了符号、坐标和记账，但不能认证 CFD 参数导数准确到机器精度。</w:t>
      </w:r>
    </w:p>
    <w:p>
      <w:pPr>
        <w:jc w:val="both"/>
      </w:pPr>
      <w:r>
        <w:rPr>
          <w:b w:val="0"/>
        </w:rPr>
        <w:t>旧 16×64 P0 存档中，u 分量基准数据梯度的 R/​cx/​cy 闭合误差分别为 19.96%、6.16%、10.25%；符号梯度为 37.78%、35.39%、43.59%。这些数字与密集评价网格上的结果有不同网格口径，不能串接成同一次模型改进。2026 年 9 月 8 日从七组节点时均缓存独立重建得到 T/​M，与存档最大相对差 3.38×10⁻¹⁴，进一步确认计算实现可复核；参数步长和 CFD 网格收敛仍需新增证据。[E1、E9]</w:t>
      </w:r>
    </w:p>
    <w:p>
      <w:pPr>
        <w:pStyle w:val="Heading2"/>
      </w:pPr>
      <w:r>
        <w:t>5 2 分量抵消放大总响应误差</w:t>
      </w:r>
    </w:p>
    <w:p>
      <w:pPr>
        <w:jc w:val="both"/>
      </w:pPr>
      <w:r>
        <w:rPr>
          <w:b w:val="0"/>
        </w:rPr>
        <w:t>当前 R/​u 经验输运放大系数 κK=‖Kemp‖/‖T‖≈2.7171。平均绝对幅值分别为 T 13.84、M 27.01、Kemp 38.06，单位为无量纲速度对半径的响应单位 m⁻¹。K 与 M 的抵消使总响应对分量误差敏感。使用数据梯度 K 单独替代 T 的相对误差约 231.11%，表明仅计算坐标项远不足以恢复完整响应。[E1]</w:t>
      </w:r>
    </w:p>
    <w:p>
      <w:pPr>
        <w:jc w:val="both"/>
      </w:pPr>
      <w:r>
        <w:rPr>
          <w:b w:val="0"/>
        </w:rPr>
        <w:t>当 M 已知且保持不变时，闭合误差与 K 误差满足 εclosure=κKεK；这由误差定义直接推出。一般近似模型还满足：</w:t>
      </w:r>
    </w:p>
    <w:p>
      <w:pPr>
        <w:keepLines/>
        <w:spacing w:before="60" w:after="140"/>
        <w:jc w:val="center"/>
      </w:pPr>
      <m:oMath>
        <m:sSub>
          <m:e>
            <m:r>
              <w:rPr>
                <w:rFonts w:ascii="Cambria Math" w:hAnsi="Cambria Math"/>
                <w:sz w:val="22"/>
              </w:rPr>
              <m:t>e</m:t>
            </m:r>
          </m:e>
          <m:sub>
            <m:r>
              <w:rPr>
                <w:rFonts w:ascii="Cambria Math" w:hAnsi="Cambria Math"/>
                <w:sz w:val="22"/>
              </w:rPr>
              <m:t>T</m:t>
            </m:r>
          </m:sub>
        </m:sSub>
        <m:r>
          <w:rPr>
            <w:rFonts w:ascii="Cambria Math" w:hAnsi="Cambria Math"/>
            <w:sz w:val="22"/>
          </w:rPr>
          <m:t xml:space="preserve"> ≤ </m:t>
        </m:r>
        <m:sSub>
          <m:e>
            <m:r>
              <w:rPr>
                <w:rFonts w:ascii="Cambria Math" w:hAnsi="Cambria Math"/>
                <w:sz w:val="22"/>
              </w:rPr>
              <m:t>κ</m:t>
            </m:r>
          </m:e>
          <m:sub>
            <m:r>
              <w:rPr>
                <w:rFonts w:ascii="Cambria Math" w:hAnsi="Cambria Math"/>
                <w:sz w:val="22"/>
              </w:rPr>
              <m:t>K</m:t>
            </m:r>
          </m:sub>
        </m:sSub>
        <m:sSub>
          <m:e>
            <m:r>
              <w:rPr>
                <w:rFonts w:ascii="Cambria Math" w:hAnsi="Cambria Math"/>
                <w:sz w:val="22"/>
              </w:rPr>
              <m:t>e</m:t>
            </m:r>
          </m:e>
          <m:sub>
            <m:r>
              <w:rPr>
                <w:rFonts w:ascii="Cambria Math" w:hAnsi="Cambria Math"/>
                <w:sz w:val="22"/>
              </w:rPr>
              <m:t>K</m:t>
            </m:r>
          </m:sub>
        </m:sSub>
        <m:r>
          <w:rPr>
            <w:rFonts w:ascii="Cambria Math" w:hAnsi="Cambria Math"/>
            <w:sz w:val="22"/>
          </w:rPr>
          <m:t xml:space="preserve"> + </m:t>
        </m:r>
        <m:sSub>
          <m:e>
            <m:r>
              <w:rPr>
                <w:rFonts w:ascii="Cambria Math" w:hAnsi="Cambria Math"/>
                <w:sz w:val="22"/>
              </w:rPr>
              <m:t>κ</m:t>
            </m:r>
          </m:e>
          <m:sub>
            <m:r>
              <w:rPr>
                <w:rFonts w:ascii="Cambria Math" w:hAnsi="Cambria Math"/>
                <w:sz w:val="22"/>
              </w:rPr>
              <m:t>M</m:t>
            </m:r>
          </m:sub>
        </m:sSub>
        <m:sSub>
          <m:e>
            <m:r>
              <w:rPr>
                <w:rFonts w:ascii="Cambria Math" w:hAnsi="Cambria Math"/>
                <w:sz w:val="22"/>
              </w:rPr>
              <m:t>e</m:t>
            </m:r>
          </m:e>
          <m:sub>
            <m:r>
              <w:rPr>
                <w:rFonts w:ascii="Cambria Math" w:hAnsi="Cambria Math"/>
                <w:sz w:val="22"/>
              </w:rPr>
              <m:t>M</m:t>
            </m:r>
          </m:sub>
        </m:sSub>
        <m:r>
          <w:rPr>
            <w:rFonts w:ascii="Cambria Math" w:hAnsi="Cambria Math"/>
            <w:sz w:val="22"/>
          </w:rPr>
          <m:t xml:space="preserve">     </m:t>
        </m:r>
        <m:sSub>
          <m:e>
            <m:r>
              <w:rPr>
                <w:rFonts w:ascii="Cambria Math" w:hAnsi="Cambria Math"/>
                <w:sz w:val="22"/>
              </w:rPr>
              <m:t>κ</m:t>
            </m:r>
          </m:e>
          <m:sub>
            <m:r>
              <w:rPr>
                <w:rFonts w:ascii="Cambria Math" w:hAnsi="Cambria Math"/>
                <w:sz w:val="22"/>
              </w:rPr>
              <m:t>K</m:t>
            </m:r>
          </m:sub>
        </m:sSub>
        <m:r>
          <w:rPr>
            <w:rFonts w:ascii="Cambria Math" w:hAnsi="Cambria Math"/>
            <w:sz w:val="22"/>
          </w:rPr>
          <m:t xml:space="preserve"> = </m:t>
        </m:r>
        <m:f>
          <m:num>
            <m:r>
              <w:rPr>
                <w:rFonts w:ascii="Cambria Math" w:hAnsi="Cambria Math"/>
                <w:sz w:val="22"/>
              </w:rPr>
              <m:t>‖K‖</m:t>
            </m:r>
          </m:num>
          <m:den>
            <m:r>
              <w:rPr>
                <w:rFonts w:ascii="Cambria Math" w:hAnsi="Cambria Math"/>
                <w:sz w:val="22"/>
              </w:rPr>
              <m:t>‖T‖</m:t>
            </m:r>
          </m:den>
        </m:f>
        <m:r>
          <w:rPr>
            <w:rFonts w:ascii="Cambria Math" w:hAnsi="Cambria Math"/>
            <w:sz w:val="22"/>
          </w:rPr>
          <m:t xml:space="preserve">     </m:t>
        </m:r>
        <m:sSub>
          <m:e>
            <m:r>
              <w:rPr>
                <w:rFonts w:ascii="Cambria Math" w:hAnsi="Cambria Math"/>
                <w:sz w:val="22"/>
              </w:rPr>
              <m:t>κ</m:t>
            </m:r>
          </m:e>
          <m:sub>
            <m:r>
              <w:rPr>
                <w:rFonts w:ascii="Cambria Math" w:hAnsi="Cambria Math"/>
                <w:sz w:val="22"/>
              </w:rPr>
              <m:t>M</m:t>
            </m:r>
          </m:sub>
        </m:sSub>
        <m:r>
          <w:rPr>
            <w:rFonts w:ascii="Cambria Math" w:hAnsi="Cambria Math"/>
            <w:sz w:val="22"/>
          </w:rPr>
          <m:t xml:space="preserve"> = </m:t>
        </m:r>
        <m:f>
          <m:num>
            <m:r>
              <w:rPr>
                <w:rFonts w:ascii="Cambria Math" w:hAnsi="Cambria Math"/>
                <w:sz w:val="22"/>
              </w:rPr>
              <m:t>‖M‖</m:t>
            </m:r>
          </m:num>
          <m:den>
            <m:r>
              <w:rPr>
                <w:rFonts w:ascii="Cambria Math" w:hAnsi="Cambria Math"/>
                <w:sz w:val="22"/>
              </w:rPr>
              <m:t>‖T‖</m:t>
            </m:r>
          </m:den>
        </m:f>
      </m:oMath>
    </w:p>
    <w:p>
      <w:pPr>
        <w:jc w:val="both"/>
      </w:pPr>
      <w:r>
        <w:rPr>
          <w:b w:val="0"/>
        </w:rPr>
        <w:t>该式是三角不等式的误差预算，不是新的理论定理。若 M 完全准确，要以此充分条件保证 T 误差不超过 10%，当前 K 的误差需不超过约 3.68%；同时拟合 M 时预算更严格。实际误差也可能抵消，最后仍须直接评价 T，且近零目标需同时报告绝对误差。[E4]</w:t>
      </w:r>
    </w:p>
    <w:p>
      <w:pPr>
        <w:pStyle w:val="Heading2"/>
      </w:pPr>
      <w:r>
        <w:t>5 3 响应流函数的结果与边界</w:t>
      </w:r>
    </w:p>
    <w:p>
      <w:pPr>
        <w:jc w:val="both"/>
      </w:pPr>
      <w:r>
        <w:rPr>
          <w:b w:val="0"/>
        </w:rPr>
        <w:t>Step 6 用半径扰动生成的 M 监督响应流函数 φR，再通过其偏导恢复 Mu、Mv。当前目标重算后仍选中历史复杂度 25 的表达式。它的解析散度为零，但误差如下：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05"/>
        <w:gridCol w:w="3203"/>
        <w:gridCol w:w="3203"/>
      </w:tblGrid>
      <w:tr>
        <w:trPr>
          <w:cantSplit/>
          <w:tblHeader/>
        </w:trPr>
        <w:tc>
          <w:tcPr>
            <w:tcW w:type="dxa" w:w="3005"/>
            <w:vAlign w:val="center"/>
            <w:shd w:fill="DCE6ED"/>
            <w:tcMar>
              <w:top w:w="75" w:type="dxa"/>
              <w:bottom w:w="75" w:type="dxa"/>
              <w:left w:w="100" w:type="dxa"/>
              <w:right w:w="100" w:type="dxa"/>
            </w:tcMar>
          </w:tcPr>
          <w:p>
            <w:pPr>
              <w:keepNext/>
              <w:spacing w:before="0" w:after="0" w:line="269" w:lineRule="auto"/>
              <w:jc w:val="left"/>
            </w:pPr>
            <w:r>
              <w:rPr>
                <w:b/>
                <w:sz w:val="18"/>
              </w:rPr>
              <w:t>当前目标上的评价</w:t>
            </w:r>
          </w:p>
        </w:tc>
        <w:tc>
          <w:tcPr>
            <w:tcW w:type="dxa" w:w="3203"/>
            <w:vAlign w:val="center"/>
            <w:shd w:fill="DCE6ED"/>
            <w:tcMar>
              <w:top w:w="75" w:type="dxa"/>
              <w:bottom w:w="75" w:type="dxa"/>
              <w:left w:w="100" w:type="dxa"/>
              <w:right w:w="100" w:type="dxa"/>
            </w:tcMar>
          </w:tcPr>
          <w:p>
            <w:pPr>
              <w:keepNext/>
              <w:spacing w:before="0" w:after="0" w:line="269" w:lineRule="auto"/>
              <w:jc w:val="center"/>
            </w:pPr>
            <w:r>
              <w:rPr>
                <w:b/>
                <w:sz w:val="18"/>
              </w:rPr>
              <w:t>u 分量</w:t>
            </w:r>
          </w:p>
        </w:tc>
        <w:tc>
          <w:tcPr>
            <w:tcW w:type="dxa" w:w="3203"/>
            <w:vAlign w:val="center"/>
            <w:shd w:fill="DCE6ED"/>
            <w:tcMar>
              <w:top w:w="75" w:type="dxa"/>
              <w:bottom w:w="75" w:type="dxa"/>
              <w:left w:w="100" w:type="dxa"/>
              <w:right w:w="100" w:type="dxa"/>
            </w:tcMar>
          </w:tcPr>
          <w:p>
            <w:pPr>
              <w:keepNext/>
              <w:spacing w:before="0" w:after="0" w:line="269" w:lineRule="auto"/>
              <w:jc w:val="center"/>
            </w:pPr>
            <w:r>
              <w:rPr>
                <w:b/>
                <w:sz w:val="18"/>
              </w:rPr>
              <w:t>v 分量</w:t>
            </w:r>
          </w:p>
        </w:tc>
      </w:tr>
      <w:tr>
        <w:trPr>
          <w:cantSplit/>
        </w:trPr>
        <w:tc>
          <w:tcPr>
            <w:tcW w:type="dxa" w:w="3005"/>
            <w:vAlign w:val="center"/>
            <w:shd w:fill="FFFFFF"/>
            <w:tcMar>
              <w:top w:w="75" w:type="dxa"/>
              <w:bottom w:w="75" w:type="dxa"/>
              <w:left w:w="100" w:type="dxa"/>
              <w:right w:w="100" w:type="dxa"/>
            </w:tcMar>
          </w:tcPr>
          <w:p>
            <w:pPr>
              <w:keepNext w:val="0"/>
              <w:spacing w:before="0" w:after="0" w:line="269" w:lineRule="auto"/>
              <w:jc w:val="left"/>
            </w:pPr>
            <w:r>
              <w:rPr>
                <w:b w:val="0"/>
                <w:sz w:val="18"/>
              </w:rPr>
              <w:t>内在响应 M 相对 L2</w:t>
            </w:r>
          </w:p>
        </w:tc>
        <w:tc>
          <w:tcPr>
            <w:tcW w:type="dxa" w:w="3203"/>
            <w:vAlign w:val="center"/>
            <w:shd w:fill="FFFFFF"/>
            <w:tcMar>
              <w:top w:w="75" w:type="dxa"/>
              <w:bottom w:w="75" w:type="dxa"/>
              <w:left w:w="100" w:type="dxa"/>
              <w:right w:w="100" w:type="dxa"/>
            </w:tcMar>
          </w:tcPr>
          <w:p>
            <w:pPr>
              <w:keepNext w:val="0"/>
              <w:spacing w:before="0" w:after="0" w:line="269" w:lineRule="auto"/>
              <w:jc w:val="center"/>
            </w:pPr>
            <w:r>
              <w:rPr>
                <w:b w:val="0"/>
                <w:sz w:val="18"/>
              </w:rPr>
              <w:t>29.46%</w:t>
            </w:r>
          </w:p>
        </w:tc>
        <w:tc>
          <w:tcPr>
            <w:tcW w:type="dxa" w:w="3203"/>
            <w:vAlign w:val="center"/>
            <w:shd w:fill="FFFFFF"/>
            <w:tcMar>
              <w:top w:w="75" w:type="dxa"/>
              <w:bottom w:w="75" w:type="dxa"/>
              <w:left w:w="100" w:type="dxa"/>
              <w:right w:w="100" w:type="dxa"/>
            </w:tcMar>
          </w:tcPr>
          <w:p>
            <w:pPr>
              <w:keepNext w:val="0"/>
              <w:spacing w:before="0" w:after="0" w:line="269" w:lineRule="auto"/>
              <w:jc w:val="center"/>
            </w:pPr>
            <w:r>
              <w:rPr>
                <w:b w:val="0"/>
                <w:sz w:val="18"/>
              </w:rPr>
              <w:t>39.81%</w:t>
            </w:r>
          </w:p>
        </w:tc>
      </w:tr>
      <w:tr>
        <w:trPr>
          <w:cantSplit/>
        </w:trPr>
        <w:tc>
          <w:tcPr>
            <w:tcW w:type="dxa" w:w="3005"/>
            <w:vAlign w:val="center"/>
            <w:shd w:fill="F5F7F9"/>
            <w:tcMar>
              <w:top w:w="75" w:type="dxa"/>
              <w:bottom w:w="75" w:type="dxa"/>
              <w:left w:w="100" w:type="dxa"/>
              <w:right w:w="100" w:type="dxa"/>
            </w:tcMar>
          </w:tcPr>
          <w:p>
            <w:pPr>
              <w:keepNext w:val="0"/>
              <w:spacing w:before="0" w:after="0" w:line="269" w:lineRule="auto"/>
              <w:jc w:val="left"/>
            </w:pPr>
            <w:r>
              <w:rPr>
                <w:b w:val="0"/>
                <w:sz w:val="18"/>
              </w:rPr>
              <w:t>完整无量纲符号总响应相对 L2</w:t>
            </w:r>
          </w:p>
        </w:tc>
        <w:tc>
          <w:tcPr>
            <w:tcW w:type="dxa" w:w="3203"/>
            <w:vAlign w:val="center"/>
            <w:shd w:fill="F5F7F9"/>
            <w:tcMar>
              <w:top w:w="75" w:type="dxa"/>
              <w:bottom w:w="75" w:type="dxa"/>
              <w:left w:w="100" w:type="dxa"/>
              <w:right w:w="100" w:type="dxa"/>
            </w:tcMar>
          </w:tcPr>
          <w:p>
            <w:pPr>
              <w:keepNext w:val="0"/>
              <w:spacing w:before="0" w:after="0" w:line="269" w:lineRule="auto"/>
              <w:jc w:val="center"/>
            </w:pPr>
            <w:r>
              <w:rPr>
                <w:b w:val="0"/>
                <w:sz w:val="18"/>
              </w:rPr>
              <w:t>82.92%</w:t>
            </w:r>
          </w:p>
        </w:tc>
        <w:tc>
          <w:tcPr>
            <w:tcW w:type="dxa" w:w="3203"/>
            <w:vAlign w:val="center"/>
            <w:shd w:fill="F5F7F9"/>
            <w:tcMar>
              <w:top w:w="75" w:type="dxa"/>
              <w:bottom w:w="75" w:type="dxa"/>
              <w:left w:w="100" w:type="dxa"/>
              <w:right w:w="100" w:type="dxa"/>
            </w:tcMar>
          </w:tcPr>
          <w:p>
            <w:pPr>
              <w:keepNext w:val="0"/>
              <w:spacing w:before="0" w:after="0" w:line="269" w:lineRule="auto"/>
              <w:jc w:val="center"/>
            </w:pPr>
            <w:r>
              <w:rPr>
                <w:b w:val="0"/>
                <w:sz w:val="18"/>
              </w:rPr>
              <w:t>155.71%</w:t>
            </w:r>
          </w:p>
        </w:tc>
      </w:tr>
      <w:tr>
        <w:trPr>
          <w:cantSplit/>
        </w:trPr>
        <w:tc>
          <w:tcPr>
            <w:tcW w:type="dxa" w:w="3005"/>
            <w:vAlign w:val="center"/>
            <w:shd w:fill="FFFFFF"/>
            <w:tcMar>
              <w:top w:w="75" w:type="dxa"/>
              <w:bottom w:w="75" w:type="dxa"/>
              <w:left w:w="100" w:type="dxa"/>
              <w:right w:w="100" w:type="dxa"/>
            </w:tcMar>
          </w:tcPr>
          <w:p>
            <w:pPr>
              <w:keepNext w:val="0"/>
              <w:spacing w:before="0" w:after="0" w:line="269" w:lineRule="auto"/>
              <w:jc w:val="left"/>
            </w:pPr>
            <w:r>
              <w:rPr>
                <w:b w:val="0"/>
                <w:sz w:val="18"/>
              </w:rPr>
              <w:t>严格导出公式的有量纲总响应相对 L2</w:t>
            </w:r>
          </w:p>
        </w:tc>
        <w:tc>
          <w:tcPr>
            <w:tcW w:type="dxa" w:w="3203"/>
            <w:vAlign w:val="center"/>
            <w:shd w:fill="FFFFFF"/>
            <w:tcMar>
              <w:top w:w="75" w:type="dxa"/>
              <w:bottom w:w="75" w:type="dxa"/>
              <w:left w:w="100" w:type="dxa"/>
              <w:right w:w="100" w:type="dxa"/>
            </w:tcMar>
          </w:tcPr>
          <w:p>
            <w:pPr>
              <w:keepNext w:val="0"/>
              <w:spacing w:before="0" w:after="0" w:line="269" w:lineRule="auto"/>
              <w:jc w:val="center"/>
            </w:pPr>
            <w:r>
              <w:rPr>
                <w:b w:val="0"/>
                <w:sz w:val="18"/>
              </w:rPr>
              <w:t>41.84%</w:t>
            </w:r>
          </w:p>
        </w:tc>
        <w:tc>
          <w:tcPr>
            <w:tcW w:type="dxa" w:w="3203"/>
            <w:vAlign w:val="center"/>
            <w:shd w:fill="FFFFFF"/>
            <w:tcMar>
              <w:top w:w="75" w:type="dxa"/>
              <w:bottom w:w="75" w:type="dxa"/>
              <w:left w:w="100" w:type="dxa"/>
              <w:right w:w="100" w:type="dxa"/>
            </w:tcMar>
          </w:tcPr>
          <w:p>
            <w:pPr>
              <w:keepNext w:val="0"/>
              <w:spacing w:before="0" w:after="0" w:line="269" w:lineRule="auto"/>
              <w:jc w:val="center"/>
            </w:pPr>
            <w:r>
              <w:rPr>
                <w:b w:val="0"/>
                <w:sz w:val="18"/>
              </w:rPr>
              <w:t>172.95%</w:t>
            </w:r>
          </w:p>
        </w:tc>
      </w:tr>
    </w:tbl>
    <w:p>
      <w:pPr>
        <w:spacing w:after="20" w:before="0" w:line="240" w:lineRule="auto"/>
      </w:pPr>
      <w:r>
        <w:rPr>
          <w:sz w:val="4"/>
        </w:rPr>
      </w:r>
    </w:p>
    <w:p>
      <w:pPr>
        <w:jc w:val="both"/>
      </w:pPr>
      <w:r>
        <w:rPr>
          <w:b w:val="0"/>
        </w:rPr>
        <w:t>有量纲和无量纲行的目标、分母不同，不应直接用百分比大小判断哪种版本“更准确”。有量纲响应流函数按 φdim=U0φR+U′Rψ0 构造；完整表达式使用 ψ0 的导数，而不能在评价时偷偷替换为 CFD 基准场。此前混合公式与完整符号公式的响应差值 RMS 为 u 0.9166、v 0.5894，现有接口已统一其计算口径。[E1、E5]</w:t>
      </w:r>
    </w:p>
    <w:p>
      <w:pPr>
        <w:jc w:val="both"/>
      </w:pPr>
      <w:r>
        <w:rPr>
          <w:b w:val="0"/>
        </w:rPr>
        <w:t>本实验实现了从响应标签到闭式表达式的原型，但尚未获得高精度全符号总响应。其训练使用了扰动信息，当前目标还参与重算选式，因此评价属于响应重建，不能表述为未知参数或未知算例上的盲测预测。</w:t>
      </w:r>
    </w:p>
    <w:p>
      <w:pPr>
        <w:pStyle w:val="Heading1"/>
      </w:pPr>
      <w:r>
        <w:t>6 P1 微分观测零空间与互补观测</w:t>
      </w:r>
    </w:p>
    <w:p>
      <w:pPr>
        <w:jc w:val="both"/>
      </w:pPr>
      <w:r>
        <w:rPr>
          <w:b w:val="0"/>
        </w:rPr>
        <w:t>P1 在 41×41 位置网格上构造七项显式流函数字典，比较只观察 u 与联合观察 u/​v 的观测矩阵。u=∂ηψ 无法观测常数及仅依赖 ξ 的项；联合 v=−∂ξψ 可约束这些方向。该实验通过矩阵秩和最小二乘直接验证，不依赖 PySR 能否搜索到某个表达式。[E6]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2268"/>
        <w:gridCol w:w="2324"/>
        <w:gridCol w:w="2324"/>
      </w:tblGrid>
      <w:tr>
        <w:trPr>
          <w:cantSplit/>
          <w:tblHeader/>
        </w:trPr>
        <w:tc>
          <w:tcPr>
            <w:tcW w:type="dxa" w:w="2494"/>
            <w:vAlign w:val="center"/>
            <w:shd w:fill="DCE6ED"/>
            <w:tcMar>
              <w:top w:w="75" w:type="dxa"/>
              <w:bottom w:w="75" w:type="dxa"/>
              <w:left w:w="100" w:type="dxa"/>
              <w:right w:w="100" w:type="dxa"/>
            </w:tcMar>
          </w:tcPr>
          <w:p>
            <w:pPr>
              <w:keepNext/>
              <w:spacing w:before="0" w:after="0" w:line="269" w:lineRule="auto"/>
              <w:jc w:val="left"/>
            </w:pPr>
            <w:r>
              <w:rPr>
                <w:b/>
                <w:sz w:val="18"/>
              </w:rPr>
              <w:t>观测条件</w:t>
            </w:r>
          </w:p>
        </w:tc>
        <w:tc>
          <w:tcPr>
            <w:tcW w:type="dxa" w:w="2268"/>
            <w:vAlign w:val="center"/>
            <w:shd w:fill="DCE6ED"/>
            <w:tcMar>
              <w:top w:w="75" w:type="dxa"/>
              <w:bottom w:w="75" w:type="dxa"/>
              <w:left w:w="100" w:type="dxa"/>
              <w:right w:w="100" w:type="dxa"/>
            </w:tcMar>
          </w:tcPr>
          <w:p>
            <w:pPr>
              <w:keepNext/>
              <w:spacing w:before="0" w:after="0" w:line="269" w:lineRule="auto"/>
              <w:jc w:val="center"/>
            </w:pPr>
            <w:r>
              <w:rPr>
                <w:b/>
                <w:sz w:val="18"/>
              </w:rPr>
              <w:t>观测矩阵秩</w:t>
            </w:r>
          </w:p>
        </w:tc>
        <w:tc>
          <w:tcPr>
            <w:tcW w:type="dxa" w:w="2324"/>
            <w:vAlign w:val="center"/>
            <w:shd w:fill="DCE6ED"/>
            <w:tcMar>
              <w:top w:w="75" w:type="dxa"/>
              <w:bottom w:w="75" w:type="dxa"/>
              <w:left w:w="100" w:type="dxa"/>
              <w:right w:w="100" w:type="dxa"/>
            </w:tcMar>
          </w:tcPr>
          <w:p>
            <w:pPr>
              <w:keepNext/>
              <w:spacing w:before="0" w:after="0" w:line="269" w:lineRule="auto"/>
              <w:jc w:val="center"/>
            </w:pPr>
            <w:r>
              <w:rPr>
                <w:b/>
                <w:sz w:val="18"/>
              </w:rPr>
              <w:t>零空间维数</w:t>
            </w:r>
          </w:p>
        </w:tc>
        <w:tc>
          <w:tcPr>
            <w:tcW w:type="dxa" w:w="2324"/>
            <w:vAlign w:val="center"/>
            <w:shd w:fill="DCE6ED"/>
            <w:tcMar>
              <w:top w:w="75" w:type="dxa"/>
              <w:bottom w:w="75" w:type="dxa"/>
              <w:left w:w="100" w:type="dxa"/>
              <w:right w:w="100" w:type="dxa"/>
            </w:tcMar>
          </w:tcPr>
          <w:p>
            <w:pPr>
              <w:keepNext/>
              <w:spacing w:before="0" w:after="0" w:line="269" w:lineRule="auto"/>
              <w:jc w:val="center"/>
            </w:pPr>
            <w:r>
              <w:rPr>
                <w:b/>
                <w:sz w:val="18"/>
              </w:rPr>
              <w:t>无规范列系数恢复误差</w:t>
            </w:r>
          </w:p>
        </w:tc>
      </w:tr>
      <w:tr>
        <w:trPr>
          <w:cantSplit/>
        </w:trPr>
        <w:tc>
          <w:tcPr>
            <w:tcW w:type="dxa" w:w="2494"/>
            <w:vAlign w:val="center"/>
            <w:shd w:fill="FFFFFF"/>
            <w:tcMar>
              <w:top w:w="75" w:type="dxa"/>
              <w:bottom w:w="75" w:type="dxa"/>
              <w:left w:w="100" w:type="dxa"/>
              <w:right w:w="100" w:type="dxa"/>
            </w:tcMar>
          </w:tcPr>
          <w:p>
            <w:pPr>
              <w:keepNext w:val="0"/>
              <w:spacing w:before="0" w:after="0" w:line="269" w:lineRule="auto"/>
              <w:jc w:val="left"/>
            </w:pPr>
            <w:r>
              <w:rPr>
                <w:b w:val="0"/>
                <w:sz w:val="18"/>
              </w:rPr>
              <w:t>仅 u</w:t>
            </w:r>
          </w:p>
        </w:tc>
        <w:tc>
          <w:tcPr>
            <w:tcW w:type="dxa" w:w="2268"/>
            <w:vAlign w:val="center"/>
            <w:shd w:fill="FFFFFF"/>
            <w:tcMar>
              <w:top w:w="75" w:type="dxa"/>
              <w:bottom w:w="75" w:type="dxa"/>
              <w:left w:w="100" w:type="dxa"/>
              <w:right w:w="100" w:type="dxa"/>
            </w:tcMar>
          </w:tcPr>
          <w:p>
            <w:pPr>
              <w:keepNext w:val="0"/>
              <w:spacing w:before="0" w:after="0" w:line="269" w:lineRule="auto"/>
              <w:jc w:val="center"/>
            </w:pPr>
            <w:r>
              <w:rPr>
                <w:b w:val="0"/>
                <w:sz w:val="18"/>
              </w:rPr>
              <w:t>3/7</w:t>
            </w:r>
          </w:p>
        </w:tc>
        <w:tc>
          <w:tcPr>
            <w:tcW w:type="dxa" w:w="2324"/>
            <w:vAlign w:val="center"/>
            <w:shd w:fill="FFFFFF"/>
            <w:tcMar>
              <w:top w:w="75" w:type="dxa"/>
              <w:bottom w:w="75" w:type="dxa"/>
              <w:left w:w="100" w:type="dxa"/>
              <w:right w:w="100" w:type="dxa"/>
            </w:tcMar>
          </w:tcPr>
          <w:p>
            <w:pPr>
              <w:keepNext w:val="0"/>
              <w:spacing w:before="0" w:after="0" w:line="269" w:lineRule="auto"/>
              <w:jc w:val="center"/>
            </w:pPr>
            <w:r>
              <w:rPr>
                <w:b w:val="0"/>
                <w:sz w:val="18"/>
              </w:rPr>
              <w:t>4</w:t>
            </w:r>
          </w:p>
        </w:tc>
        <w:tc>
          <w:tcPr>
            <w:tcW w:type="dxa" w:w="2324"/>
            <w:vAlign w:val="center"/>
            <w:shd w:fill="FFFFFF"/>
            <w:tcMar>
              <w:top w:w="75" w:type="dxa"/>
              <w:bottom w:w="75" w:type="dxa"/>
              <w:left w:w="100" w:type="dxa"/>
              <w:right w:w="100" w:type="dxa"/>
            </w:tcMar>
          </w:tcPr>
          <w:p>
            <w:pPr>
              <w:keepNext w:val="0"/>
              <w:spacing w:before="0" w:after="0" w:line="269" w:lineRule="auto"/>
              <w:jc w:val="center"/>
            </w:pPr>
            <w:r>
              <w:rPr>
                <w:b w:val="0"/>
                <w:sz w:val="18"/>
              </w:rPr>
              <w:t>约 0.3301</w:t>
            </w:r>
          </w:p>
        </w:tc>
      </w:tr>
      <w:tr>
        <w:trPr>
          <w:cantSplit/>
        </w:trPr>
        <w:tc>
          <w:tcPr>
            <w:tcW w:type="dxa" w:w="2494"/>
            <w:vAlign w:val="center"/>
            <w:shd w:fill="F5F7F9"/>
            <w:tcMar>
              <w:top w:w="75" w:type="dxa"/>
              <w:bottom w:w="75" w:type="dxa"/>
              <w:left w:w="100" w:type="dxa"/>
              <w:right w:w="100" w:type="dxa"/>
            </w:tcMar>
          </w:tcPr>
          <w:p>
            <w:pPr>
              <w:keepNext w:val="0"/>
              <w:spacing w:before="0" w:after="0" w:line="269" w:lineRule="auto"/>
              <w:jc w:val="left"/>
            </w:pPr>
            <w:r>
              <w:rPr>
                <w:b w:val="0"/>
                <w:sz w:val="18"/>
              </w:rPr>
              <w:t>全域 u 与 v</w:t>
            </w:r>
          </w:p>
        </w:tc>
        <w:tc>
          <w:tcPr>
            <w:tcW w:type="dxa" w:w="2268"/>
            <w:vAlign w:val="center"/>
            <w:shd w:fill="F5F7F9"/>
            <w:tcMar>
              <w:top w:w="75" w:type="dxa"/>
              <w:bottom w:w="75" w:type="dxa"/>
              <w:left w:w="100" w:type="dxa"/>
              <w:right w:w="100" w:type="dxa"/>
            </w:tcMar>
          </w:tcPr>
          <w:p>
            <w:pPr>
              <w:keepNext w:val="0"/>
              <w:spacing w:before="0" w:after="0" w:line="269" w:lineRule="auto"/>
              <w:jc w:val="center"/>
            </w:pPr>
            <w:r>
              <w:rPr>
                <w:b w:val="0"/>
                <w:sz w:val="18"/>
              </w:rPr>
              <w:t>6/7</w:t>
            </w:r>
          </w:p>
        </w:tc>
        <w:tc>
          <w:tcPr>
            <w:tcW w:type="dxa" w:w="2324"/>
            <w:vAlign w:val="center"/>
            <w:shd w:fill="F5F7F9"/>
            <w:tcMar>
              <w:top w:w="75" w:type="dxa"/>
              <w:bottom w:w="75" w:type="dxa"/>
              <w:left w:w="100" w:type="dxa"/>
              <w:right w:w="100" w:type="dxa"/>
            </w:tcMar>
          </w:tcPr>
          <w:p>
            <w:pPr>
              <w:keepNext w:val="0"/>
              <w:spacing w:before="0" w:after="0" w:line="269" w:lineRule="auto"/>
              <w:jc w:val="center"/>
            </w:pPr>
            <w:r>
              <w:rPr>
                <w:b w:val="0"/>
                <w:sz w:val="18"/>
              </w:rPr>
              <w:t>1</w:t>
            </w:r>
          </w:p>
        </w:tc>
        <w:tc>
          <w:tcPr>
            <w:tcW w:type="dxa" w:w="2324"/>
            <w:vAlign w:val="center"/>
            <w:shd w:fill="F5F7F9"/>
            <w:tcMar>
              <w:top w:w="75" w:type="dxa"/>
              <w:bottom w:w="75" w:type="dxa"/>
              <w:left w:w="100" w:type="dxa"/>
              <w:right w:w="100" w:type="dxa"/>
            </w:tcMar>
          </w:tcPr>
          <w:p>
            <w:pPr>
              <w:keepNext w:val="0"/>
              <w:spacing w:before="0" w:after="0" w:line="269" w:lineRule="auto"/>
              <w:jc w:val="center"/>
            </w:pPr>
            <w:r>
              <w:rPr>
                <w:b w:val="0"/>
                <w:sz w:val="18"/>
              </w:rPr>
              <w:t>约 3.68×10⁻¹⁵</w:t>
            </w:r>
          </w:p>
        </w:tc>
      </w:tr>
    </w:tbl>
    <w:p>
      <w:pPr>
        <w:spacing w:after="20" w:before="0" w:line="240" w:lineRule="auto"/>
      </w:pPr>
      <w:r>
        <w:rPr>
          <w:sz w:val="4"/>
        </w:rPr>
      </w:r>
    </w:p>
    <w:p>
      <w:pPr>
        <w:jc w:val="both"/>
      </w:pPr>
      <w:r>
        <w:rPr>
          <w:b w:val="0"/>
        </w:rPr>
        <w:t>剩余一维对应流函数加常数的规范自由度，不改变速度。对稀疏补充 v 的实验，修正后的均匀方案在每个预算上重新覆盖全域；噪声相对幅度为 0.001，各方案进行 50 次噪声重复。关键预算结果为：</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61"/>
        <w:gridCol w:w="2013"/>
        <w:gridCol w:w="2013"/>
        <w:gridCol w:w="2013"/>
        <w:gridCol w:w="2013"/>
      </w:tblGrid>
      <w:tr>
        <w:trPr>
          <w:cantSplit/>
          <w:tblHeader/>
        </w:trPr>
        <w:tc>
          <w:tcPr>
            <w:tcW w:type="dxa" w:w="1361"/>
            <w:vAlign w:val="center"/>
            <w:shd w:fill="DCE6ED"/>
            <w:tcMar>
              <w:top w:w="75" w:type="dxa"/>
              <w:bottom w:w="75" w:type="dxa"/>
              <w:left w:w="100" w:type="dxa"/>
              <w:right w:w="100" w:type="dxa"/>
            </w:tcMar>
          </w:tcPr>
          <w:p>
            <w:pPr>
              <w:keepNext/>
              <w:spacing w:before="0" w:after="0" w:line="269" w:lineRule="auto"/>
              <w:jc w:val="left"/>
            </w:pPr>
            <w:r>
              <w:rPr>
                <w:b/>
                <w:sz w:val="18"/>
              </w:rPr>
              <w:t>v 观测点数</w:t>
            </w:r>
          </w:p>
        </w:tc>
        <w:tc>
          <w:tcPr>
            <w:tcW w:type="dxa" w:w="2013"/>
            <w:vAlign w:val="center"/>
            <w:shd w:fill="DCE6ED"/>
            <w:tcMar>
              <w:top w:w="75" w:type="dxa"/>
              <w:bottom w:w="75" w:type="dxa"/>
              <w:left w:w="100" w:type="dxa"/>
              <w:right w:w="100" w:type="dxa"/>
            </w:tcMar>
          </w:tcPr>
          <w:p>
            <w:pPr>
              <w:keepNext/>
              <w:spacing w:before="0" w:after="0" w:line="269" w:lineRule="auto"/>
              <w:jc w:val="center"/>
            </w:pPr>
            <w:r>
              <w:rPr>
                <w:b/>
                <w:sz w:val="18"/>
              </w:rPr>
              <w:t>D-optimal 秩</w:t>
            </w:r>
          </w:p>
        </w:tc>
        <w:tc>
          <w:tcPr>
            <w:tcW w:type="dxa" w:w="2013"/>
            <w:vAlign w:val="center"/>
            <w:shd w:fill="DCE6ED"/>
            <w:tcMar>
              <w:top w:w="75" w:type="dxa"/>
              <w:bottom w:w="75" w:type="dxa"/>
              <w:left w:w="100" w:type="dxa"/>
              <w:right w:w="100" w:type="dxa"/>
            </w:tcMar>
          </w:tcPr>
          <w:p>
            <w:pPr>
              <w:keepNext/>
              <w:spacing w:before="0" w:after="0" w:line="269" w:lineRule="auto"/>
              <w:jc w:val="center"/>
            </w:pPr>
            <w:r>
              <w:rPr>
                <w:b/>
                <w:sz w:val="18"/>
              </w:rPr>
              <w:t>均匀秩</w:t>
            </w:r>
          </w:p>
        </w:tc>
        <w:tc>
          <w:tcPr>
            <w:tcW w:type="dxa" w:w="2013"/>
            <w:vAlign w:val="center"/>
            <w:shd w:fill="DCE6ED"/>
            <w:tcMar>
              <w:top w:w="75" w:type="dxa"/>
              <w:bottom w:w="75" w:type="dxa"/>
              <w:left w:w="100" w:type="dxa"/>
              <w:right w:w="100" w:type="dxa"/>
            </w:tcMar>
          </w:tcPr>
          <w:p>
            <w:pPr>
              <w:keepNext/>
              <w:spacing w:before="0" w:after="0" w:line="269" w:lineRule="auto"/>
              <w:jc w:val="center"/>
            </w:pPr>
            <w:r>
              <w:rPr>
                <w:b/>
                <w:sz w:val="18"/>
              </w:rPr>
              <w:t>D-optimal 系数误差均值</w:t>
            </w:r>
          </w:p>
        </w:tc>
        <w:tc>
          <w:tcPr>
            <w:tcW w:type="dxa" w:w="2013"/>
            <w:vAlign w:val="center"/>
            <w:shd w:fill="DCE6ED"/>
            <w:tcMar>
              <w:top w:w="75" w:type="dxa"/>
              <w:bottom w:w="75" w:type="dxa"/>
              <w:left w:w="100" w:type="dxa"/>
              <w:right w:w="100" w:type="dxa"/>
            </w:tcMar>
          </w:tcPr>
          <w:p>
            <w:pPr>
              <w:keepNext/>
              <w:spacing w:before="0" w:after="0" w:line="269" w:lineRule="auto"/>
              <w:jc w:val="center"/>
            </w:pPr>
            <w:r>
              <w:rPr>
                <w:b/>
                <w:sz w:val="18"/>
              </w:rPr>
              <w:t>均匀系数误差均值</w:t>
            </w:r>
          </w:p>
        </w:tc>
      </w:tr>
      <w:tr>
        <w:trPr>
          <w:cantSplit/>
        </w:trPr>
        <w:tc>
          <w:tcPr>
            <w:tcW w:type="dxa" w:w="1361"/>
            <w:vAlign w:val="center"/>
            <w:shd w:fill="FFFFFF"/>
            <w:tcMar>
              <w:top w:w="75" w:type="dxa"/>
              <w:bottom w:w="75" w:type="dxa"/>
              <w:left w:w="100" w:type="dxa"/>
              <w:right w:w="100" w:type="dxa"/>
            </w:tcMar>
          </w:tcPr>
          <w:p>
            <w:pPr>
              <w:keepNext w:val="0"/>
              <w:spacing w:before="0" w:after="0" w:line="269" w:lineRule="auto"/>
              <w:jc w:val="left"/>
            </w:pPr>
            <w:r>
              <w:rPr>
                <w:b w:val="0"/>
                <w:sz w:val="18"/>
              </w:rPr>
              <w:t>3</w:t>
            </w:r>
          </w:p>
        </w:tc>
        <w:tc>
          <w:tcPr>
            <w:tcW w:type="dxa" w:w="2013"/>
            <w:vAlign w:val="center"/>
            <w:shd w:fill="FFFFFF"/>
            <w:tcMar>
              <w:top w:w="75" w:type="dxa"/>
              <w:bottom w:w="75" w:type="dxa"/>
              <w:left w:w="100" w:type="dxa"/>
              <w:right w:w="100" w:type="dxa"/>
            </w:tcMar>
          </w:tcPr>
          <w:p>
            <w:pPr>
              <w:keepNext w:val="0"/>
              <w:spacing w:before="0" w:after="0" w:line="269" w:lineRule="auto"/>
              <w:jc w:val="center"/>
            </w:pPr>
            <w:r>
              <w:rPr>
                <w:b w:val="0"/>
                <w:sz w:val="18"/>
              </w:rPr>
              <w:t>6</w:t>
            </w:r>
          </w:p>
        </w:tc>
        <w:tc>
          <w:tcPr>
            <w:tcW w:type="dxa" w:w="2013"/>
            <w:vAlign w:val="center"/>
            <w:shd w:fill="FFFFFF"/>
            <w:tcMar>
              <w:top w:w="75" w:type="dxa"/>
              <w:bottom w:w="75" w:type="dxa"/>
              <w:left w:w="100" w:type="dxa"/>
              <w:right w:w="100" w:type="dxa"/>
            </w:tcMar>
          </w:tcPr>
          <w:p>
            <w:pPr>
              <w:keepNext w:val="0"/>
              <w:spacing w:before="0" w:after="0" w:line="269" w:lineRule="auto"/>
              <w:jc w:val="center"/>
            </w:pPr>
            <w:r>
              <w:rPr>
                <w:b w:val="0"/>
                <w:sz w:val="18"/>
              </w:rPr>
              <w:t>5</w:t>
            </w:r>
          </w:p>
        </w:tc>
        <w:tc>
          <w:tcPr>
            <w:tcW w:type="dxa" w:w="2013"/>
            <w:vAlign w:val="center"/>
            <w:shd w:fill="FFFFFF"/>
            <w:tcMar>
              <w:top w:w="75" w:type="dxa"/>
              <w:bottom w:w="75" w:type="dxa"/>
              <w:left w:w="100" w:type="dxa"/>
              <w:right w:w="100" w:type="dxa"/>
            </w:tcMar>
          </w:tcPr>
          <w:p>
            <w:pPr>
              <w:keepNext w:val="0"/>
              <w:spacing w:before="0" w:after="0" w:line="269" w:lineRule="auto"/>
              <w:jc w:val="center"/>
            </w:pPr>
            <w:r>
              <w:rPr>
                <w:b w:val="0"/>
                <w:sz w:val="18"/>
              </w:rPr>
              <w:t>0.001136</w:t>
            </w:r>
          </w:p>
        </w:tc>
        <w:tc>
          <w:tcPr>
            <w:tcW w:type="dxa" w:w="2013"/>
            <w:vAlign w:val="center"/>
            <w:shd w:fill="FFFFFF"/>
            <w:tcMar>
              <w:top w:w="75" w:type="dxa"/>
              <w:bottom w:w="75" w:type="dxa"/>
              <w:left w:w="100" w:type="dxa"/>
              <w:right w:w="100" w:type="dxa"/>
            </w:tcMar>
          </w:tcPr>
          <w:p>
            <w:pPr>
              <w:keepNext w:val="0"/>
              <w:spacing w:before="0" w:after="0" w:line="269" w:lineRule="auto"/>
              <w:jc w:val="center"/>
            </w:pPr>
            <w:r>
              <w:rPr>
                <w:b w:val="0"/>
                <w:sz w:val="18"/>
              </w:rPr>
              <w:t>0.265907</w:t>
            </w:r>
          </w:p>
        </w:tc>
      </w:tr>
      <w:tr>
        <w:trPr>
          <w:cantSplit/>
        </w:trPr>
        <w:tc>
          <w:tcPr>
            <w:tcW w:type="dxa" w:w="1361"/>
            <w:vAlign w:val="center"/>
            <w:shd w:fill="F5F7F9"/>
            <w:tcMar>
              <w:top w:w="75" w:type="dxa"/>
              <w:bottom w:w="75" w:type="dxa"/>
              <w:left w:w="100" w:type="dxa"/>
              <w:right w:w="100" w:type="dxa"/>
            </w:tcMar>
          </w:tcPr>
          <w:p>
            <w:pPr>
              <w:keepNext w:val="0"/>
              <w:spacing w:before="0" w:after="0" w:line="269" w:lineRule="auto"/>
              <w:jc w:val="left"/>
            </w:pPr>
            <w:r>
              <w:rPr>
                <w:b w:val="0"/>
                <w:sz w:val="18"/>
              </w:rPr>
              <w:t>8</w:t>
            </w:r>
          </w:p>
        </w:tc>
        <w:tc>
          <w:tcPr>
            <w:tcW w:type="dxa" w:w="2013"/>
            <w:vAlign w:val="center"/>
            <w:shd w:fill="F5F7F9"/>
            <w:tcMar>
              <w:top w:w="75" w:type="dxa"/>
              <w:bottom w:w="75" w:type="dxa"/>
              <w:left w:w="100" w:type="dxa"/>
              <w:right w:w="100" w:type="dxa"/>
            </w:tcMar>
          </w:tcPr>
          <w:p>
            <w:pPr>
              <w:keepNext w:val="0"/>
              <w:spacing w:before="0" w:after="0" w:line="269" w:lineRule="auto"/>
              <w:jc w:val="center"/>
            </w:pPr>
            <w:r>
              <w:rPr>
                <w:b w:val="0"/>
                <w:sz w:val="18"/>
              </w:rPr>
              <w:t>6</w:t>
            </w:r>
          </w:p>
        </w:tc>
        <w:tc>
          <w:tcPr>
            <w:tcW w:type="dxa" w:w="2013"/>
            <w:vAlign w:val="center"/>
            <w:shd w:fill="F5F7F9"/>
            <w:tcMar>
              <w:top w:w="75" w:type="dxa"/>
              <w:bottom w:w="75" w:type="dxa"/>
              <w:left w:w="100" w:type="dxa"/>
              <w:right w:w="100" w:type="dxa"/>
            </w:tcMar>
          </w:tcPr>
          <w:p>
            <w:pPr>
              <w:keepNext w:val="0"/>
              <w:spacing w:before="0" w:after="0" w:line="269" w:lineRule="auto"/>
              <w:jc w:val="center"/>
            </w:pPr>
            <w:r>
              <w:rPr>
                <w:b w:val="0"/>
                <w:sz w:val="18"/>
              </w:rPr>
              <w:t>6</w:t>
            </w:r>
          </w:p>
        </w:tc>
        <w:tc>
          <w:tcPr>
            <w:tcW w:type="dxa" w:w="2013"/>
            <w:vAlign w:val="center"/>
            <w:shd w:fill="F5F7F9"/>
            <w:tcMar>
              <w:top w:w="75" w:type="dxa"/>
              <w:bottom w:w="75" w:type="dxa"/>
              <w:left w:w="100" w:type="dxa"/>
              <w:right w:w="100" w:type="dxa"/>
            </w:tcMar>
          </w:tcPr>
          <w:p>
            <w:pPr>
              <w:keepNext w:val="0"/>
              <w:spacing w:before="0" w:after="0" w:line="269" w:lineRule="auto"/>
              <w:jc w:val="center"/>
            </w:pPr>
            <w:r>
              <w:rPr>
                <w:b w:val="0"/>
                <w:sz w:val="18"/>
              </w:rPr>
              <w:t>0.000630</w:t>
            </w:r>
          </w:p>
        </w:tc>
        <w:tc>
          <w:tcPr>
            <w:tcW w:type="dxa" w:w="2013"/>
            <w:vAlign w:val="center"/>
            <w:shd w:fill="F5F7F9"/>
            <w:tcMar>
              <w:top w:w="75" w:type="dxa"/>
              <w:bottom w:w="75" w:type="dxa"/>
              <w:left w:w="100" w:type="dxa"/>
              <w:right w:w="100" w:type="dxa"/>
            </w:tcMar>
          </w:tcPr>
          <w:p>
            <w:pPr>
              <w:keepNext w:val="0"/>
              <w:spacing w:before="0" w:after="0" w:line="269" w:lineRule="auto"/>
              <w:jc w:val="center"/>
            </w:pPr>
            <w:r>
              <w:rPr>
                <w:b w:val="0"/>
                <w:sz w:val="18"/>
              </w:rPr>
              <w:t>0.000663</w:t>
            </w:r>
          </w:p>
        </w:tc>
      </w:tr>
    </w:tbl>
    <w:p>
      <w:pPr>
        <w:spacing w:after="20" w:before="0" w:line="240" w:lineRule="auto"/>
      </w:pPr>
      <w:r>
        <w:rPr>
          <w:sz w:val="4"/>
        </w:rPr>
      </w:r>
    </w:p>
    <w:p>
      <w:pPr>
        <w:keepNext/>
        <w:spacing w:before="80" w:after="60"/>
        <w:jc w:val="center"/>
      </w:pPr>
      <w:r>
        <w:drawing>
          <wp:inline xmlns:a="http://schemas.openxmlformats.org/drawingml/2006/main" xmlns:pic="http://schemas.openxmlformats.org/drawingml/2006/picture">
            <wp:extent cx="5976000" cy="2450450"/>
            <wp:docPr id="2" name="Picture 2" descr="图2 修正均匀采样后的稀疏互补观测结果"/>
            <wp:cNvGraphicFramePr>
              <a:graphicFrameLocks noChangeAspect="1"/>
            </wp:cNvGraphicFramePr>
            <a:graphic>
              <a:graphicData uri="http://schemas.openxmlformats.org/drawingml/2006/picture">
                <pic:pic>
                  <pic:nvPicPr>
                    <pic:cNvPr id="0" name="fig2_p1_budget.png"/>
                    <pic:cNvPicPr/>
                  </pic:nvPicPr>
                  <pic:blipFill>
                    <a:blip r:embed="rId11"/>
                    <a:stretch>
                      <a:fillRect/>
                    </a:stretch>
                  </pic:blipFill>
                  <pic:spPr>
                    <a:xfrm>
                      <a:off x="0" y="0"/>
                      <a:ext cx="5976000" cy="2450450"/>
                    </a:xfrm>
                    <a:prstGeom prst="rect"/>
                  </pic:spPr>
                </pic:pic>
              </a:graphicData>
            </a:graphic>
          </wp:inline>
        </w:drawing>
      </w:r>
    </w:p>
    <w:p>
      <w:pPr>
        <w:pStyle w:val="Caption"/>
        <w:jc w:val="center"/>
      </w:pPr>
      <w:r>
        <w:t>图2 修正均匀采样后的稀疏互补观测结果</w:t>
      </w:r>
    </w:p>
    <w:p>
      <w:pPr>
        <w:jc w:val="both"/>
      </w:pPr>
      <w:r>
        <w:rPr>
          <w:b w:val="0"/>
        </w:rPr>
        <w:t>三点时，均匀位置 ξ=−1、0、1 仍使指定字典中的部分列相关，D-optimal 可选择非退化位置。八点时二者都满秩，均值差约 3.27×10⁻⁵，小于该比较的均值差标准误约 6.97×10⁻⁵；当前实验不支持该预算下的显著优势。</w:t>
      </w:r>
    </w:p>
    <w:p>
      <w:pPr>
        <w:jc w:val="both"/>
      </w:pPr>
      <w:r>
        <w:rPr>
          <w:b w:val="0"/>
        </w:rPr>
        <w:t>因此，P1 支持“互补观测可消除指定字典的不可观测方向，极小预算下位置选择很关键”。它尚未证明未知符号结构下的一般主动学习优势。若一次 CFD 已经输出全场 u/​v，事后只取少数 v 点属于缺测学习实验，不能自动折算为节省同等比例的仿真成本。</w:t>
      </w:r>
    </w:p>
    <w:p>
      <w:pPr>
        <w:pStyle w:val="Heading1"/>
      </w:pPr>
      <w:r>
        <w:t>7 P2 函数值与解析导数联合学习</w:t>
      </w:r>
    </w:p>
    <w:p>
      <w:pPr>
        <w:pStyle w:val="Heading2"/>
      </w:pPr>
      <w:r>
        <w:t>7 1 可控任务及历史结果</w:t>
      </w:r>
    </w:p>
    <w:p>
      <w:pPr>
        <w:jc w:val="both"/>
      </w:pPr>
      <w:r>
        <w:rPr>
          <w:b w:val="0"/>
        </w:rPr>
        <w:t>P2 使用解析目标 f(x,y)=sin(x)cos(y)+0.05sin(6x)，其中低幅高频项在函数值中不突出，在导数中却更重要。一般地，小扰动 εsin(kx) 的值幅度为 ε，导数幅度为 εk，直接解释了低值误差为何不能保证低导数误差。[E9]</w:t>
      </w:r>
    </w:p>
    <w:p>
      <w:pPr>
        <w:jc w:val="both"/>
      </w:pPr>
      <w:r>
        <w:rPr>
          <w:b w:val="0"/>
        </w:rPr>
        <w:t>实验通过 Julia 表达式树的解析导数，把函数值与梯度监督纳入 PySR 搜索。历史两次搜索使用 512 个训练点、35 次迭代、12 个种群、每群 40 个候选、最大复杂度 25。旧评价得到梯度 MSE 从 2.878×10⁻³ 降至 9.098×10⁻⁴，约改善 68.4%，同时值 MSE 增加约 14.3%。但原选式与评价复用了同一网格，两次搜索又使用不同随机种子，该百分比不能作为独立测试中的稳定算法增益。</w:t>
      </w:r>
    </w:p>
    <w:p>
      <w:pPr>
        <w:pStyle w:val="Heading2"/>
      </w:pPr>
      <w:r>
        <w:t>7 2 新增点复核分离了候选来源与选式准则</w:t>
      </w:r>
    </w:p>
    <w:p>
      <w:pPr>
        <w:jc w:val="both"/>
      </w:pPr>
      <w:r>
        <w:rPr>
          <w:b w:val="0"/>
        </w:rPr>
        <w:t>2026 年 9 月 8 日固定历史候选，使用 20 组新增验证点，每组 512 点，冻结选择后再评价另一随机种子的 50000 个测试点。比较结果如下：[E1]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2268"/>
        <w:gridCol w:w="2324"/>
        <w:gridCol w:w="2324"/>
      </w:tblGrid>
      <w:tr>
        <w:trPr>
          <w:cantSplit/>
          <w:tblHeader/>
        </w:trPr>
        <w:tc>
          <w:tcPr>
            <w:tcW w:type="dxa" w:w="2494"/>
            <w:vAlign w:val="center"/>
            <w:shd w:fill="DCE6ED"/>
            <w:tcMar>
              <w:top w:w="75" w:type="dxa"/>
              <w:bottom w:w="75" w:type="dxa"/>
              <w:left w:w="100" w:type="dxa"/>
              <w:right w:w="100" w:type="dxa"/>
            </w:tcMar>
          </w:tcPr>
          <w:p>
            <w:pPr>
              <w:keepNext/>
              <w:spacing w:before="0" w:after="0" w:line="269" w:lineRule="auto"/>
              <w:jc w:val="left"/>
            </w:pPr>
            <w:r>
              <w:rPr>
                <w:b/>
                <w:sz w:val="18"/>
              </w:rPr>
              <w:t>历史候选来源</w:t>
            </w:r>
          </w:p>
        </w:tc>
        <w:tc>
          <w:tcPr>
            <w:tcW w:type="dxa" w:w="2268"/>
            <w:vAlign w:val="center"/>
            <w:shd w:fill="DCE6ED"/>
            <w:tcMar>
              <w:top w:w="75" w:type="dxa"/>
              <w:bottom w:w="75" w:type="dxa"/>
              <w:left w:w="100" w:type="dxa"/>
              <w:right w:w="100" w:type="dxa"/>
            </w:tcMar>
          </w:tcPr>
          <w:p>
            <w:pPr>
              <w:keepNext/>
              <w:spacing w:before="0" w:after="0" w:line="269" w:lineRule="auto"/>
              <w:jc w:val="center"/>
            </w:pPr>
            <w:r>
              <w:rPr>
                <w:b/>
                <w:sz w:val="18"/>
              </w:rPr>
              <w:t>验证选式准则</w:t>
            </w:r>
          </w:p>
        </w:tc>
        <w:tc>
          <w:tcPr>
            <w:tcW w:type="dxa" w:w="2324"/>
            <w:vAlign w:val="center"/>
            <w:shd w:fill="DCE6ED"/>
            <w:tcMar>
              <w:top w:w="75" w:type="dxa"/>
              <w:bottom w:w="75" w:type="dxa"/>
              <w:left w:w="100" w:type="dxa"/>
              <w:right w:w="100" w:type="dxa"/>
            </w:tcMar>
          </w:tcPr>
          <w:p>
            <w:pPr>
              <w:keepNext/>
              <w:spacing w:before="0" w:after="0" w:line="269" w:lineRule="auto"/>
              <w:jc w:val="center"/>
            </w:pPr>
            <w:r>
              <w:rPr>
                <w:b/>
                <w:sz w:val="18"/>
              </w:rPr>
              <w:t>测试值 MSE 均值</w:t>
            </w:r>
          </w:p>
        </w:tc>
        <w:tc>
          <w:tcPr>
            <w:tcW w:type="dxa" w:w="2324"/>
            <w:vAlign w:val="center"/>
            <w:shd w:fill="DCE6ED"/>
            <w:tcMar>
              <w:top w:w="75" w:type="dxa"/>
              <w:bottom w:w="75" w:type="dxa"/>
              <w:left w:w="100" w:type="dxa"/>
              <w:right w:w="100" w:type="dxa"/>
            </w:tcMar>
          </w:tcPr>
          <w:p>
            <w:pPr>
              <w:keepNext/>
              <w:spacing w:before="0" w:after="0" w:line="269" w:lineRule="auto"/>
              <w:jc w:val="center"/>
            </w:pPr>
            <w:r>
              <w:rPr>
                <w:b/>
                <w:sz w:val="18"/>
              </w:rPr>
              <w:t>测试梯度 MSE 均值</w:t>
            </w:r>
          </w:p>
        </w:tc>
      </w:tr>
      <w:tr>
        <w:trPr>
          <w:cantSplit/>
        </w:trPr>
        <w:tc>
          <w:tcPr>
            <w:tcW w:type="dxa" w:w="2494"/>
            <w:vAlign w:val="center"/>
            <w:shd w:fill="FFFFFF"/>
            <w:tcMar>
              <w:top w:w="75" w:type="dxa"/>
              <w:bottom w:w="75" w:type="dxa"/>
              <w:left w:w="100" w:type="dxa"/>
              <w:right w:w="100" w:type="dxa"/>
            </w:tcMar>
          </w:tcPr>
          <w:p>
            <w:pPr>
              <w:keepNext w:val="0"/>
              <w:spacing w:before="0" w:after="0" w:line="269" w:lineRule="auto"/>
              <w:jc w:val="left"/>
            </w:pPr>
            <w:r>
              <w:rPr>
                <w:b w:val="0"/>
                <w:sz w:val="18"/>
              </w:rPr>
              <w:t>值损失</w:t>
            </w:r>
          </w:p>
        </w:tc>
        <w:tc>
          <w:tcPr>
            <w:tcW w:type="dxa" w:w="2268"/>
            <w:vAlign w:val="center"/>
            <w:shd w:fill="FFFFFF"/>
            <w:tcMar>
              <w:top w:w="75" w:type="dxa"/>
              <w:bottom w:w="75" w:type="dxa"/>
              <w:left w:w="100" w:type="dxa"/>
              <w:right w:w="100" w:type="dxa"/>
            </w:tcMar>
          </w:tcPr>
          <w:p>
            <w:pPr>
              <w:keepNext w:val="0"/>
              <w:spacing w:before="0" w:after="0" w:line="269" w:lineRule="auto"/>
              <w:jc w:val="center"/>
            </w:pPr>
            <w:r>
              <w:rPr>
                <w:b w:val="0"/>
                <w:sz w:val="18"/>
              </w:rPr>
              <w:t>值 MSE</w:t>
            </w:r>
          </w:p>
        </w:tc>
        <w:tc>
          <w:tcPr>
            <w:tcW w:type="dxa" w:w="2324"/>
            <w:vAlign w:val="center"/>
            <w:shd w:fill="FFFFFF"/>
            <w:tcMar>
              <w:top w:w="75" w:type="dxa"/>
              <w:bottom w:w="75" w:type="dxa"/>
              <w:left w:w="100" w:type="dxa"/>
              <w:right w:w="100" w:type="dxa"/>
            </w:tcMar>
          </w:tcPr>
          <w:p>
            <w:pPr>
              <w:keepNext w:val="0"/>
              <w:spacing w:before="0" w:after="0" w:line="269" w:lineRule="auto"/>
              <w:jc w:val="center"/>
            </w:pPr>
            <w:r>
              <w:rPr>
                <w:b w:val="0"/>
                <w:sz w:val="18"/>
              </w:rPr>
              <w:t>4.733×10⁻⁵</w:t>
            </w:r>
          </w:p>
        </w:tc>
        <w:tc>
          <w:tcPr>
            <w:tcW w:type="dxa" w:w="2324"/>
            <w:vAlign w:val="center"/>
            <w:shd w:fill="FFFFFF"/>
            <w:tcMar>
              <w:top w:w="75" w:type="dxa"/>
              <w:bottom w:w="75" w:type="dxa"/>
              <w:left w:w="100" w:type="dxa"/>
              <w:right w:w="100" w:type="dxa"/>
            </w:tcMar>
          </w:tcPr>
          <w:p>
            <w:pPr>
              <w:keepNext w:val="0"/>
              <w:spacing w:before="0" w:after="0" w:line="269" w:lineRule="auto"/>
              <w:jc w:val="center"/>
            </w:pPr>
            <w:r>
              <w:rPr>
                <w:b w:val="0"/>
                <w:sz w:val="18"/>
              </w:rPr>
              <w:t>2.597×10⁻³</w:t>
            </w:r>
          </w:p>
        </w:tc>
      </w:tr>
      <w:tr>
        <w:trPr>
          <w:cantSplit/>
        </w:trPr>
        <w:tc>
          <w:tcPr>
            <w:tcW w:type="dxa" w:w="2494"/>
            <w:vAlign w:val="center"/>
            <w:shd w:fill="F5F7F9"/>
            <w:tcMar>
              <w:top w:w="75" w:type="dxa"/>
              <w:bottom w:w="75" w:type="dxa"/>
              <w:left w:w="100" w:type="dxa"/>
              <w:right w:w="100" w:type="dxa"/>
            </w:tcMar>
          </w:tcPr>
          <w:p>
            <w:pPr>
              <w:keepNext w:val="0"/>
              <w:spacing w:before="0" w:after="0" w:line="269" w:lineRule="auto"/>
              <w:jc w:val="left"/>
            </w:pPr>
            <w:r>
              <w:rPr>
                <w:b w:val="0"/>
                <w:sz w:val="18"/>
              </w:rPr>
              <w:t>值损失</w:t>
            </w:r>
          </w:p>
        </w:tc>
        <w:tc>
          <w:tcPr>
            <w:tcW w:type="dxa" w:w="2268"/>
            <w:vAlign w:val="center"/>
            <w:shd w:fill="F5F7F9"/>
            <w:tcMar>
              <w:top w:w="75" w:type="dxa"/>
              <w:bottom w:w="75" w:type="dxa"/>
              <w:left w:w="100" w:type="dxa"/>
              <w:right w:w="100" w:type="dxa"/>
            </w:tcMar>
          </w:tcPr>
          <w:p>
            <w:pPr>
              <w:keepNext w:val="0"/>
              <w:spacing w:before="0" w:after="0" w:line="269" w:lineRule="auto"/>
              <w:jc w:val="center"/>
            </w:pPr>
            <w:r>
              <w:rPr>
                <w:b w:val="0"/>
                <w:sz w:val="18"/>
              </w:rPr>
              <w:t>H1</w:t>
            </w:r>
          </w:p>
        </w:tc>
        <w:tc>
          <w:tcPr>
            <w:tcW w:type="dxa" w:w="2324"/>
            <w:vAlign w:val="center"/>
            <w:shd w:fill="F5F7F9"/>
            <w:tcMar>
              <w:top w:w="75" w:type="dxa"/>
              <w:bottom w:w="75" w:type="dxa"/>
              <w:left w:w="100" w:type="dxa"/>
              <w:right w:w="100" w:type="dxa"/>
            </w:tcMar>
          </w:tcPr>
          <w:p>
            <w:pPr>
              <w:keepNext w:val="0"/>
              <w:spacing w:before="0" w:after="0" w:line="269" w:lineRule="auto"/>
              <w:jc w:val="center"/>
            </w:pPr>
            <w:r>
              <w:rPr>
                <w:b w:val="0"/>
                <w:sz w:val="18"/>
              </w:rPr>
              <w:t>4.729×10⁻⁵</w:t>
            </w:r>
          </w:p>
        </w:tc>
        <w:tc>
          <w:tcPr>
            <w:tcW w:type="dxa" w:w="2324"/>
            <w:vAlign w:val="center"/>
            <w:shd w:fill="F5F7F9"/>
            <w:tcMar>
              <w:top w:w="75" w:type="dxa"/>
              <w:bottom w:w="75" w:type="dxa"/>
              <w:left w:w="100" w:type="dxa"/>
              <w:right w:w="100" w:type="dxa"/>
            </w:tcMar>
          </w:tcPr>
          <w:p>
            <w:pPr>
              <w:keepNext w:val="0"/>
              <w:spacing w:before="0" w:after="0" w:line="269" w:lineRule="auto"/>
              <w:jc w:val="center"/>
            </w:pPr>
            <w:r>
              <w:rPr>
                <w:b w:val="0"/>
                <w:sz w:val="18"/>
              </w:rPr>
              <w:t>2.589×10⁻³</w:t>
            </w:r>
          </w:p>
        </w:tc>
      </w:tr>
      <w:tr>
        <w:trPr>
          <w:cantSplit/>
        </w:trPr>
        <w:tc>
          <w:tcPr>
            <w:tcW w:type="dxa" w:w="2494"/>
            <w:vAlign w:val="center"/>
            <w:shd w:fill="FFFFFF"/>
            <w:tcMar>
              <w:top w:w="75" w:type="dxa"/>
              <w:bottom w:w="75" w:type="dxa"/>
              <w:left w:w="100" w:type="dxa"/>
              <w:right w:w="100" w:type="dxa"/>
            </w:tcMar>
          </w:tcPr>
          <w:p>
            <w:pPr>
              <w:keepNext w:val="0"/>
              <w:spacing w:before="0" w:after="0" w:line="269" w:lineRule="auto"/>
              <w:jc w:val="left"/>
            </w:pPr>
            <w:r>
              <w:rPr>
                <w:b w:val="0"/>
                <w:sz w:val="18"/>
              </w:rPr>
              <w:t>解析导数损失</w:t>
            </w:r>
          </w:p>
        </w:tc>
        <w:tc>
          <w:tcPr>
            <w:tcW w:type="dxa" w:w="2268"/>
            <w:vAlign w:val="center"/>
            <w:shd w:fill="FFFFFF"/>
            <w:tcMar>
              <w:top w:w="75" w:type="dxa"/>
              <w:bottom w:w="75" w:type="dxa"/>
              <w:left w:w="100" w:type="dxa"/>
              <w:right w:w="100" w:type="dxa"/>
            </w:tcMar>
          </w:tcPr>
          <w:p>
            <w:pPr>
              <w:keepNext w:val="0"/>
              <w:spacing w:before="0" w:after="0" w:line="269" w:lineRule="auto"/>
              <w:jc w:val="center"/>
            </w:pPr>
            <w:r>
              <w:rPr>
                <w:b w:val="0"/>
                <w:sz w:val="18"/>
              </w:rPr>
              <w:t>值 MSE</w:t>
            </w:r>
          </w:p>
        </w:tc>
        <w:tc>
          <w:tcPr>
            <w:tcW w:type="dxa" w:w="2324"/>
            <w:vAlign w:val="center"/>
            <w:shd w:fill="FFFFFF"/>
            <w:tcMar>
              <w:top w:w="75" w:type="dxa"/>
              <w:bottom w:w="75" w:type="dxa"/>
              <w:left w:w="100" w:type="dxa"/>
              <w:right w:w="100" w:type="dxa"/>
            </w:tcMar>
          </w:tcPr>
          <w:p>
            <w:pPr>
              <w:keepNext w:val="0"/>
              <w:spacing w:before="0" w:after="0" w:line="269" w:lineRule="auto"/>
              <w:jc w:val="center"/>
            </w:pPr>
            <w:r>
              <w:rPr>
                <w:b w:val="0"/>
                <w:sz w:val="18"/>
              </w:rPr>
              <w:t>5.042×10⁻⁵</w:t>
            </w:r>
          </w:p>
        </w:tc>
        <w:tc>
          <w:tcPr>
            <w:tcW w:type="dxa" w:w="2324"/>
            <w:vAlign w:val="center"/>
            <w:shd w:fill="FFFFFF"/>
            <w:tcMar>
              <w:top w:w="75" w:type="dxa"/>
              <w:bottom w:w="75" w:type="dxa"/>
              <w:left w:w="100" w:type="dxa"/>
              <w:right w:w="100" w:type="dxa"/>
            </w:tcMar>
          </w:tcPr>
          <w:p>
            <w:pPr>
              <w:keepNext w:val="0"/>
              <w:spacing w:before="0" w:after="0" w:line="269" w:lineRule="auto"/>
              <w:jc w:val="center"/>
            </w:pPr>
            <w:r>
              <w:rPr>
                <w:b w:val="0"/>
                <w:sz w:val="18"/>
              </w:rPr>
              <w:t>8.765×10⁻⁴</w:t>
            </w:r>
          </w:p>
        </w:tc>
      </w:tr>
      <w:tr>
        <w:trPr>
          <w:cantSplit/>
        </w:trPr>
        <w:tc>
          <w:tcPr>
            <w:tcW w:type="dxa" w:w="2494"/>
            <w:vAlign w:val="center"/>
            <w:shd w:fill="F5F7F9"/>
            <w:tcMar>
              <w:top w:w="75" w:type="dxa"/>
              <w:bottom w:w="75" w:type="dxa"/>
              <w:left w:w="100" w:type="dxa"/>
              <w:right w:w="100" w:type="dxa"/>
            </w:tcMar>
          </w:tcPr>
          <w:p>
            <w:pPr>
              <w:keepNext w:val="0"/>
              <w:spacing w:before="0" w:after="0" w:line="269" w:lineRule="auto"/>
              <w:jc w:val="left"/>
            </w:pPr>
            <w:r>
              <w:rPr>
                <w:b w:val="0"/>
                <w:sz w:val="18"/>
              </w:rPr>
              <w:t>解析导数损失</w:t>
            </w:r>
          </w:p>
        </w:tc>
        <w:tc>
          <w:tcPr>
            <w:tcW w:type="dxa" w:w="2268"/>
            <w:vAlign w:val="center"/>
            <w:shd w:fill="F5F7F9"/>
            <w:tcMar>
              <w:top w:w="75" w:type="dxa"/>
              <w:bottom w:w="75" w:type="dxa"/>
              <w:left w:w="100" w:type="dxa"/>
              <w:right w:w="100" w:type="dxa"/>
            </w:tcMar>
          </w:tcPr>
          <w:p>
            <w:pPr>
              <w:keepNext w:val="0"/>
              <w:spacing w:before="0" w:after="0" w:line="269" w:lineRule="auto"/>
              <w:jc w:val="center"/>
            </w:pPr>
            <w:r>
              <w:rPr>
                <w:b w:val="0"/>
                <w:sz w:val="18"/>
              </w:rPr>
              <w:t>H1</w:t>
            </w:r>
          </w:p>
        </w:tc>
        <w:tc>
          <w:tcPr>
            <w:tcW w:type="dxa" w:w="2324"/>
            <w:vAlign w:val="center"/>
            <w:shd w:fill="F5F7F9"/>
            <w:tcMar>
              <w:top w:w="75" w:type="dxa"/>
              <w:bottom w:w="75" w:type="dxa"/>
              <w:left w:w="100" w:type="dxa"/>
              <w:right w:w="100" w:type="dxa"/>
            </w:tcMar>
          </w:tcPr>
          <w:p>
            <w:pPr>
              <w:keepNext w:val="0"/>
              <w:spacing w:before="0" w:after="0" w:line="269" w:lineRule="auto"/>
              <w:jc w:val="center"/>
            </w:pPr>
            <w:r>
              <w:rPr>
                <w:b w:val="0"/>
                <w:sz w:val="18"/>
              </w:rPr>
              <w:t>5.449×10⁻⁵</w:t>
            </w:r>
          </w:p>
        </w:tc>
        <w:tc>
          <w:tcPr>
            <w:tcW w:type="dxa" w:w="2324"/>
            <w:vAlign w:val="center"/>
            <w:shd w:fill="F5F7F9"/>
            <w:tcMar>
              <w:top w:w="75" w:type="dxa"/>
              <w:bottom w:w="75" w:type="dxa"/>
              <w:left w:w="100" w:type="dxa"/>
              <w:right w:w="100" w:type="dxa"/>
            </w:tcMar>
          </w:tcPr>
          <w:p>
            <w:pPr>
              <w:keepNext w:val="0"/>
              <w:spacing w:before="0" w:after="0" w:line="269" w:lineRule="auto"/>
              <w:jc w:val="center"/>
            </w:pPr>
            <w:r>
              <w:rPr>
                <w:b w:val="0"/>
                <w:sz w:val="18"/>
              </w:rPr>
              <w:t>8.786×10⁻⁴</w:t>
            </w:r>
          </w:p>
        </w:tc>
      </w:tr>
    </w:tbl>
    <w:p>
      <w:pPr>
        <w:spacing w:after="20" w:before="0" w:line="240" w:lineRule="auto"/>
      </w:pPr>
      <w:r>
        <w:rPr>
          <w:sz w:val="4"/>
        </w:rPr>
      </w:r>
    </w:p>
    <w:p>
      <w:pPr>
        <w:keepNext/>
        <w:spacing w:before="80" w:after="60"/>
        <w:jc w:val="center"/>
      </w:pPr>
      <w:r>
        <w:drawing>
          <wp:inline xmlns:a="http://schemas.openxmlformats.org/drawingml/2006/main" xmlns:pic="http://schemas.openxmlformats.org/drawingml/2006/picture">
            <wp:extent cx="5976000" cy="2450450"/>
            <wp:docPr id="3" name="Picture 3" descr="图3 P2 历史候选来源与选式准则的交叉复核"/>
            <wp:cNvGraphicFramePr>
              <a:graphicFrameLocks noChangeAspect="1"/>
            </wp:cNvGraphicFramePr>
            <a:graphic>
              <a:graphicData uri="http://schemas.openxmlformats.org/drawingml/2006/picture">
                <pic:pic>
                  <pic:nvPicPr>
                    <pic:cNvPr id="0" name="fig3_p2_factorial.png"/>
                    <pic:cNvPicPr/>
                  </pic:nvPicPr>
                  <pic:blipFill>
                    <a:blip r:embed="rId12"/>
                    <a:stretch>
                      <a:fillRect/>
                    </a:stretch>
                  </pic:blipFill>
                  <pic:spPr>
                    <a:xfrm>
                      <a:off x="0" y="0"/>
                      <a:ext cx="5976000" cy="2450450"/>
                    </a:xfrm>
                    <a:prstGeom prst="rect"/>
                  </pic:spPr>
                </pic:pic>
              </a:graphicData>
            </a:graphic>
          </wp:inline>
        </w:drawing>
      </w:r>
    </w:p>
    <w:p>
      <w:pPr>
        <w:pStyle w:val="Caption"/>
        <w:jc w:val="center"/>
      </w:pPr>
      <w:r>
        <w:t>图3 P2 历史候选来源与选式准则的交叉复核</w:t>
      </w:r>
    </w:p>
    <w:p>
      <w:pPr>
        <w:jc w:val="both"/>
      </w:pPr>
      <w:r>
        <w:rPr>
          <w:b w:val="0"/>
        </w:rPr>
        <w:t>最后一行相对第一行的梯度 MSE 降低 66.17%，值 MSE 增加 15.14%。候选之间的差异在新增点上仍然存在。但同一值损失候选集内，H1 选式仅使梯度 MSE 降低约 0.30%；同一导数损失候选集内，反而增加约 0.23%。因此，主要差异来自两批候选，不能把约 68% 的改善全部归因于导数感知选式。</w:t>
      </w:r>
    </w:p>
    <w:p>
      <w:pPr>
        <w:jc w:val="both"/>
      </w:pPr>
      <w:r>
        <w:rPr>
          <w:b w:val="0"/>
        </w:rPr>
        <w:t>20 次重复是验证选式重复，不是 20 次独立搜索。下一阶段仍需配对搜索种子，分离训练损失、符号搜索和最终选择的贡献。对于主流函数任务，速度已经是 ψ 的一阶导数，速度梯度涉及 ψ 的二阶导数，现有 P2 成果不能替代这一更高阶训练任务的验证。</w:t>
      </w:r>
    </w:p>
    <w:p>
      <w:pPr>
        <w:pStyle w:val="Heading1"/>
      </w:pPr>
      <w:r>
        <w:t>8 A0 内在响应的局部特征重建</w:t>
      </w:r>
    </w:p>
    <w:p>
      <w:pPr>
        <w:pStyle w:val="Heading2"/>
      </w:pPr>
      <w:r>
        <w:t>8 1 局部字典与留截面实验</w:t>
      </w:r>
    </w:p>
    <w:p>
      <w:pPr>
        <w:jc w:val="both"/>
      </w:pPr>
      <w:r>
        <w:rPr>
          <w:b w:val="0"/>
        </w:rPr>
        <w:t>A0 使用基准 u/​v、一二阶空间导数、ξ/η 和参数相关坐标生成元，共 16 个原始特征，二次展开为 152 项，另处理截距。纯 NumPy 岭回归固定 α=10⁻⁶；每折完整留出一个 ξ 截面的 M 标签，标准化仅用训练折统计量。原始数值在 9 月 8 日重跑中可复现，最大误差差异约 3.1×10⁻¹⁴。[E1、E12]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61"/>
        <w:gridCol w:w="2013"/>
        <w:gridCol w:w="2013"/>
        <w:gridCol w:w="2013"/>
        <w:gridCol w:w="2013"/>
      </w:tblGrid>
      <w:tr>
        <w:trPr>
          <w:cantSplit/>
          <w:tblHeader/>
        </w:trPr>
        <w:tc>
          <w:tcPr>
            <w:tcW w:type="dxa" w:w="1361"/>
            <w:vAlign w:val="center"/>
            <w:shd w:fill="DCE6ED"/>
            <w:tcMar>
              <w:top w:w="75" w:type="dxa"/>
              <w:bottom w:w="75" w:type="dxa"/>
              <w:left w:w="100" w:type="dxa"/>
              <w:right w:w="100" w:type="dxa"/>
            </w:tcMar>
          </w:tcPr>
          <w:p>
            <w:pPr>
              <w:keepNext/>
              <w:spacing w:before="0" w:after="0" w:line="269" w:lineRule="auto"/>
              <w:jc w:val="left"/>
            </w:pPr>
            <w:r>
              <w:rPr>
                <w:b/>
                <w:sz w:val="18"/>
              </w:rPr>
              <w:t>目标</w:t>
            </w:r>
          </w:p>
        </w:tc>
        <w:tc>
          <w:tcPr>
            <w:tcW w:type="dxa" w:w="2013"/>
            <w:vAlign w:val="center"/>
            <w:shd w:fill="DCE6ED"/>
            <w:tcMar>
              <w:top w:w="75" w:type="dxa"/>
              <w:bottom w:w="75" w:type="dxa"/>
              <w:left w:w="100" w:type="dxa"/>
              <w:right w:w="100" w:type="dxa"/>
            </w:tcMar>
          </w:tcPr>
          <w:p>
            <w:pPr>
              <w:keepNext/>
              <w:spacing w:before="0" w:after="0" w:line="269" w:lineRule="auto"/>
              <w:jc w:val="center"/>
            </w:pPr>
            <w:r>
              <w:rPr>
                <w:b/>
                <w:sz w:val="18"/>
              </w:rPr>
              <w:t>留单片岭回归</w:t>
            </w:r>
          </w:p>
        </w:tc>
        <w:tc>
          <w:tcPr>
            <w:tcW w:type="dxa" w:w="2013"/>
            <w:vAlign w:val="center"/>
            <w:shd w:fill="DCE6ED"/>
            <w:tcMar>
              <w:top w:w="75" w:type="dxa"/>
              <w:bottom w:w="75" w:type="dxa"/>
              <w:left w:w="100" w:type="dxa"/>
              <w:right w:w="100" w:type="dxa"/>
            </w:tcMar>
          </w:tcPr>
          <w:p>
            <w:pPr>
              <w:keepNext/>
              <w:spacing w:before="0" w:after="0" w:line="269" w:lineRule="auto"/>
              <w:jc w:val="center"/>
            </w:pPr>
            <w:r>
              <w:rPr>
                <w:b/>
                <w:sz w:val="18"/>
              </w:rPr>
              <w:t>留单片标签线性插值</w:t>
            </w:r>
          </w:p>
        </w:tc>
        <w:tc>
          <w:tcPr>
            <w:tcW w:type="dxa" w:w="2013"/>
            <w:vAlign w:val="center"/>
            <w:shd w:fill="DCE6ED"/>
            <w:tcMar>
              <w:top w:w="75" w:type="dxa"/>
              <w:bottom w:w="75" w:type="dxa"/>
              <w:left w:w="100" w:type="dxa"/>
              <w:right w:w="100" w:type="dxa"/>
            </w:tcMar>
          </w:tcPr>
          <w:p>
            <w:pPr>
              <w:keepNext/>
              <w:spacing w:before="0" w:after="0" w:line="269" w:lineRule="auto"/>
              <w:jc w:val="center"/>
            </w:pPr>
            <w:r>
              <w:rPr>
                <w:b/>
                <w:sz w:val="18"/>
              </w:rPr>
              <w:t>连续五块岭回归</w:t>
            </w:r>
          </w:p>
        </w:tc>
        <w:tc>
          <w:tcPr>
            <w:tcW w:type="dxa" w:w="2013"/>
            <w:vAlign w:val="center"/>
            <w:shd w:fill="DCE6ED"/>
            <w:tcMar>
              <w:top w:w="75" w:type="dxa"/>
              <w:bottom w:w="75" w:type="dxa"/>
              <w:left w:w="100" w:type="dxa"/>
              <w:right w:w="100" w:type="dxa"/>
            </w:tcMar>
          </w:tcPr>
          <w:p>
            <w:pPr>
              <w:keepNext/>
              <w:spacing w:before="0" w:after="0" w:line="269" w:lineRule="auto"/>
              <w:jc w:val="center"/>
            </w:pPr>
            <w:r>
              <w:rPr>
                <w:b/>
                <w:sz w:val="18"/>
              </w:rPr>
              <w:t>五块加两侧缓冲岭回归</w:t>
            </w:r>
          </w:p>
        </w:tc>
      </w:tr>
      <w:tr>
        <w:trPr>
          <w:cantSplit/>
        </w:trPr>
        <w:tc>
          <w:tcPr>
            <w:tcW w:type="dxa" w:w="1361"/>
            <w:vAlign w:val="center"/>
            <w:shd w:fill="FFFFFF"/>
            <w:tcMar>
              <w:top w:w="75" w:type="dxa"/>
              <w:bottom w:w="75" w:type="dxa"/>
              <w:left w:w="100" w:type="dxa"/>
              <w:right w:w="100" w:type="dxa"/>
            </w:tcMar>
          </w:tcPr>
          <w:p>
            <w:pPr>
              <w:keepNext w:val="0"/>
              <w:spacing w:before="0" w:after="0" w:line="269" w:lineRule="auto"/>
              <w:jc w:val="left"/>
            </w:pPr>
            <w:r>
              <w:rPr>
                <w:b w:val="0"/>
                <w:sz w:val="18"/>
              </w:rPr>
              <w:t>R/u</w:t>
            </w:r>
          </w:p>
        </w:tc>
        <w:tc>
          <w:tcPr>
            <w:tcW w:type="dxa" w:w="2013"/>
            <w:vAlign w:val="center"/>
            <w:shd w:fill="FFFFFF"/>
            <w:tcMar>
              <w:top w:w="75" w:type="dxa"/>
              <w:bottom w:w="75" w:type="dxa"/>
              <w:left w:w="100" w:type="dxa"/>
              <w:right w:w="100" w:type="dxa"/>
            </w:tcMar>
          </w:tcPr>
          <w:p>
            <w:pPr>
              <w:keepNext w:val="0"/>
              <w:spacing w:before="0" w:after="0" w:line="269" w:lineRule="auto"/>
              <w:jc w:val="center"/>
            </w:pPr>
            <w:r>
              <w:rPr>
                <w:b w:val="0"/>
                <w:sz w:val="18"/>
              </w:rPr>
              <w:t>5.15%</w:t>
            </w:r>
          </w:p>
        </w:tc>
        <w:tc>
          <w:tcPr>
            <w:tcW w:type="dxa" w:w="2013"/>
            <w:vAlign w:val="center"/>
            <w:shd w:fill="FFFFFF"/>
            <w:tcMar>
              <w:top w:w="75" w:type="dxa"/>
              <w:bottom w:w="75" w:type="dxa"/>
              <w:left w:w="100" w:type="dxa"/>
              <w:right w:w="100" w:type="dxa"/>
            </w:tcMar>
          </w:tcPr>
          <w:p>
            <w:pPr>
              <w:keepNext w:val="0"/>
              <w:spacing w:before="0" w:after="0" w:line="269" w:lineRule="auto"/>
              <w:jc w:val="center"/>
            </w:pPr>
            <w:r>
              <w:rPr>
                <w:b w:val="0"/>
                <w:sz w:val="18"/>
              </w:rPr>
              <w:t>4.83%</w:t>
            </w:r>
          </w:p>
        </w:tc>
        <w:tc>
          <w:tcPr>
            <w:tcW w:type="dxa" w:w="2013"/>
            <w:vAlign w:val="center"/>
            <w:shd w:fill="FFFFFF"/>
            <w:tcMar>
              <w:top w:w="75" w:type="dxa"/>
              <w:bottom w:w="75" w:type="dxa"/>
              <w:left w:w="100" w:type="dxa"/>
              <w:right w:w="100" w:type="dxa"/>
            </w:tcMar>
          </w:tcPr>
          <w:p>
            <w:pPr>
              <w:keepNext w:val="0"/>
              <w:spacing w:before="0" w:after="0" w:line="269" w:lineRule="auto"/>
              <w:jc w:val="center"/>
            </w:pPr>
            <w:r>
              <w:rPr>
                <w:b w:val="0"/>
                <w:sz w:val="18"/>
              </w:rPr>
              <w:t>8.94%</w:t>
            </w:r>
          </w:p>
        </w:tc>
        <w:tc>
          <w:tcPr>
            <w:tcW w:type="dxa" w:w="2013"/>
            <w:vAlign w:val="center"/>
            <w:shd w:fill="FFFFFF"/>
            <w:tcMar>
              <w:top w:w="75" w:type="dxa"/>
              <w:bottom w:w="75" w:type="dxa"/>
              <w:left w:w="100" w:type="dxa"/>
              <w:right w:w="100" w:type="dxa"/>
            </w:tcMar>
          </w:tcPr>
          <w:p>
            <w:pPr>
              <w:keepNext w:val="0"/>
              <w:spacing w:before="0" w:after="0" w:line="269" w:lineRule="auto"/>
              <w:jc w:val="center"/>
            </w:pPr>
            <w:r>
              <w:rPr>
                <w:b w:val="0"/>
                <w:sz w:val="18"/>
              </w:rPr>
              <w:t>11.35%</w:t>
            </w:r>
          </w:p>
        </w:tc>
      </w:tr>
      <w:tr>
        <w:trPr>
          <w:cantSplit/>
        </w:trPr>
        <w:tc>
          <w:tcPr>
            <w:tcW w:type="dxa" w:w="1361"/>
            <w:vAlign w:val="center"/>
            <w:shd w:fill="F5F7F9"/>
            <w:tcMar>
              <w:top w:w="75" w:type="dxa"/>
              <w:bottom w:w="75" w:type="dxa"/>
              <w:left w:w="100" w:type="dxa"/>
              <w:right w:w="100" w:type="dxa"/>
            </w:tcMar>
          </w:tcPr>
          <w:p>
            <w:pPr>
              <w:keepNext w:val="0"/>
              <w:spacing w:before="0" w:after="0" w:line="269" w:lineRule="auto"/>
              <w:jc w:val="left"/>
            </w:pPr>
            <w:r>
              <w:rPr>
                <w:b w:val="0"/>
                <w:sz w:val="18"/>
              </w:rPr>
              <w:t>R/v</w:t>
            </w:r>
          </w:p>
        </w:tc>
        <w:tc>
          <w:tcPr>
            <w:tcW w:type="dxa" w:w="2013"/>
            <w:vAlign w:val="center"/>
            <w:shd w:fill="F5F7F9"/>
            <w:tcMar>
              <w:top w:w="75" w:type="dxa"/>
              <w:bottom w:w="75" w:type="dxa"/>
              <w:left w:w="100" w:type="dxa"/>
              <w:right w:w="100" w:type="dxa"/>
            </w:tcMar>
          </w:tcPr>
          <w:p>
            <w:pPr>
              <w:keepNext w:val="0"/>
              <w:spacing w:before="0" w:after="0" w:line="269" w:lineRule="auto"/>
              <w:jc w:val="center"/>
            </w:pPr>
            <w:r>
              <w:rPr>
                <w:b w:val="0"/>
                <w:sz w:val="18"/>
              </w:rPr>
              <w:t>8.49%</w:t>
            </w:r>
          </w:p>
        </w:tc>
        <w:tc>
          <w:tcPr>
            <w:tcW w:type="dxa" w:w="2013"/>
            <w:vAlign w:val="center"/>
            <w:shd w:fill="F5F7F9"/>
            <w:tcMar>
              <w:top w:w="75" w:type="dxa"/>
              <w:bottom w:w="75" w:type="dxa"/>
              <w:left w:w="100" w:type="dxa"/>
              <w:right w:w="100" w:type="dxa"/>
            </w:tcMar>
          </w:tcPr>
          <w:p>
            <w:pPr>
              <w:keepNext w:val="0"/>
              <w:spacing w:before="0" w:after="0" w:line="269" w:lineRule="auto"/>
              <w:jc w:val="center"/>
            </w:pPr>
            <w:r>
              <w:rPr>
                <w:b w:val="0"/>
                <w:sz w:val="18"/>
              </w:rPr>
              <w:t>5.95%</w:t>
            </w:r>
          </w:p>
        </w:tc>
        <w:tc>
          <w:tcPr>
            <w:tcW w:type="dxa" w:w="2013"/>
            <w:vAlign w:val="center"/>
            <w:shd w:fill="F5F7F9"/>
            <w:tcMar>
              <w:top w:w="75" w:type="dxa"/>
              <w:bottom w:w="75" w:type="dxa"/>
              <w:left w:w="100" w:type="dxa"/>
              <w:right w:w="100" w:type="dxa"/>
            </w:tcMar>
          </w:tcPr>
          <w:p>
            <w:pPr>
              <w:keepNext w:val="0"/>
              <w:spacing w:before="0" w:after="0" w:line="269" w:lineRule="auto"/>
              <w:jc w:val="center"/>
            </w:pPr>
            <w:r>
              <w:rPr>
                <w:b w:val="0"/>
                <w:sz w:val="18"/>
              </w:rPr>
              <w:t>16.08%</w:t>
            </w:r>
          </w:p>
        </w:tc>
        <w:tc>
          <w:tcPr>
            <w:tcW w:type="dxa" w:w="2013"/>
            <w:vAlign w:val="center"/>
            <w:shd w:fill="F5F7F9"/>
            <w:tcMar>
              <w:top w:w="75" w:type="dxa"/>
              <w:bottom w:w="75" w:type="dxa"/>
              <w:left w:w="100" w:type="dxa"/>
              <w:right w:w="100" w:type="dxa"/>
            </w:tcMar>
          </w:tcPr>
          <w:p>
            <w:pPr>
              <w:keepNext w:val="0"/>
              <w:spacing w:before="0" w:after="0" w:line="269" w:lineRule="auto"/>
              <w:jc w:val="center"/>
            </w:pPr>
            <w:r>
              <w:rPr>
                <w:b w:val="0"/>
                <w:sz w:val="18"/>
              </w:rPr>
              <w:t>22.05%</w:t>
            </w:r>
          </w:p>
        </w:tc>
      </w:tr>
      <w:tr>
        <w:trPr>
          <w:cantSplit/>
        </w:trPr>
        <w:tc>
          <w:tcPr>
            <w:tcW w:type="dxa" w:w="1361"/>
            <w:vAlign w:val="center"/>
            <w:shd w:fill="FFFFFF"/>
            <w:tcMar>
              <w:top w:w="75" w:type="dxa"/>
              <w:bottom w:w="75" w:type="dxa"/>
              <w:left w:w="100" w:type="dxa"/>
              <w:right w:w="100" w:type="dxa"/>
            </w:tcMar>
          </w:tcPr>
          <w:p>
            <w:pPr>
              <w:keepNext w:val="0"/>
              <w:spacing w:before="0" w:after="0" w:line="269" w:lineRule="auto"/>
              <w:jc w:val="left"/>
            </w:pPr>
            <w:r>
              <w:rPr>
                <w:b w:val="0"/>
                <w:sz w:val="18"/>
              </w:rPr>
              <w:t>cx/u</w:t>
            </w:r>
          </w:p>
        </w:tc>
        <w:tc>
          <w:tcPr>
            <w:tcW w:type="dxa" w:w="2013"/>
            <w:vAlign w:val="center"/>
            <w:shd w:fill="FFFFFF"/>
            <w:tcMar>
              <w:top w:w="75" w:type="dxa"/>
              <w:bottom w:w="75" w:type="dxa"/>
              <w:left w:w="100" w:type="dxa"/>
              <w:right w:w="100" w:type="dxa"/>
            </w:tcMar>
          </w:tcPr>
          <w:p>
            <w:pPr>
              <w:keepNext w:val="0"/>
              <w:spacing w:before="0" w:after="0" w:line="269" w:lineRule="auto"/>
              <w:jc w:val="center"/>
            </w:pPr>
            <w:r>
              <w:rPr>
                <w:b w:val="0"/>
                <w:sz w:val="18"/>
              </w:rPr>
              <w:t>55.66%</w:t>
            </w:r>
          </w:p>
        </w:tc>
        <w:tc>
          <w:tcPr>
            <w:tcW w:type="dxa" w:w="2013"/>
            <w:vAlign w:val="center"/>
            <w:shd w:fill="FFFFFF"/>
            <w:tcMar>
              <w:top w:w="75" w:type="dxa"/>
              <w:bottom w:w="75" w:type="dxa"/>
              <w:left w:w="100" w:type="dxa"/>
              <w:right w:w="100" w:type="dxa"/>
            </w:tcMar>
          </w:tcPr>
          <w:p>
            <w:pPr>
              <w:keepNext w:val="0"/>
              <w:spacing w:before="0" w:after="0" w:line="269" w:lineRule="auto"/>
              <w:jc w:val="center"/>
            </w:pPr>
            <w:r>
              <w:rPr>
                <w:b w:val="0"/>
                <w:sz w:val="18"/>
              </w:rPr>
              <w:t>46.71%</w:t>
            </w:r>
          </w:p>
        </w:tc>
        <w:tc>
          <w:tcPr>
            <w:tcW w:type="dxa" w:w="2013"/>
            <w:vAlign w:val="center"/>
            <w:shd w:fill="FFFFFF"/>
            <w:tcMar>
              <w:top w:w="75" w:type="dxa"/>
              <w:bottom w:w="75" w:type="dxa"/>
              <w:left w:w="100" w:type="dxa"/>
              <w:right w:w="100" w:type="dxa"/>
            </w:tcMar>
          </w:tcPr>
          <w:p>
            <w:pPr>
              <w:keepNext w:val="0"/>
              <w:spacing w:before="0" w:after="0" w:line="269" w:lineRule="auto"/>
              <w:jc w:val="center"/>
            </w:pPr>
            <w:r>
              <w:rPr>
                <w:b w:val="0"/>
                <w:sz w:val="18"/>
              </w:rPr>
              <w:t>77.19%</w:t>
            </w:r>
          </w:p>
        </w:tc>
        <w:tc>
          <w:tcPr>
            <w:tcW w:type="dxa" w:w="2013"/>
            <w:vAlign w:val="center"/>
            <w:shd w:fill="FFFFFF"/>
            <w:tcMar>
              <w:top w:w="75" w:type="dxa"/>
              <w:bottom w:w="75" w:type="dxa"/>
              <w:left w:w="100" w:type="dxa"/>
              <w:right w:w="100" w:type="dxa"/>
            </w:tcMar>
          </w:tcPr>
          <w:p>
            <w:pPr>
              <w:keepNext w:val="0"/>
              <w:spacing w:before="0" w:after="0" w:line="269" w:lineRule="auto"/>
              <w:jc w:val="center"/>
            </w:pPr>
            <w:r>
              <w:rPr>
                <w:b w:val="0"/>
                <w:sz w:val="18"/>
              </w:rPr>
              <w:t>89.93%</w:t>
            </w:r>
          </w:p>
        </w:tc>
      </w:tr>
      <w:tr>
        <w:trPr>
          <w:cantSplit/>
        </w:trPr>
        <w:tc>
          <w:tcPr>
            <w:tcW w:type="dxa" w:w="1361"/>
            <w:vAlign w:val="center"/>
            <w:shd w:fill="F5F7F9"/>
            <w:tcMar>
              <w:top w:w="75" w:type="dxa"/>
              <w:bottom w:w="75" w:type="dxa"/>
              <w:left w:w="100" w:type="dxa"/>
              <w:right w:w="100" w:type="dxa"/>
            </w:tcMar>
          </w:tcPr>
          <w:p>
            <w:pPr>
              <w:keepNext w:val="0"/>
              <w:spacing w:before="0" w:after="0" w:line="269" w:lineRule="auto"/>
              <w:jc w:val="left"/>
            </w:pPr>
            <w:r>
              <w:rPr>
                <w:b w:val="0"/>
                <w:sz w:val="18"/>
              </w:rPr>
              <w:t>cx/v</w:t>
            </w:r>
          </w:p>
        </w:tc>
        <w:tc>
          <w:tcPr>
            <w:tcW w:type="dxa" w:w="2013"/>
            <w:vAlign w:val="center"/>
            <w:shd w:fill="F5F7F9"/>
            <w:tcMar>
              <w:top w:w="75" w:type="dxa"/>
              <w:bottom w:w="75" w:type="dxa"/>
              <w:left w:w="100" w:type="dxa"/>
              <w:right w:w="100" w:type="dxa"/>
            </w:tcMar>
          </w:tcPr>
          <w:p>
            <w:pPr>
              <w:keepNext w:val="0"/>
              <w:spacing w:before="0" w:after="0" w:line="269" w:lineRule="auto"/>
              <w:jc w:val="center"/>
            </w:pPr>
            <w:r>
              <w:rPr>
                <w:b w:val="0"/>
                <w:sz w:val="18"/>
              </w:rPr>
              <w:t>31.45%</w:t>
            </w:r>
          </w:p>
        </w:tc>
        <w:tc>
          <w:tcPr>
            <w:tcW w:type="dxa" w:w="2013"/>
            <w:vAlign w:val="center"/>
            <w:shd w:fill="F5F7F9"/>
            <w:tcMar>
              <w:top w:w="75" w:type="dxa"/>
              <w:bottom w:w="75" w:type="dxa"/>
              <w:left w:w="100" w:type="dxa"/>
              <w:right w:w="100" w:type="dxa"/>
            </w:tcMar>
          </w:tcPr>
          <w:p>
            <w:pPr>
              <w:keepNext w:val="0"/>
              <w:spacing w:before="0" w:after="0" w:line="269" w:lineRule="auto"/>
              <w:jc w:val="center"/>
            </w:pPr>
            <w:r>
              <w:rPr>
                <w:b w:val="0"/>
                <w:sz w:val="18"/>
              </w:rPr>
              <w:t>23.40%</w:t>
            </w:r>
          </w:p>
        </w:tc>
        <w:tc>
          <w:tcPr>
            <w:tcW w:type="dxa" w:w="2013"/>
            <w:vAlign w:val="center"/>
            <w:shd w:fill="F5F7F9"/>
            <w:tcMar>
              <w:top w:w="75" w:type="dxa"/>
              <w:bottom w:w="75" w:type="dxa"/>
              <w:left w:w="100" w:type="dxa"/>
              <w:right w:w="100" w:type="dxa"/>
            </w:tcMar>
          </w:tcPr>
          <w:p>
            <w:pPr>
              <w:keepNext w:val="0"/>
              <w:spacing w:before="0" w:after="0" w:line="269" w:lineRule="auto"/>
              <w:jc w:val="center"/>
            </w:pPr>
            <w:r>
              <w:rPr>
                <w:b w:val="0"/>
                <w:sz w:val="18"/>
              </w:rPr>
              <w:t>50.99%</w:t>
            </w:r>
          </w:p>
        </w:tc>
        <w:tc>
          <w:tcPr>
            <w:tcW w:type="dxa" w:w="2013"/>
            <w:vAlign w:val="center"/>
            <w:shd w:fill="F5F7F9"/>
            <w:tcMar>
              <w:top w:w="75" w:type="dxa"/>
              <w:bottom w:w="75" w:type="dxa"/>
              <w:left w:w="100" w:type="dxa"/>
              <w:right w:w="100" w:type="dxa"/>
            </w:tcMar>
          </w:tcPr>
          <w:p>
            <w:pPr>
              <w:keepNext w:val="0"/>
              <w:spacing w:before="0" w:after="0" w:line="269" w:lineRule="auto"/>
              <w:jc w:val="center"/>
            </w:pPr>
            <w:r>
              <w:rPr>
                <w:b w:val="0"/>
                <w:sz w:val="18"/>
              </w:rPr>
              <w:t>58.35%</w:t>
            </w:r>
          </w:p>
        </w:tc>
      </w:tr>
      <w:tr>
        <w:trPr>
          <w:cantSplit/>
        </w:trPr>
        <w:tc>
          <w:tcPr>
            <w:tcW w:type="dxa" w:w="1361"/>
            <w:vAlign w:val="center"/>
            <w:shd w:fill="FFFFFF"/>
            <w:tcMar>
              <w:top w:w="75" w:type="dxa"/>
              <w:bottom w:w="75" w:type="dxa"/>
              <w:left w:w="100" w:type="dxa"/>
              <w:right w:w="100" w:type="dxa"/>
            </w:tcMar>
          </w:tcPr>
          <w:p>
            <w:pPr>
              <w:keepNext w:val="0"/>
              <w:spacing w:before="0" w:after="0" w:line="269" w:lineRule="auto"/>
              <w:jc w:val="left"/>
            </w:pPr>
            <w:r>
              <w:rPr>
                <w:b w:val="0"/>
                <w:sz w:val="18"/>
              </w:rPr>
              <w:t>cy/u</w:t>
            </w:r>
          </w:p>
        </w:tc>
        <w:tc>
          <w:tcPr>
            <w:tcW w:type="dxa" w:w="2013"/>
            <w:vAlign w:val="center"/>
            <w:shd w:fill="FFFFFF"/>
            <w:tcMar>
              <w:top w:w="75" w:type="dxa"/>
              <w:bottom w:w="75" w:type="dxa"/>
              <w:left w:w="100" w:type="dxa"/>
              <w:right w:w="100" w:type="dxa"/>
            </w:tcMar>
          </w:tcPr>
          <w:p>
            <w:pPr>
              <w:keepNext w:val="0"/>
              <w:spacing w:before="0" w:after="0" w:line="269" w:lineRule="auto"/>
              <w:jc w:val="center"/>
            </w:pPr>
            <w:r>
              <w:rPr>
                <w:b w:val="0"/>
                <w:sz w:val="18"/>
              </w:rPr>
              <w:t>6.00%</w:t>
            </w:r>
          </w:p>
        </w:tc>
        <w:tc>
          <w:tcPr>
            <w:tcW w:type="dxa" w:w="2013"/>
            <w:vAlign w:val="center"/>
            <w:shd w:fill="FFFFFF"/>
            <w:tcMar>
              <w:top w:w="75" w:type="dxa"/>
              <w:bottom w:w="75" w:type="dxa"/>
              <w:left w:w="100" w:type="dxa"/>
              <w:right w:w="100" w:type="dxa"/>
            </w:tcMar>
          </w:tcPr>
          <w:p>
            <w:pPr>
              <w:keepNext w:val="0"/>
              <w:spacing w:before="0" w:after="0" w:line="269" w:lineRule="auto"/>
              <w:jc w:val="center"/>
            </w:pPr>
            <w:r>
              <w:rPr>
                <w:b w:val="0"/>
                <w:sz w:val="18"/>
              </w:rPr>
              <w:t>5.26%</w:t>
            </w:r>
          </w:p>
        </w:tc>
        <w:tc>
          <w:tcPr>
            <w:tcW w:type="dxa" w:w="2013"/>
            <w:vAlign w:val="center"/>
            <w:shd w:fill="FFFFFF"/>
            <w:tcMar>
              <w:top w:w="75" w:type="dxa"/>
              <w:bottom w:w="75" w:type="dxa"/>
              <w:left w:w="100" w:type="dxa"/>
              <w:right w:w="100" w:type="dxa"/>
            </w:tcMar>
          </w:tcPr>
          <w:p>
            <w:pPr>
              <w:keepNext w:val="0"/>
              <w:spacing w:before="0" w:after="0" w:line="269" w:lineRule="auto"/>
              <w:jc w:val="center"/>
            </w:pPr>
            <w:r>
              <w:rPr>
                <w:b w:val="0"/>
                <w:sz w:val="18"/>
              </w:rPr>
              <w:t>10.64%</w:t>
            </w:r>
          </w:p>
        </w:tc>
        <w:tc>
          <w:tcPr>
            <w:tcW w:type="dxa" w:w="2013"/>
            <w:vAlign w:val="center"/>
            <w:shd w:fill="FFFFFF"/>
            <w:tcMar>
              <w:top w:w="75" w:type="dxa"/>
              <w:bottom w:w="75" w:type="dxa"/>
              <w:left w:w="100" w:type="dxa"/>
              <w:right w:w="100" w:type="dxa"/>
            </w:tcMar>
          </w:tcPr>
          <w:p>
            <w:pPr>
              <w:keepNext w:val="0"/>
              <w:spacing w:before="0" w:after="0" w:line="269" w:lineRule="auto"/>
              <w:jc w:val="center"/>
            </w:pPr>
            <w:r>
              <w:rPr>
                <w:b w:val="0"/>
                <w:sz w:val="18"/>
              </w:rPr>
              <w:t>12.39%</w:t>
            </w:r>
          </w:p>
        </w:tc>
      </w:tr>
      <w:tr>
        <w:trPr>
          <w:cantSplit/>
        </w:trPr>
        <w:tc>
          <w:tcPr>
            <w:tcW w:type="dxa" w:w="1361"/>
            <w:vAlign w:val="center"/>
            <w:shd w:fill="F5F7F9"/>
            <w:tcMar>
              <w:top w:w="75" w:type="dxa"/>
              <w:bottom w:w="75" w:type="dxa"/>
              <w:left w:w="100" w:type="dxa"/>
              <w:right w:w="100" w:type="dxa"/>
            </w:tcMar>
          </w:tcPr>
          <w:p>
            <w:pPr>
              <w:keepNext w:val="0"/>
              <w:spacing w:before="0" w:after="0" w:line="269" w:lineRule="auto"/>
              <w:jc w:val="left"/>
            </w:pPr>
            <w:r>
              <w:rPr>
                <w:b w:val="0"/>
                <w:sz w:val="18"/>
              </w:rPr>
              <w:t>cy/v</w:t>
            </w:r>
          </w:p>
        </w:tc>
        <w:tc>
          <w:tcPr>
            <w:tcW w:type="dxa" w:w="2013"/>
            <w:vAlign w:val="center"/>
            <w:shd w:fill="F5F7F9"/>
            <w:tcMar>
              <w:top w:w="75" w:type="dxa"/>
              <w:bottom w:w="75" w:type="dxa"/>
              <w:left w:w="100" w:type="dxa"/>
              <w:right w:w="100" w:type="dxa"/>
            </w:tcMar>
          </w:tcPr>
          <w:p>
            <w:pPr>
              <w:keepNext w:val="0"/>
              <w:spacing w:before="0" w:after="0" w:line="269" w:lineRule="auto"/>
              <w:jc w:val="center"/>
            </w:pPr>
            <w:r>
              <w:rPr>
                <w:b w:val="0"/>
                <w:sz w:val="18"/>
              </w:rPr>
              <w:t>17.72%</w:t>
            </w:r>
          </w:p>
        </w:tc>
        <w:tc>
          <w:tcPr>
            <w:tcW w:type="dxa" w:w="2013"/>
            <w:vAlign w:val="center"/>
            <w:shd w:fill="F5F7F9"/>
            <w:tcMar>
              <w:top w:w="75" w:type="dxa"/>
              <w:bottom w:w="75" w:type="dxa"/>
              <w:left w:w="100" w:type="dxa"/>
              <w:right w:w="100" w:type="dxa"/>
            </w:tcMar>
          </w:tcPr>
          <w:p>
            <w:pPr>
              <w:keepNext w:val="0"/>
              <w:spacing w:before="0" w:after="0" w:line="269" w:lineRule="auto"/>
              <w:jc w:val="center"/>
            </w:pPr>
            <w:r>
              <w:rPr>
                <w:b w:val="0"/>
                <w:sz w:val="18"/>
              </w:rPr>
              <w:t>12.29%</w:t>
            </w:r>
          </w:p>
        </w:tc>
        <w:tc>
          <w:tcPr>
            <w:tcW w:type="dxa" w:w="2013"/>
            <w:vAlign w:val="center"/>
            <w:shd w:fill="F5F7F9"/>
            <w:tcMar>
              <w:top w:w="75" w:type="dxa"/>
              <w:bottom w:w="75" w:type="dxa"/>
              <w:left w:w="100" w:type="dxa"/>
              <w:right w:w="100" w:type="dxa"/>
            </w:tcMar>
          </w:tcPr>
          <w:p>
            <w:pPr>
              <w:keepNext w:val="0"/>
              <w:spacing w:before="0" w:after="0" w:line="269" w:lineRule="auto"/>
              <w:jc w:val="center"/>
            </w:pPr>
            <w:r>
              <w:rPr>
                <w:b w:val="0"/>
                <w:sz w:val="18"/>
              </w:rPr>
              <w:t>25.61%</w:t>
            </w:r>
          </w:p>
        </w:tc>
        <w:tc>
          <w:tcPr>
            <w:tcW w:type="dxa" w:w="2013"/>
            <w:vAlign w:val="center"/>
            <w:shd w:fill="F5F7F9"/>
            <w:tcMar>
              <w:top w:w="75" w:type="dxa"/>
              <w:bottom w:w="75" w:type="dxa"/>
              <w:left w:w="100" w:type="dxa"/>
              <w:right w:w="100" w:type="dxa"/>
            </w:tcMar>
          </w:tcPr>
          <w:p>
            <w:pPr>
              <w:keepNext w:val="0"/>
              <w:spacing w:before="0" w:after="0" w:line="269" w:lineRule="auto"/>
              <w:jc w:val="center"/>
            </w:pPr>
            <w:r>
              <w:rPr>
                <w:b w:val="0"/>
                <w:sz w:val="18"/>
              </w:rPr>
              <w:t>28.74%</w:t>
            </w:r>
          </w:p>
        </w:tc>
      </w:tr>
    </w:tbl>
    <w:p>
      <w:pPr>
        <w:spacing w:after="20" w:before="0" w:line="240" w:lineRule="auto"/>
      </w:pPr>
      <w:r>
        <w:rPr>
          <w:sz w:val="4"/>
        </w:rPr>
      </w:r>
    </w:p>
    <w:p>
      <w:pPr>
        <w:jc w:val="both"/>
      </w:pPr>
      <w:r>
        <w:rPr>
          <w:b w:val="0"/>
        </w:rPr>
        <w:t>所有值为对应目标的 pooled 相对 L2。五块加缓冲协议在每个测试块两侧各排除两个训练截面，降低邻近空间标签直接插值的影响。</w:t>
      </w:r>
    </w:p>
    <w:p>
      <w:pPr>
        <w:keepNext/>
        <w:spacing w:before="80" w:after="60"/>
        <w:jc w:val="center"/>
      </w:pPr>
      <w:r>
        <w:drawing>
          <wp:inline xmlns:a="http://schemas.openxmlformats.org/drawingml/2006/main" xmlns:pic="http://schemas.openxmlformats.org/drawingml/2006/picture">
            <wp:extent cx="5976000" cy="2518249"/>
            <wp:docPr id="4" name="Picture 4" descr="图4 A0 的误差随空间留出范围扩大而变化"/>
            <wp:cNvGraphicFramePr>
              <a:graphicFrameLocks noChangeAspect="1"/>
            </wp:cNvGraphicFramePr>
            <a:graphic>
              <a:graphicData uri="http://schemas.openxmlformats.org/drawingml/2006/picture">
                <pic:pic>
                  <pic:nvPicPr>
                    <pic:cNvPr id="0" name="fig4_a0_spatial.png"/>
                    <pic:cNvPicPr/>
                  </pic:nvPicPr>
                  <pic:blipFill>
                    <a:blip r:embed="rId13"/>
                    <a:stretch>
                      <a:fillRect/>
                    </a:stretch>
                  </pic:blipFill>
                  <pic:spPr>
                    <a:xfrm>
                      <a:off x="0" y="0"/>
                      <a:ext cx="5976000" cy="2518249"/>
                    </a:xfrm>
                    <a:prstGeom prst="rect"/>
                  </pic:spPr>
                </pic:pic>
              </a:graphicData>
            </a:graphic>
          </wp:inline>
        </w:drawing>
      </w:r>
    </w:p>
    <w:p>
      <w:pPr>
        <w:pStyle w:val="Caption"/>
        <w:jc w:val="center"/>
      </w:pPr>
      <w:r>
        <w:t>图4 A0 的误差随空间留出范围扩大而变化</w:t>
      </w:r>
    </w:p>
    <w:p>
      <w:pPr>
        <w:pStyle w:val="Heading2"/>
      </w:pPr>
      <w:r>
        <w:t>8 2 正面结果与推广边界</w:t>
      </w:r>
    </w:p>
    <w:p>
      <w:pPr>
        <w:jc w:val="both"/>
      </w:pPr>
      <w:r>
        <w:rPr>
          <w:b w:val="0"/>
        </w:rPr>
        <w:t>原留单片中 R 两分量低于 10%，cy 两分量低于 20%，说明当前同算例场中存在可利用的空间规律；但仅用训练片 M 标签作线性插值，六项均优于原岭回归。原成绩本身因此不足以证明模型学到了超出空间平滑性的可泛化关系。</w:t>
      </w:r>
    </w:p>
    <w:p>
      <w:pPr>
        <w:jc w:val="both"/>
      </w:pPr>
      <w:r>
        <w:rPr>
          <w:b w:val="0"/>
        </w:rPr>
        <w:t>宽块留出仍体现局部特征的价值。例如带缓冲 R/​u 岭回归为 11.35%，标签线性插值为 24.30%。全域指标包含两端外推；只看中间 19 片，带缓冲 R/​u 和 R/​v 为 4.81%、8.86%，而 cx/​u 和 cx/​v 仍为 50.75%、41.38%。因此应分别讨论内部插值、边界外推及不同参数方向，不能用单个总体百分数覆盖所有情况。</w:t>
      </w:r>
    </w:p>
    <w:p>
      <w:pPr>
        <w:pStyle w:val="Heading2"/>
      </w:pPr>
      <w:r>
        <w:t>8 3 消融与失败含义</w:t>
      </w:r>
    </w:p>
    <w:p>
      <w:pPr>
        <w:jc w:val="both"/>
      </w:pPr>
      <w:r>
        <w:rPr>
          <w:b w:val="0"/>
        </w:rPr>
        <w:t>去掉 forcing 后，R/​u、R/​v 的原留单片误差为 5.82%、9.87%；cx/​cy 基本不变。仅坐标字典的最差目标为 80.76%，完整局部字典为 55.66%。岭系数扫描也未使 cx 达到原定 20% 门槛，诊断最优约为 cx/​u 54.14%、cx/​v 30.98%。这些结果支持继续检查表示、数据和任务设定，而不支持只凭增加搜索时间就承诺成功。[E12、E13]</w:t>
      </w:r>
    </w:p>
    <w:p>
      <w:pPr>
        <w:jc w:val="both"/>
      </w:pPr>
      <w:r>
        <w:rPr>
          <w:b w:val="0"/>
        </w:rPr>
        <w:t>cx/​cy 的 forcing 是已有导数的常数倍；R forcing 已在原始特征二次组合的跨度内，再做二次展开则引入更高阶组合。其收益不能解释为新增独立物理观测。A0 失败只说明当前字典、标签与验证设置不充分，尚未证明“必须采用某种切线方法”，也未识别全局历史耦合为唯一原因。</w:t>
      </w:r>
    </w:p>
    <w:p>
      <w:pPr>
        <w:pStyle w:val="Heading1"/>
      </w:pPr>
      <w:r>
        <w:t>9 原始时序与响应标签可靠性</w:t>
      </w:r>
    </w:p>
    <w:p>
      <w:pPr>
        <w:pStyle w:val="Heading2"/>
      </w:pPr>
      <w:r>
        <w:t>9 1 固定时窗的截断影响</w:t>
      </w:r>
    </w:p>
    <w:p>
      <w:pPr>
        <w:jc w:val="both"/>
      </w:pPr>
      <w:r>
        <w:rPr>
          <w:b w:val="0"/>
        </w:rPr>
        <w:t>原始时序审计发现，改变平均窗口会显著改变 M，尤其是 R/​v 与 cx/​v。下表分母统一为旧 4–8 s 标签的范数，数值表示协议变化幅度，不是置信区间或已知真值误差。[E3]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2268"/>
        <w:gridCol w:w="2324"/>
        <w:gridCol w:w="2324"/>
      </w:tblGrid>
      <w:tr>
        <w:trPr>
          <w:cantSplit/>
          <w:tblHeader/>
        </w:trPr>
        <w:tc>
          <w:tcPr>
            <w:tcW w:type="dxa" w:w="2494"/>
            <w:vAlign w:val="center"/>
            <w:shd w:fill="DCE6ED"/>
            <w:tcMar>
              <w:top w:w="75" w:type="dxa"/>
              <w:bottom w:w="75" w:type="dxa"/>
              <w:left w:w="100" w:type="dxa"/>
              <w:right w:w="100" w:type="dxa"/>
            </w:tcMar>
          </w:tcPr>
          <w:p>
            <w:pPr>
              <w:keepNext/>
              <w:spacing w:before="0" w:after="0" w:line="269" w:lineRule="auto"/>
              <w:jc w:val="left"/>
            </w:pPr>
            <w:r>
              <w:rPr>
                <w:b/>
                <w:sz w:val="18"/>
              </w:rPr>
              <w:t>目标</w:t>
            </w:r>
          </w:p>
        </w:tc>
        <w:tc>
          <w:tcPr>
            <w:tcW w:type="dxa" w:w="2268"/>
            <w:vAlign w:val="center"/>
            <w:shd w:fill="DCE6ED"/>
            <w:tcMar>
              <w:top w:w="75" w:type="dxa"/>
              <w:bottom w:w="75" w:type="dxa"/>
              <w:left w:w="100" w:type="dxa"/>
              <w:right w:w="100" w:type="dxa"/>
            </w:tcMar>
          </w:tcPr>
          <w:p>
            <w:pPr>
              <w:keepNext/>
              <w:spacing w:before="0" w:after="0" w:line="269" w:lineRule="auto"/>
              <w:jc w:val="center"/>
            </w:pPr>
            <w:r>
              <w:rPr>
                <w:b/>
                <w:sz w:val="18"/>
              </w:rPr>
              <w:t>改用 4–6 s</w:t>
            </w:r>
          </w:p>
        </w:tc>
        <w:tc>
          <w:tcPr>
            <w:tcW w:type="dxa" w:w="2324"/>
            <w:vAlign w:val="center"/>
            <w:shd w:fill="DCE6ED"/>
            <w:tcMar>
              <w:top w:w="75" w:type="dxa"/>
              <w:bottom w:w="75" w:type="dxa"/>
              <w:left w:w="100" w:type="dxa"/>
              <w:right w:w="100" w:type="dxa"/>
            </w:tcMar>
          </w:tcPr>
          <w:p>
            <w:pPr>
              <w:keepNext/>
              <w:spacing w:before="0" w:after="0" w:line="269" w:lineRule="auto"/>
              <w:jc w:val="center"/>
            </w:pPr>
            <w:r>
              <w:rPr>
                <w:b/>
                <w:sz w:val="18"/>
              </w:rPr>
              <w:t>改用 6–8 s</w:t>
            </w:r>
          </w:p>
        </w:tc>
        <w:tc>
          <w:tcPr>
            <w:tcW w:type="dxa" w:w="2324"/>
            <w:vAlign w:val="center"/>
            <w:shd w:fill="DCE6ED"/>
            <w:tcMar>
              <w:top w:w="75" w:type="dxa"/>
              <w:bottom w:w="75" w:type="dxa"/>
              <w:left w:w="100" w:type="dxa"/>
              <w:right w:w="100" w:type="dxa"/>
            </w:tcMar>
          </w:tcPr>
          <w:p>
            <w:pPr>
              <w:keepNext/>
              <w:spacing w:before="0" w:after="0" w:line="269" w:lineRule="auto"/>
              <w:jc w:val="center"/>
            </w:pPr>
            <w:r>
              <w:rPr>
                <w:b/>
                <w:sz w:val="18"/>
              </w:rPr>
              <w:t>仅去掉 8.00 s 帧</w:t>
            </w:r>
          </w:p>
        </w:tc>
      </w:tr>
      <w:tr>
        <w:trPr>
          <w:cantSplit/>
        </w:trPr>
        <w:tc>
          <w:tcPr>
            <w:tcW w:type="dxa" w:w="2494"/>
            <w:vAlign w:val="center"/>
            <w:shd w:fill="FFFFFF"/>
            <w:tcMar>
              <w:top w:w="75" w:type="dxa"/>
              <w:bottom w:w="75" w:type="dxa"/>
              <w:left w:w="100" w:type="dxa"/>
              <w:right w:w="100" w:type="dxa"/>
            </w:tcMar>
          </w:tcPr>
          <w:p>
            <w:pPr>
              <w:keepNext w:val="0"/>
              <w:spacing w:before="0" w:after="0" w:line="269" w:lineRule="auto"/>
              <w:jc w:val="left"/>
            </w:pPr>
            <w:r>
              <w:rPr>
                <w:b w:val="0"/>
                <w:sz w:val="18"/>
              </w:rPr>
              <w:t>R/u</w:t>
            </w:r>
          </w:p>
        </w:tc>
        <w:tc>
          <w:tcPr>
            <w:tcW w:type="dxa" w:w="2268"/>
            <w:vAlign w:val="center"/>
            <w:shd w:fill="FFFFFF"/>
            <w:tcMar>
              <w:top w:w="75" w:type="dxa"/>
              <w:bottom w:w="75" w:type="dxa"/>
              <w:left w:w="100" w:type="dxa"/>
              <w:right w:w="100" w:type="dxa"/>
            </w:tcMar>
          </w:tcPr>
          <w:p>
            <w:pPr>
              <w:keepNext w:val="0"/>
              <w:spacing w:before="0" w:after="0" w:line="269" w:lineRule="auto"/>
              <w:jc w:val="center"/>
            </w:pPr>
            <w:r>
              <w:rPr>
                <w:b w:val="0"/>
                <w:sz w:val="18"/>
              </w:rPr>
              <w:t>19.00%</w:t>
            </w:r>
          </w:p>
        </w:tc>
        <w:tc>
          <w:tcPr>
            <w:tcW w:type="dxa" w:w="2324"/>
            <w:vAlign w:val="center"/>
            <w:shd w:fill="FFFFFF"/>
            <w:tcMar>
              <w:top w:w="75" w:type="dxa"/>
              <w:bottom w:w="75" w:type="dxa"/>
              <w:left w:w="100" w:type="dxa"/>
              <w:right w:w="100" w:type="dxa"/>
            </w:tcMar>
          </w:tcPr>
          <w:p>
            <w:pPr>
              <w:keepNext w:val="0"/>
              <w:spacing w:before="0" w:after="0" w:line="269" w:lineRule="auto"/>
              <w:jc w:val="center"/>
            </w:pPr>
            <w:r>
              <w:rPr>
                <w:b w:val="0"/>
                <w:sz w:val="18"/>
              </w:rPr>
              <w:t>18.19%</w:t>
            </w:r>
          </w:p>
        </w:tc>
        <w:tc>
          <w:tcPr>
            <w:tcW w:type="dxa" w:w="2324"/>
            <w:vAlign w:val="center"/>
            <w:shd w:fill="FFFFFF"/>
            <w:tcMar>
              <w:top w:w="75" w:type="dxa"/>
              <w:bottom w:w="75" w:type="dxa"/>
              <w:left w:w="100" w:type="dxa"/>
              <w:right w:w="100" w:type="dxa"/>
            </w:tcMar>
          </w:tcPr>
          <w:p>
            <w:pPr>
              <w:keepNext w:val="0"/>
              <w:spacing w:before="0" w:after="0" w:line="269" w:lineRule="auto"/>
              <w:jc w:val="center"/>
            </w:pPr>
            <w:r>
              <w:rPr>
                <w:b w:val="0"/>
                <w:sz w:val="18"/>
              </w:rPr>
              <w:t>2.10%</w:t>
            </w:r>
          </w:p>
        </w:tc>
      </w:tr>
      <w:tr>
        <w:trPr>
          <w:cantSplit/>
        </w:trPr>
        <w:tc>
          <w:tcPr>
            <w:tcW w:type="dxa" w:w="2494"/>
            <w:vAlign w:val="center"/>
            <w:shd w:fill="F5F7F9"/>
            <w:tcMar>
              <w:top w:w="75" w:type="dxa"/>
              <w:bottom w:w="75" w:type="dxa"/>
              <w:left w:w="100" w:type="dxa"/>
              <w:right w:w="100" w:type="dxa"/>
            </w:tcMar>
          </w:tcPr>
          <w:p>
            <w:pPr>
              <w:keepNext w:val="0"/>
              <w:spacing w:before="0" w:after="0" w:line="269" w:lineRule="auto"/>
              <w:jc w:val="left"/>
            </w:pPr>
            <w:r>
              <w:rPr>
                <w:b w:val="0"/>
                <w:sz w:val="18"/>
              </w:rPr>
              <w:t>R/v</w:t>
            </w:r>
          </w:p>
        </w:tc>
        <w:tc>
          <w:tcPr>
            <w:tcW w:type="dxa" w:w="2268"/>
            <w:vAlign w:val="center"/>
            <w:shd w:fill="F5F7F9"/>
            <w:tcMar>
              <w:top w:w="75" w:type="dxa"/>
              <w:bottom w:w="75" w:type="dxa"/>
              <w:left w:w="100" w:type="dxa"/>
              <w:right w:w="100" w:type="dxa"/>
            </w:tcMar>
          </w:tcPr>
          <w:p>
            <w:pPr>
              <w:keepNext w:val="0"/>
              <w:spacing w:before="0" w:after="0" w:line="269" w:lineRule="auto"/>
              <w:jc w:val="center"/>
            </w:pPr>
            <w:r>
              <w:rPr>
                <w:b w:val="0"/>
                <w:sz w:val="18"/>
              </w:rPr>
              <w:t>130.64%</w:t>
            </w:r>
          </w:p>
        </w:tc>
        <w:tc>
          <w:tcPr>
            <w:tcW w:type="dxa" w:w="2324"/>
            <w:vAlign w:val="center"/>
            <w:shd w:fill="F5F7F9"/>
            <w:tcMar>
              <w:top w:w="75" w:type="dxa"/>
              <w:bottom w:w="75" w:type="dxa"/>
              <w:left w:w="100" w:type="dxa"/>
              <w:right w:w="100" w:type="dxa"/>
            </w:tcMar>
          </w:tcPr>
          <w:p>
            <w:pPr>
              <w:keepNext w:val="0"/>
              <w:spacing w:before="0" w:after="0" w:line="269" w:lineRule="auto"/>
              <w:jc w:val="center"/>
            </w:pPr>
            <w:r>
              <w:rPr>
                <w:b w:val="0"/>
                <w:sz w:val="18"/>
              </w:rPr>
              <w:t>124.96%</w:t>
            </w:r>
          </w:p>
        </w:tc>
        <w:tc>
          <w:tcPr>
            <w:tcW w:type="dxa" w:w="2324"/>
            <w:vAlign w:val="center"/>
            <w:shd w:fill="F5F7F9"/>
            <w:tcMar>
              <w:top w:w="75" w:type="dxa"/>
              <w:bottom w:w="75" w:type="dxa"/>
              <w:left w:w="100" w:type="dxa"/>
              <w:right w:w="100" w:type="dxa"/>
            </w:tcMar>
          </w:tcPr>
          <w:p>
            <w:pPr>
              <w:keepNext w:val="0"/>
              <w:spacing w:before="0" w:after="0" w:line="269" w:lineRule="auto"/>
              <w:jc w:val="center"/>
            </w:pPr>
            <w:r>
              <w:rPr>
                <w:b w:val="0"/>
                <w:sz w:val="18"/>
              </w:rPr>
              <w:t>14.21%</w:t>
            </w:r>
          </w:p>
        </w:tc>
      </w:tr>
      <w:tr>
        <w:trPr>
          <w:cantSplit/>
        </w:trPr>
        <w:tc>
          <w:tcPr>
            <w:tcW w:type="dxa" w:w="2494"/>
            <w:vAlign w:val="center"/>
            <w:shd w:fill="FFFFFF"/>
            <w:tcMar>
              <w:top w:w="75" w:type="dxa"/>
              <w:bottom w:w="75" w:type="dxa"/>
              <w:left w:w="100" w:type="dxa"/>
              <w:right w:w="100" w:type="dxa"/>
            </w:tcMar>
          </w:tcPr>
          <w:p>
            <w:pPr>
              <w:keepNext w:val="0"/>
              <w:spacing w:before="0" w:after="0" w:line="269" w:lineRule="auto"/>
              <w:jc w:val="left"/>
            </w:pPr>
            <w:r>
              <w:rPr>
                <w:b w:val="0"/>
                <w:sz w:val="18"/>
              </w:rPr>
              <w:t>cx/u</w:t>
            </w:r>
          </w:p>
        </w:tc>
        <w:tc>
          <w:tcPr>
            <w:tcW w:type="dxa" w:w="2268"/>
            <w:vAlign w:val="center"/>
            <w:shd w:fill="FFFFFF"/>
            <w:tcMar>
              <w:top w:w="75" w:type="dxa"/>
              <w:bottom w:w="75" w:type="dxa"/>
              <w:left w:w="100" w:type="dxa"/>
              <w:right w:w="100" w:type="dxa"/>
            </w:tcMar>
          </w:tcPr>
          <w:p>
            <w:pPr>
              <w:keepNext w:val="0"/>
              <w:spacing w:before="0" w:after="0" w:line="269" w:lineRule="auto"/>
              <w:jc w:val="center"/>
            </w:pPr>
            <w:r>
              <w:rPr>
                <w:b w:val="0"/>
                <w:sz w:val="18"/>
              </w:rPr>
              <w:t>24.60%</w:t>
            </w:r>
          </w:p>
        </w:tc>
        <w:tc>
          <w:tcPr>
            <w:tcW w:type="dxa" w:w="2324"/>
            <w:vAlign w:val="center"/>
            <w:shd w:fill="FFFFFF"/>
            <w:tcMar>
              <w:top w:w="75" w:type="dxa"/>
              <w:bottom w:w="75" w:type="dxa"/>
              <w:left w:w="100" w:type="dxa"/>
              <w:right w:w="100" w:type="dxa"/>
            </w:tcMar>
          </w:tcPr>
          <w:p>
            <w:pPr>
              <w:keepNext w:val="0"/>
              <w:spacing w:before="0" w:after="0" w:line="269" w:lineRule="auto"/>
              <w:jc w:val="center"/>
            </w:pPr>
            <w:r>
              <w:rPr>
                <w:b w:val="0"/>
                <w:sz w:val="18"/>
              </w:rPr>
              <w:t>24.07%</w:t>
            </w:r>
          </w:p>
        </w:tc>
        <w:tc>
          <w:tcPr>
            <w:tcW w:type="dxa" w:w="2324"/>
            <w:vAlign w:val="center"/>
            <w:shd w:fill="FFFFFF"/>
            <w:tcMar>
              <w:top w:w="75" w:type="dxa"/>
              <w:bottom w:w="75" w:type="dxa"/>
              <w:left w:w="100" w:type="dxa"/>
              <w:right w:w="100" w:type="dxa"/>
            </w:tcMar>
          </w:tcPr>
          <w:p>
            <w:pPr>
              <w:keepNext w:val="0"/>
              <w:spacing w:before="0" w:after="0" w:line="269" w:lineRule="auto"/>
              <w:jc w:val="center"/>
            </w:pPr>
            <w:r>
              <w:rPr>
                <w:b w:val="0"/>
                <w:sz w:val="18"/>
              </w:rPr>
              <w:t>2.30%</w:t>
            </w:r>
          </w:p>
        </w:tc>
      </w:tr>
      <w:tr>
        <w:trPr>
          <w:cantSplit/>
        </w:trPr>
        <w:tc>
          <w:tcPr>
            <w:tcW w:type="dxa" w:w="2494"/>
            <w:vAlign w:val="center"/>
            <w:shd w:fill="F5F7F9"/>
            <w:tcMar>
              <w:top w:w="75" w:type="dxa"/>
              <w:bottom w:w="75" w:type="dxa"/>
              <w:left w:w="100" w:type="dxa"/>
              <w:right w:w="100" w:type="dxa"/>
            </w:tcMar>
          </w:tcPr>
          <w:p>
            <w:pPr>
              <w:keepNext w:val="0"/>
              <w:spacing w:before="0" w:after="0" w:line="269" w:lineRule="auto"/>
              <w:jc w:val="left"/>
            </w:pPr>
            <w:r>
              <w:rPr>
                <w:b w:val="0"/>
                <w:sz w:val="18"/>
              </w:rPr>
              <w:t>cx/v</w:t>
            </w:r>
          </w:p>
        </w:tc>
        <w:tc>
          <w:tcPr>
            <w:tcW w:type="dxa" w:w="2268"/>
            <w:vAlign w:val="center"/>
            <w:shd w:fill="F5F7F9"/>
            <w:tcMar>
              <w:top w:w="75" w:type="dxa"/>
              <w:bottom w:w="75" w:type="dxa"/>
              <w:left w:w="100" w:type="dxa"/>
              <w:right w:w="100" w:type="dxa"/>
            </w:tcMar>
          </w:tcPr>
          <w:p>
            <w:pPr>
              <w:keepNext w:val="0"/>
              <w:spacing w:before="0" w:after="0" w:line="269" w:lineRule="auto"/>
              <w:jc w:val="center"/>
            </w:pPr>
            <w:r>
              <w:rPr>
                <w:b w:val="0"/>
                <w:sz w:val="18"/>
              </w:rPr>
              <w:t>58.23%</w:t>
            </w:r>
          </w:p>
        </w:tc>
        <w:tc>
          <w:tcPr>
            <w:tcW w:type="dxa" w:w="2324"/>
            <w:vAlign w:val="center"/>
            <w:shd w:fill="F5F7F9"/>
            <w:tcMar>
              <w:top w:w="75" w:type="dxa"/>
              <w:bottom w:w="75" w:type="dxa"/>
              <w:left w:w="100" w:type="dxa"/>
              <w:right w:w="100" w:type="dxa"/>
            </w:tcMar>
          </w:tcPr>
          <w:p>
            <w:pPr>
              <w:keepNext w:val="0"/>
              <w:spacing w:before="0" w:after="0" w:line="269" w:lineRule="auto"/>
              <w:jc w:val="center"/>
            </w:pPr>
            <w:r>
              <w:rPr>
                <w:b w:val="0"/>
                <w:sz w:val="18"/>
              </w:rPr>
              <w:t>56.96%</w:t>
            </w:r>
          </w:p>
        </w:tc>
        <w:tc>
          <w:tcPr>
            <w:tcW w:type="dxa" w:w="2324"/>
            <w:vAlign w:val="center"/>
            <w:shd w:fill="F5F7F9"/>
            <w:tcMar>
              <w:top w:w="75" w:type="dxa"/>
              <w:bottom w:w="75" w:type="dxa"/>
              <w:left w:w="100" w:type="dxa"/>
              <w:right w:w="100" w:type="dxa"/>
            </w:tcMar>
          </w:tcPr>
          <w:p>
            <w:pPr>
              <w:keepNext w:val="0"/>
              <w:spacing w:before="0" w:after="0" w:line="269" w:lineRule="auto"/>
              <w:jc w:val="center"/>
            </w:pPr>
            <w:r>
              <w:rPr>
                <w:b w:val="0"/>
                <w:sz w:val="18"/>
              </w:rPr>
              <w:t>5.92%</w:t>
            </w:r>
          </w:p>
        </w:tc>
      </w:tr>
      <w:tr>
        <w:trPr>
          <w:cantSplit/>
        </w:trPr>
        <w:tc>
          <w:tcPr>
            <w:tcW w:type="dxa" w:w="2494"/>
            <w:vAlign w:val="center"/>
            <w:shd w:fill="FFFFFF"/>
            <w:tcMar>
              <w:top w:w="75" w:type="dxa"/>
              <w:bottom w:w="75" w:type="dxa"/>
              <w:left w:w="100" w:type="dxa"/>
              <w:right w:w="100" w:type="dxa"/>
            </w:tcMar>
          </w:tcPr>
          <w:p>
            <w:pPr>
              <w:keepNext w:val="0"/>
              <w:spacing w:before="0" w:after="0" w:line="269" w:lineRule="auto"/>
              <w:jc w:val="left"/>
            </w:pPr>
            <w:r>
              <w:rPr>
                <w:b w:val="0"/>
                <w:sz w:val="18"/>
              </w:rPr>
              <w:t>cy/u</w:t>
            </w:r>
          </w:p>
        </w:tc>
        <w:tc>
          <w:tcPr>
            <w:tcW w:type="dxa" w:w="2268"/>
            <w:vAlign w:val="center"/>
            <w:shd w:fill="FFFFFF"/>
            <w:tcMar>
              <w:top w:w="75" w:type="dxa"/>
              <w:bottom w:w="75" w:type="dxa"/>
              <w:left w:w="100" w:type="dxa"/>
              <w:right w:w="100" w:type="dxa"/>
            </w:tcMar>
          </w:tcPr>
          <w:p>
            <w:pPr>
              <w:keepNext w:val="0"/>
              <w:spacing w:before="0" w:after="0" w:line="269" w:lineRule="auto"/>
              <w:jc w:val="center"/>
            </w:pPr>
            <w:r>
              <w:rPr>
                <w:b w:val="0"/>
                <w:sz w:val="18"/>
              </w:rPr>
              <w:t>1.91%</w:t>
            </w:r>
          </w:p>
        </w:tc>
        <w:tc>
          <w:tcPr>
            <w:tcW w:type="dxa" w:w="2324"/>
            <w:vAlign w:val="center"/>
            <w:shd w:fill="FFFFFF"/>
            <w:tcMar>
              <w:top w:w="75" w:type="dxa"/>
              <w:bottom w:w="75" w:type="dxa"/>
              <w:left w:w="100" w:type="dxa"/>
              <w:right w:w="100" w:type="dxa"/>
            </w:tcMar>
          </w:tcPr>
          <w:p>
            <w:pPr>
              <w:keepNext w:val="0"/>
              <w:spacing w:before="0" w:after="0" w:line="269" w:lineRule="auto"/>
              <w:jc w:val="center"/>
            </w:pPr>
            <w:r>
              <w:rPr>
                <w:b w:val="0"/>
                <w:sz w:val="18"/>
              </w:rPr>
              <w:t>1.94%</w:t>
            </w:r>
          </w:p>
        </w:tc>
        <w:tc>
          <w:tcPr>
            <w:tcW w:type="dxa" w:w="2324"/>
            <w:vAlign w:val="center"/>
            <w:shd w:fill="FFFFFF"/>
            <w:tcMar>
              <w:top w:w="75" w:type="dxa"/>
              <w:bottom w:w="75" w:type="dxa"/>
              <w:left w:w="100" w:type="dxa"/>
              <w:right w:w="100" w:type="dxa"/>
            </w:tcMar>
          </w:tcPr>
          <w:p>
            <w:pPr>
              <w:keepNext w:val="0"/>
              <w:spacing w:before="0" w:after="0" w:line="269" w:lineRule="auto"/>
              <w:jc w:val="center"/>
            </w:pPr>
            <w:r>
              <w:rPr>
                <w:b w:val="0"/>
                <w:sz w:val="18"/>
              </w:rPr>
              <w:t>0.12%</w:t>
            </w:r>
          </w:p>
        </w:tc>
      </w:tr>
      <w:tr>
        <w:trPr>
          <w:cantSplit/>
        </w:trPr>
        <w:tc>
          <w:tcPr>
            <w:tcW w:type="dxa" w:w="2494"/>
            <w:vAlign w:val="center"/>
            <w:shd w:fill="F5F7F9"/>
            <w:tcMar>
              <w:top w:w="75" w:type="dxa"/>
              <w:bottom w:w="75" w:type="dxa"/>
              <w:left w:w="100" w:type="dxa"/>
              <w:right w:w="100" w:type="dxa"/>
            </w:tcMar>
          </w:tcPr>
          <w:p>
            <w:pPr>
              <w:keepNext w:val="0"/>
              <w:spacing w:before="0" w:after="0" w:line="269" w:lineRule="auto"/>
              <w:jc w:val="left"/>
            </w:pPr>
            <w:r>
              <w:rPr>
                <w:b w:val="0"/>
                <w:sz w:val="18"/>
              </w:rPr>
              <w:t>cy/v</w:t>
            </w:r>
          </w:p>
        </w:tc>
        <w:tc>
          <w:tcPr>
            <w:tcW w:type="dxa" w:w="2268"/>
            <w:vAlign w:val="center"/>
            <w:shd w:fill="F5F7F9"/>
            <w:tcMar>
              <w:top w:w="75" w:type="dxa"/>
              <w:bottom w:w="75" w:type="dxa"/>
              <w:left w:w="100" w:type="dxa"/>
              <w:right w:w="100" w:type="dxa"/>
            </w:tcMar>
          </w:tcPr>
          <w:p>
            <w:pPr>
              <w:keepNext w:val="0"/>
              <w:spacing w:before="0" w:after="0" w:line="269" w:lineRule="auto"/>
              <w:jc w:val="center"/>
            </w:pPr>
            <w:r>
              <w:rPr>
                <w:b w:val="0"/>
                <w:sz w:val="18"/>
              </w:rPr>
              <w:t>17.38%</w:t>
            </w:r>
          </w:p>
        </w:tc>
        <w:tc>
          <w:tcPr>
            <w:tcW w:type="dxa" w:w="2324"/>
            <w:vAlign w:val="center"/>
            <w:shd w:fill="F5F7F9"/>
            <w:tcMar>
              <w:top w:w="75" w:type="dxa"/>
              <w:bottom w:w="75" w:type="dxa"/>
              <w:left w:w="100" w:type="dxa"/>
              <w:right w:w="100" w:type="dxa"/>
            </w:tcMar>
          </w:tcPr>
          <w:p>
            <w:pPr>
              <w:keepNext w:val="0"/>
              <w:spacing w:before="0" w:after="0" w:line="269" w:lineRule="auto"/>
              <w:jc w:val="center"/>
            </w:pPr>
            <w:r>
              <w:rPr>
                <w:b w:val="0"/>
                <w:sz w:val="18"/>
              </w:rPr>
              <w:t>17.78%</w:t>
            </w:r>
          </w:p>
        </w:tc>
        <w:tc>
          <w:tcPr>
            <w:tcW w:type="dxa" w:w="2324"/>
            <w:vAlign w:val="center"/>
            <w:shd w:fill="F5F7F9"/>
            <w:tcMar>
              <w:top w:w="75" w:type="dxa"/>
              <w:bottom w:w="75" w:type="dxa"/>
              <w:left w:w="100" w:type="dxa"/>
              <w:right w:w="100" w:type="dxa"/>
            </w:tcMar>
          </w:tcPr>
          <w:p>
            <w:pPr>
              <w:keepNext w:val="0"/>
              <w:spacing w:before="0" w:after="0" w:line="269" w:lineRule="auto"/>
              <w:jc w:val="center"/>
            </w:pPr>
            <w:r>
              <w:rPr>
                <w:b w:val="0"/>
                <w:sz w:val="18"/>
              </w:rPr>
              <w:t>1.24%</w:t>
            </w:r>
          </w:p>
        </w:tc>
      </w:tr>
    </w:tbl>
    <w:p>
      <w:pPr>
        <w:spacing w:after="20" w:before="0" w:line="240" w:lineRule="auto"/>
      </w:pPr>
      <w:r>
        <w:rPr>
          <w:sz w:val="4"/>
        </w:rPr>
      </w:r>
    </w:p>
    <w:p>
      <w:pPr>
        <w:jc w:val="both"/>
      </w:pPr>
      <w:r>
        <w:rPr>
          <w:b w:val="0"/>
        </w:rPr>
        <w:t>各窗口重新估计入口尺度与冻结入口尺度的结果近乎一致，因此该窗口敏感性主要不来自归一化尺度变化。周期信号被有限窗口截断是重要因素，但这仍不足以把 A0 的拟合失败全部归因于标签误差。</w:t>
      </w:r>
    </w:p>
    <w:p>
      <w:pPr>
        <w:pStyle w:val="Heading2"/>
      </w:pPr>
      <w:r>
        <w:t>9 2 完整周期平均提供更稳定的候选参照</w:t>
      </w:r>
    </w:p>
    <w:p>
      <w:pPr>
        <w:jc w:val="both"/>
      </w:pPr>
      <w:r>
        <w:rPr>
          <w:b w:val="0"/>
        </w:rPr>
        <w:t>固定参考位置 ξ=3、η≈0.030159，使用 v 的交叉事件确定各算例周期。基准平均周期约 0.354494 s；R+ 和 R− 分别约 0.366901 s、0.343332 s。4–8 s 内，基准与平移扰动有 11 个完整周期，半径扰动有 10 个。对事件端点作线性时间插值，按梯形积分与对应入口平均构造周期均场。</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2268"/>
        <w:gridCol w:w="2324"/>
        <w:gridCol w:w="2324"/>
      </w:tblGrid>
      <w:tr>
        <w:trPr>
          <w:cantSplit/>
          <w:tblHeader/>
        </w:trPr>
        <w:tc>
          <w:tcPr>
            <w:tcW w:type="dxa" w:w="2494"/>
            <w:vAlign w:val="center"/>
            <w:shd w:fill="DCE6ED"/>
            <w:tcMar>
              <w:top w:w="75" w:type="dxa"/>
              <w:bottom w:w="75" w:type="dxa"/>
              <w:left w:w="100" w:type="dxa"/>
              <w:right w:w="100" w:type="dxa"/>
            </w:tcMar>
          </w:tcPr>
          <w:p>
            <w:pPr>
              <w:keepNext/>
              <w:spacing w:before="0" w:after="0" w:line="269" w:lineRule="auto"/>
              <w:jc w:val="left"/>
            </w:pPr>
            <w:r>
              <w:rPr>
                <w:b/>
                <w:sz w:val="18"/>
              </w:rPr>
              <w:t>目标</w:t>
            </w:r>
          </w:p>
        </w:tc>
        <w:tc>
          <w:tcPr>
            <w:tcW w:type="dxa" w:w="2268"/>
            <w:vAlign w:val="center"/>
            <w:shd w:fill="DCE6ED"/>
            <w:tcMar>
              <w:top w:w="75" w:type="dxa"/>
              <w:bottom w:w="75" w:type="dxa"/>
              <w:left w:w="100" w:type="dxa"/>
              <w:right w:w="100" w:type="dxa"/>
            </w:tcMar>
          </w:tcPr>
          <w:p>
            <w:pPr>
              <w:keepNext/>
              <w:spacing w:before="0" w:after="0" w:line="269" w:lineRule="auto"/>
              <w:jc w:val="center"/>
            </w:pPr>
            <w:r>
              <w:rPr>
                <w:b/>
                <w:sz w:val="18"/>
              </w:rPr>
              <w:t>周期平均相对旧 M 的变化</w:t>
            </w:r>
          </w:p>
        </w:tc>
        <w:tc>
          <w:tcPr>
            <w:tcW w:type="dxa" w:w="2324"/>
            <w:vAlign w:val="center"/>
            <w:shd w:fill="DCE6ED"/>
            <w:tcMar>
              <w:top w:w="75" w:type="dxa"/>
              <w:bottom w:w="75" w:type="dxa"/>
              <w:left w:w="100" w:type="dxa"/>
              <w:right w:w="100" w:type="dxa"/>
            </w:tcMar>
          </w:tcPr>
          <w:p>
            <w:pPr>
              <w:keepNext/>
              <w:spacing w:before="0" w:after="0" w:line="269" w:lineRule="auto"/>
              <w:jc w:val="center"/>
            </w:pPr>
            <w:r>
              <w:rPr>
                <w:b/>
                <w:sz w:val="18"/>
              </w:rPr>
              <w:t>前后周期组差异</w:t>
            </w:r>
          </w:p>
        </w:tc>
        <w:tc>
          <w:tcPr>
            <w:tcW w:type="dxa" w:w="2324"/>
            <w:vAlign w:val="center"/>
            <w:shd w:fill="DCE6ED"/>
            <w:tcMar>
              <w:top w:w="75" w:type="dxa"/>
              <w:bottom w:w="75" w:type="dxa"/>
              <w:left w:w="100" w:type="dxa"/>
              <w:right w:w="100" w:type="dxa"/>
            </w:tcMar>
          </w:tcPr>
          <w:p>
            <w:pPr>
              <w:keepNext/>
              <w:spacing w:before="0" w:after="0" w:line="269" w:lineRule="auto"/>
              <w:jc w:val="center"/>
            </w:pPr>
            <w:r>
              <w:rPr>
                <w:b/>
                <w:sz w:val="18"/>
              </w:rPr>
              <w:t>六种相位约定最大变化</w:t>
            </w:r>
          </w:p>
        </w:tc>
      </w:tr>
      <w:tr>
        <w:trPr>
          <w:cantSplit/>
        </w:trPr>
        <w:tc>
          <w:tcPr>
            <w:tcW w:type="dxa" w:w="2494"/>
            <w:vAlign w:val="center"/>
            <w:shd w:fill="FFFFFF"/>
            <w:tcMar>
              <w:top w:w="75" w:type="dxa"/>
              <w:bottom w:w="75" w:type="dxa"/>
              <w:left w:w="100" w:type="dxa"/>
              <w:right w:w="100" w:type="dxa"/>
            </w:tcMar>
          </w:tcPr>
          <w:p>
            <w:pPr>
              <w:keepNext w:val="0"/>
              <w:spacing w:before="0" w:after="0" w:line="269" w:lineRule="auto"/>
              <w:jc w:val="left"/>
            </w:pPr>
            <w:r>
              <w:rPr>
                <w:b w:val="0"/>
                <w:sz w:val="18"/>
              </w:rPr>
              <w:t>R/u</w:t>
            </w:r>
          </w:p>
        </w:tc>
        <w:tc>
          <w:tcPr>
            <w:tcW w:type="dxa" w:w="2268"/>
            <w:vAlign w:val="center"/>
            <w:shd w:fill="FFFFFF"/>
            <w:tcMar>
              <w:top w:w="75" w:type="dxa"/>
              <w:bottom w:w="75" w:type="dxa"/>
              <w:left w:w="100" w:type="dxa"/>
              <w:right w:w="100" w:type="dxa"/>
            </w:tcMar>
          </w:tcPr>
          <w:p>
            <w:pPr>
              <w:keepNext w:val="0"/>
              <w:spacing w:before="0" w:after="0" w:line="269" w:lineRule="auto"/>
              <w:jc w:val="center"/>
            </w:pPr>
            <w:r>
              <w:rPr>
                <w:b w:val="0"/>
                <w:sz w:val="18"/>
              </w:rPr>
              <w:t>12.00%</w:t>
            </w:r>
          </w:p>
        </w:tc>
        <w:tc>
          <w:tcPr>
            <w:tcW w:type="dxa" w:w="2324"/>
            <w:vAlign w:val="center"/>
            <w:shd w:fill="FFFFFF"/>
            <w:tcMar>
              <w:top w:w="75" w:type="dxa"/>
              <w:bottom w:w="75" w:type="dxa"/>
              <w:left w:w="100" w:type="dxa"/>
              <w:right w:w="100" w:type="dxa"/>
            </w:tcMar>
          </w:tcPr>
          <w:p>
            <w:pPr>
              <w:keepNext w:val="0"/>
              <w:spacing w:before="0" w:after="0" w:line="269" w:lineRule="auto"/>
              <w:jc w:val="center"/>
            </w:pPr>
            <w:r>
              <w:rPr>
                <w:b w:val="0"/>
                <w:sz w:val="18"/>
              </w:rPr>
              <w:t>0.042%</w:t>
            </w:r>
          </w:p>
        </w:tc>
        <w:tc>
          <w:tcPr>
            <w:tcW w:type="dxa" w:w="2324"/>
            <w:vAlign w:val="center"/>
            <w:shd w:fill="FFFFFF"/>
            <w:tcMar>
              <w:top w:w="75" w:type="dxa"/>
              <w:bottom w:w="75" w:type="dxa"/>
              <w:left w:w="100" w:type="dxa"/>
              <w:right w:w="100" w:type="dxa"/>
            </w:tcMar>
          </w:tcPr>
          <w:p>
            <w:pPr>
              <w:keepNext w:val="0"/>
              <w:spacing w:before="0" w:after="0" w:line="269" w:lineRule="auto"/>
              <w:jc w:val="center"/>
            </w:pPr>
            <w:r>
              <w:rPr>
                <w:b w:val="0"/>
                <w:sz w:val="18"/>
              </w:rPr>
              <w:t>0.051%</w:t>
            </w:r>
          </w:p>
        </w:tc>
      </w:tr>
      <w:tr>
        <w:trPr>
          <w:cantSplit/>
        </w:trPr>
        <w:tc>
          <w:tcPr>
            <w:tcW w:type="dxa" w:w="2494"/>
            <w:vAlign w:val="center"/>
            <w:shd w:fill="F5F7F9"/>
            <w:tcMar>
              <w:top w:w="75" w:type="dxa"/>
              <w:bottom w:w="75" w:type="dxa"/>
              <w:left w:w="100" w:type="dxa"/>
              <w:right w:w="100" w:type="dxa"/>
            </w:tcMar>
          </w:tcPr>
          <w:p>
            <w:pPr>
              <w:keepNext w:val="0"/>
              <w:spacing w:before="0" w:after="0" w:line="269" w:lineRule="auto"/>
              <w:jc w:val="left"/>
            </w:pPr>
            <w:r>
              <w:rPr>
                <w:b w:val="0"/>
                <w:sz w:val="18"/>
              </w:rPr>
              <w:t>R/v</w:t>
            </w:r>
          </w:p>
        </w:tc>
        <w:tc>
          <w:tcPr>
            <w:tcW w:type="dxa" w:w="2268"/>
            <w:vAlign w:val="center"/>
            <w:shd w:fill="F5F7F9"/>
            <w:tcMar>
              <w:top w:w="75" w:type="dxa"/>
              <w:bottom w:w="75" w:type="dxa"/>
              <w:left w:w="100" w:type="dxa"/>
              <w:right w:w="100" w:type="dxa"/>
            </w:tcMar>
          </w:tcPr>
          <w:p>
            <w:pPr>
              <w:keepNext w:val="0"/>
              <w:spacing w:before="0" w:after="0" w:line="269" w:lineRule="auto"/>
              <w:jc w:val="center"/>
            </w:pPr>
            <w:r>
              <w:rPr>
                <w:b w:val="0"/>
                <w:sz w:val="18"/>
              </w:rPr>
              <w:t>79.89%</w:t>
            </w:r>
          </w:p>
        </w:tc>
        <w:tc>
          <w:tcPr>
            <w:tcW w:type="dxa" w:w="2324"/>
            <w:vAlign w:val="center"/>
            <w:shd w:fill="F5F7F9"/>
            <w:tcMar>
              <w:top w:w="75" w:type="dxa"/>
              <w:bottom w:w="75" w:type="dxa"/>
              <w:left w:w="100" w:type="dxa"/>
              <w:right w:w="100" w:type="dxa"/>
            </w:tcMar>
          </w:tcPr>
          <w:p>
            <w:pPr>
              <w:keepNext w:val="0"/>
              <w:spacing w:before="0" w:after="0" w:line="269" w:lineRule="auto"/>
              <w:jc w:val="center"/>
            </w:pPr>
            <w:r>
              <w:rPr>
                <w:b w:val="0"/>
                <w:sz w:val="18"/>
              </w:rPr>
              <w:t>0.233%</w:t>
            </w:r>
          </w:p>
        </w:tc>
        <w:tc>
          <w:tcPr>
            <w:tcW w:type="dxa" w:w="2324"/>
            <w:vAlign w:val="center"/>
            <w:shd w:fill="F5F7F9"/>
            <w:tcMar>
              <w:top w:w="75" w:type="dxa"/>
              <w:bottom w:w="75" w:type="dxa"/>
              <w:left w:w="100" w:type="dxa"/>
              <w:right w:w="100" w:type="dxa"/>
            </w:tcMar>
          </w:tcPr>
          <w:p>
            <w:pPr>
              <w:keepNext w:val="0"/>
              <w:spacing w:before="0" w:after="0" w:line="269" w:lineRule="auto"/>
              <w:jc w:val="center"/>
            </w:pPr>
            <w:r>
              <w:rPr>
                <w:b w:val="0"/>
                <w:sz w:val="18"/>
              </w:rPr>
              <w:t>0.489%</w:t>
            </w:r>
          </w:p>
        </w:tc>
      </w:tr>
      <w:tr>
        <w:trPr>
          <w:cantSplit/>
        </w:trPr>
        <w:tc>
          <w:tcPr>
            <w:tcW w:type="dxa" w:w="2494"/>
            <w:vAlign w:val="center"/>
            <w:shd w:fill="FFFFFF"/>
            <w:tcMar>
              <w:top w:w="75" w:type="dxa"/>
              <w:bottom w:w="75" w:type="dxa"/>
              <w:left w:w="100" w:type="dxa"/>
              <w:right w:w="100" w:type="dxa"/>
            </w:tcMar>
          </w:tcPr>
          <w:p>
            <w:pPr>
              <w:keepNext w:val="0"/>
              <w:spacing w:before="0" w:after="0" w:line="269" w:lineRule="auto"/>
              <w:jc w:val="left"/>
            </w:pPr>
            <w:r>
              <w:rPr>
                <w:b w:val="0"/>
                <w:sz w:val="18"/>
              </w:rPr>
              <w:t>cx/u</w:t>
            </w:r>
          </w:p>
        </w:tc>
        <w:tc>
          <w:tcPr>
            <w:tcW w:type="dxa" w:w="2268"/>
            <w:vAlign w:val="center"/>
            <w:shd w:fill="FFFFFF"/>
            <w:tcMar>
              <w:top w:w="75" w:type="dxa"/>
              <w:bottom w:w="75" w:type="dxa"/>
              <w:left w:w="100" w:type="dxa"/>
              <w:right w:w="100" w:type="dxa"/>
            </w:tcMar>
          </w:tcPr>
          <w:p>
            <w:pPr>
              <w:keepNext w:val="0"/>
              <w:spacing w:before="0" w:after="0" w:line="269" w:lineRule="auto"/>
              <w:jc w:val="center"/>
            </w:pPr>
            <w:r>
              <w:rPr>
                <w:b w:val="0"/>
                <w:sz w:val="18"/>
              </w:rPr>
              <w:t>11.96%</w:t>
            </w:r>
          </w:p>
        </w:tc>
        <w:tc>
          <w:tcPr>
            <w:tcW w:type="dxa" w:w="2324"/>
            <w:vAlign w:val="center"/>
            <w:shd w:fill="FFFFFF"/>
            <w:tcMar>
              <w:top w:w="75" w:type="dxa"/>
              <w:bottom w:w="75" w:type="dxa"/>
              <w:left w:w="100" w:type="dxa"/>
              <w:right w:w="100" w:type="dxa"/>
            </w:tcMar>
          </w:tcPr>
          <w:p>
            <w:pPr>
              <w:keepNext w:val="0"/>
              <w:spacing w:before="0" w:after="0" w:line="269" w:lineRule="auto"/>
              <w:jc w:val="center"/>
            </w:pPr>
            <w:r>
              <w:rPr>
                <w:b w:val="0"/>
                <w:sz w:val="18"/>
              </w:rPr>
              <w:t>6.63%</w:t>
            </w:r>
          </w:p>
        </w:tc>
        <w:tc>
          <w:tcPr>
            <w:tcW w:type="dxa" w:w="2324"/>
            <w:vAlign w:val="center"/>
            <w:shd w:fill="FFFFFF"/>
            <w:tcMar>
              <w:top w:w="75" w:type="dxa"/>
              <w:bottom w:w="75" w:type="dxa"/>
              <w:left w:w="100" w:type="dxa"/>
              <w:right w:w="100" w:type="dxa"/>
            </w:tcMar>
          </w:tcPr>
          <w:p>
            <w:pPr>
              <w:keepNext w:val="0"/>
              <w:spacing w:before="0" w:after="0" w:line="269" w:lineRule="auto"/>
              <w:jc w:val="center"/>
            </w:pPr>
            <w:r>
              <w:rPr>
                <w:b w:val="0"/>
                <w:sz w:val="18"/>
              </w:rPr>
              <w:t>0.726%</w:t>
            </w:r>
          </w:p>
        </w:tc>
      </w:tr>
      <w:tr>
        <w:trPr>
          <w:cantSplit/>
        </w:trPr>
        <w:tc>
          <w:tcPr>
            <w:tcW w:type="dxa" w:w="2494"/>
            <w:vAlign w:val="center"/>
            <w:shd w:fill="F5F7F9"/>
            <w:tcMar>
              <w:top w:w="75" w:type="dxa"/>
              <w:bottom w:w="75" w:type="dxa"/>
              <w:left w:w="100" w:type="dxa"/>
              <w:right w:w="100" w:type="dxa"/>
            </w:tcMar>
          </w:tcPr>
          <w:p>
            <w:pPr>
              <w:keepNext w:val="0"/>
              <w:spacing w:before="0" w:after="0" w:line="269" w:lineRule="auto"/>
              <w:jc w:val="left"/>
            </w:pPr>
            <w:r>
              <w:rPr>
                <w:b w:val="0"/>
                <w:sz w:val="18"/>
              </w:rPr>
              <w:t>cx/v</w:t>
            </w:r>
          </w:p>
        </w:tc>
        <w:tc>
          <w:tcPr>
            <w:tcW w:type="dxa" w:w="2268"/>
            <w:vAlign w:val="center"/>
            <w:shd w:fill="F5F7F9"/>
            <w:tcMar>
              <w:top w:w="75" w:type="dxa"/>
              <w:bottom w:w="75" w:type="dxa"/>
              <w:left w:w="100" w:type="dxa"/>
              <w:right w:w="100" w:type="dxa"/>
            </w:tcMar>
          </w:tcPr>
          <w:p>
            <w:pPr>
              <w:keepNext w:val="0"/>
              <w:spacing w:before="0" w:after="0" w:line="269" w:lineRule="auto"/>
              <w:jc w:val="center"/>
            </w:pPr>
            <w:r>
              <w:rPr>
                <w:b w:val="0"/>
                <w:sz w:val="18"/>
              </w:rPr>
              <w:t>32.37%</w:t>
            </w:r>
          </w:p>
        </w:tc>
        <w:tc>
          <w:tcPr>
            <w:tcW w:type="dxa" w:w="2324"/>
            <w:vAlign w:val="center"/>
            <w:shd w:fill="F5F7F9"/>
            <w:tcMar>
              <w:top w:w="75" w:type="dxa"/>
              <w:bottom w:w="75" w:type="dxa"/>
              <w:left w:w="100" w:type="dxa"/>
              <w:right w:w="100" w:type="dxa"/>
            </w:tcMar>
          </w:tcPr>
          <w:p>
            <w:pPr>
              <w:keepNext w:val="0"/>
              <w:spacing w:before="0" w:after="0" w:line="269" w:lineRule="auto"/>
              <w:jc w:val="center"/>
            </w:pPr>
            <w:r>
              <w:rPr>
                <w:b w:val="0"/>
                <w:sz w:val="18"/>
              </w:rPr>
              <w:t>3.57%</w:t>
            </w:r>
          </w:p>
        </w:tc>
        <w:tc>
          <w:tcPr>
            <w:tcW w:type="dxa" w:w="2324"/>
            <w:vAlign w:val="center"/>
            <w:shd w:fill="F5F7F9"/>
            <w:tcMar>
              <w:top w:w="75" w:type="dxa"/>
              <w:bottom w:w="75" w:type="dxa"/>
              <w:left w:w="100" w:type="dxa"/>
              <w:right w:w="100" w:type="dxa"/>
            </w:tcMar>
          </w:tcPr>
          <w:p>
            <w:pPr>
              <w:keepNext w:val="0"/>
              <w:spacing w:before="0" w:after="0" w:line="269" w:lineRule="auto"/>
              <w:jc w:val="center"/>
            </w:pPr>
            <w:r>
              <w:rPr>
                <w:b w:val="0"/>
                <w:sz w:val="18"/>
              </w:rPr>
              <w:t>1.021%</w:t>
            </w:r>
          </w:p>
        </w:tc>
      </w:tr>
      <w:tr>
        <w:trPr>
          <w:cantSplit/>
        </w:trPr>
        <w:tc>
          <w:tcPr>
            <w:tcW w:type="dxa" w:w="2494"/>
            <w:vAlign w:val="center"/>
            <w:shd w:fill="FFFFFF"/>
            <w:tcMar>
              <w:top w:w="75" w:type="dxa"/>
              <w:bottom w:w="75" w:type="dxa"/>
              <w:left w:w="100" w:type="dxa"/>
              <w:right w:w="100" w:type="dxa"/>
            </w:tcMar>
          </w:tcPr>
          <w:p>
            <w:pPr>
              <w:keepNext w:val="0"/>
              <w:spacing w:before="0" w:after="0" w:line="269" w:lineRule="auto"/>
              <w:jc w:val="left"/>
            </w:pPr>
            <w:r>
              <w:rPr>
                <w:b w:val="0"/>
                <w:sz w:val="18"/>
              </w:rPr>
              <w:t>cy/u</w:t>
            </w:r>
          </w:p>
        </w:tc>
        <w:tc>
          <w:tcPr>
            <w:tcW w:type="dxa" w:w="2268"/>
            <w:vAlign w:val="center"/>
            <w:shd w:fill="FFFFFF"/>
            <w:tcMar>
              <w:top w:w="75" w:type="dxa"/>
              <w:bottom w:w="75" w:type="dxa"/>
              <w:left w:w="100" w:type="dxa"/>
              <w:right w:w="100" w:type="dxa"/>
            </w:tcMar>
          </w:tcPr>
          <w:p>
            <w:pPr>
              <w:keepNext w:val="0"/>
              <w:spacing w:before="0" w:after="0" w:line="269" w:lineRule="auto"/>
              <w:jc w:val="center"/>
            </w:pPr>
            <w:r>
              <w:rPr>
                <w:b w:val="0"/>
                <w:sz w:val="18"/>
              </w:rPr>
              <w:t>1.15%</w:t>
            </w:r>
          </w:p>
        </w:tc>
        <w:tc>
          <w:tcPr>
            <w:tcW w:type="dxa" w:w="2324"/>
            <w:vAlign w:val="center"/>
            <w:shd w:fill="FFFFFF"/>
            <w:tcMar>
              <w:top w:w="75" w:type="dxa"/>
              <w:bottom w:w="75" w:type="dxa"/>
              <w:left w:w="100" w:type="dxa"/>
              <w:right w:w="100" w:type="dxa"/>
            </w:tcMar>
          </w:tcPr>
          <w:p>
            <w:pPr>
              <w:keepNext w:val="0"/>
              <w:spacing w:before="0" w:after="0" w:line="269" w:lineRule="auto"/>
              <w:jc w:val="center"/>
            </w:pPr>
            <w:r>
              <w:rPr>
                <w:b w:val="0"/>
                <w:sz w:val="18"/>
              </w:rPr>
              <w:t>0.059%</w:t>
            </w:r>
          </w:p>
        </w:tc>
        <w:tc>
          <w:tcPr>
            <w:tcW w:type="dxa" w:w="2324"/>
            <w:vAlign w:val="center"/>
            <w:shd w:fill="FFFFFF"/>
            <w:tcMar>
              <w:top w:w="75" w:type="dxa"/>
              <w:bottom w:w="75" w:type="dxa"/>
              <w:left w:w="100" w:type="dxa"/>
              <w:right w:w="100" w:type="dxa"/>
            </w:tcMar>
          </w:tcPr>
          <w:p>
            <w:pPr>
              <w:keepNext w:val="0"/>
              <w:spacing w:before="0" w:after="0" w:line="269" w:lineRule="auto"/>
              <w:jc w:val="center"/>
            </w:pPr>
            <w:r>
              <w:rPr>
                <w:b w:val="0"/>
                <w:sz w:val="18"/>
              </w:rPr>
              <w:t>0.021%</w:t>
            </w:r>
          </w:p>
        </w:tc>
      </w:tr>
      <w:tr>
        <w:trPr>
          <w:cantSplit/>
        </w:trPr>
        <w:tc>
          <w:tcPr>
            <w:tcW w:type="dxa" w:w="2494"/>
            <w:vAlign w:val="center"/>
            <w:shd w:fill="F5F7F9"/>
            <w:tcMar>
              <w:top w:w="75" w:type="dxa"/>
              <w:bottom w:w="75" w:type="dxa"/>
              <w:left w:w="100" w:type="dxa"/>
              <w:right w:w="100" w:type="dxa"/>
            </w:tcMar>
          </w:tcPr>
          <w:p>
            <w:pPr>
              <w:keepNext w:val="0"/>
              <w:spacing w:before="0" w:after="0" w:line="269" w:lineRule="auto"/>
              <w:jc w:val="left"/>
            </w:pPr>
            <w:r>
              <w:rPr>
                <w:b w:val="0"/>
                <w:sz w:val="18"/>
              </w:rPr>
              <w:t>cy/v</w:t>
            </w:r>
          </w:p>
        </w:tc>
        <w:tc>
          <w:tcPr>
            <w:tcW w:type="dxa" w:w="2268"/>
            <w:vAlign w:val="center"/>
            <w:shd w:fill="F5F7F9"/>
            <w:tcMar>
              <w:top w:w="75" w:type="dxa"/>
              <w:bottom w:w="75" w:type="dxa"/>
              <w:left w:w="100" w:type="dxa"/>
              <w:right w:w="100" w:type="dxa"/>
            </w:tcMar>
          </w:tcPr>
          <w:p>
            <w:pPr>
              <w:keepNext w:val="0"/>
              <w:spacing w:before="0" w:after="0" w:line="269" w:lineRule="auto"/>
              <w:jc w:val="center"/>
            </w:pPr>
            <w:r>
              <w:rPr>
                <w:b w:val="0"/>
                <w:sz w:val="18"/>
              </w:rPr>
              <w:t>11.24%</w:t>
            </w:r>
          </w:p>
        </w:tc>
        <w:tc>
          <w:tcPr>
            <w:tcW w:type="dxa" w:w="2324"/>
            <w:vAlign w:val="center"/>
            <w:shd w:fill="F5F7F9"/>
            <w:tcMar>
              <w:top w:w="75" w:type="dxa"/>
              <w:bottom w:w="75" w:type="dxa"/>
              <w:left w:w="100" w:type="dxa"/>
              <w:right w:w="100" w:type="dxa"/>
            </w:tcMar>
          </w:tcPr>
          <w:p>
            <w:pPr>
              <w:keepNext w:val="0"/>
              <w:spacing w:before="0" w:after="0" w:line="269" w:lineRule="auto"/>
              <w:jc w:val="center"/>
            </w:pPr>
            <w:r>
              <w:rPr>
                <w:b w:val="0"/>
                <w:sz w:val="18"/>
              </w:rPr>
              <w:t>0.475%</w:t>
            </w:r>
          </w:p>
        </w:tc>
        <w:tc>
          <w:tcPr>
            <w:tcW w:type="dxa" w:w="2324"/>
            <w:vAlign w:val="center"/>
            <w:shd w:fill="F5F7F9"/>
            <w:tcMar>
              <w:top w:w="75" w:type="dxa"/>
              <w:bottom w:w="75" w:type="dxa"/>
              <w:left w:w="100" w:type="dxa"/>
              <w:right w:w="100" w:type="dxa"/>
            </w:tcMar>
          </w:tcPr>
          <w:p>
            <w:pPr>
              <w:keepNext w:val="0"/>
              <w:spacing w:before="0" w:after="0" w:line="269" w:lineRule="auto"/>
              <w:jc w:val="center"/>
            </w:pPr>
            <w:r>
              <w:rPr>
                <w:b w:val="0"/>
                <w:sz w:val="18"/>
              </w:rPr>
              <w:t>0.210%</w:t>
            </w:r>
          </w:p>
        </w:tc>
      </w:tr>
    </w:tbl>
    <w:p>
      <w:pPr>
        <w:spacing w:after="20" w:before="0" w:line="240" w:lineRule="auto"/>
      </w:pPr>
      <w:r>
        <w:rPr>
          <w:sz w:val="4"/>
        </w:rPr>
      </w:r>
    </w:p>
    <w:p>
      <w:pPr>
        <w:jc w:val="both"/>
      </w:pPr>
      <w:r>
        <w:rPr>
          <w:b w:val="0"/>
        </w:rPr>
        <w:t>第一数值列以旧 M 为分母，后两列以主周期协议 M 为分母，不能把列间比值当作精度提升倍数。六种相位约定来自上下交叉及均值、均值±0.5 标准差阈值；已有时间采样抽稀至 0.02 s 时，六项 M 最大变化约 0.782%。这检查导出时序的事件提取与积分稳定性，不等于 CFD 内部时间步收敛。</w:t>
      </w:r>
    </w:p>
    <w:p>
      <w:pPr>
        <w:keepNext/>
        <w:spacing w:before="80" w:after="60"/>
        <w:jc w:val="center"/>
      </w:pPr>
      <w:r>
        <w:drawing>
          <wp:inline xmlns:a="http://schemas.openxmlformats.org/drawingml/2006/main" xmlns:pic="http://schemas.openxmlformats.org/drawingml/2006/picture">
            <wp:extent cx="5976000" cy="2518249"/>
            <wp:docPr id="5" name="Picture 5" descr="图5 周期平均下的标签变化与前后周期组稳定性"/>
            <wp:cNvGraphicFramePr>
              <a:graphicFrameLocks noChangeAspect="1"/>
            </wp:cNvGraphicFramePr>
            <a:graphic>
              <a:graphicData uri="http://schemas.openxmlformats.org/drawingml/2006/picture">
                <pic:pic>
                  <pic:nvPicPr>
                    <pic:cNvPr id="0" name="fig5_cycle_protocol.png"/>
                    <pic:cNvPicPr/>
                  </pic:nvPicPr>
                  <pic:blipFill>
                    <a:blip r:embed="rId14"/>
                    <a:stretch>
                      <a:fillRect/>
                    </a:stretch>
                  </pic:blipFill>
                  <pic:spPr>
                    <a:xfrm>
                      <a:off x="0" y="0"/>
                      <a:ext cx="5976000" cy="2518249"/>
                    </a:xfrm>
                    <a:prstGeom prst="rect"/>
                  </pic:spPr>
                </pic:pic>
              </a:graphicData>
            </a:graphic>
          </wp:inline>
        </w:drawing>
      </w:r>
    </w:p>
    <w:p>
      <w:pPr>
        <w:pStyle w:val="Caption"/>
        <w:jc w:val="center"/>
      </w:pPr>
      <w:r>
        <w:t>图5 周期平均下的标签变化与前后周期组稳定性</w:t>
      </w:r>
    </w:p>
    <w:p>
      <w:pPr>
        <w:jc w:val="both"/>
      </w:pPr>
      <w:r>
        <w:rPr>
          <w:b w:val="0"/>
        </w:rPr>
        <w:t>完整周期结果更适合作为充分发展周期统计目标的候选，但尚未认证真值精度。cx/​u 前后周期组仍有 6.63% 差异，且缺少参数步长与 CFD 网格收敛。基准均场本身也改变了约 u 0.53%、v 8.69%；正式采用时需同步重建基准场、K、M、T，不能只替换 M 标签。若研究目标就是固定有限时窗，则周期平均定义了另一个任务，不能无说明替代。</w:t>
      </w:r>
    </w:p>
    <w:p>
      <w:pPr>
        <w:pStyle w:val="Heading2"/>
      </w:pPr>
      <w:r>
        <w:t>9 3 统计标准误与高阶空间导数的边界</w:t>
      </w:r>
    </w:p>
    <w:p>
      <w:pPr>
        <w:jc w:val="both"/>
      </w:pPr>
      <w:r>
        <w:rPr>
          <w:b w:val="0"/>
        </w:rPr>
        <w:t>时序具有很强的周期相关性。cx 正负算例自相关虽在约 0.09 s 首次过零，在 1–2 s 滞后仍有约 0.998–0.999 的绝对相关峰。统计块长度从 0.25 s 到 2 s 的结果未建立独立块假设；独立正负算例与同步配对假设产生的条件标准误差异很大。因此现有审计没有认证统计标准误或 95% 区间。</w:t>
      </w:r>
    </w:p>
    <w:p>
      <w:pPr>
        <w:jc w:val="both"/>
      </w:pPr>
      <w:r>
        <w:rPr>
          <w:b w:val="0"/>
        </w:rPr>
        <w:t>二阶空间导数也对后处理敏感。去掉四周四个网格点后，相对原连续 np.gradient，5 点局部多项式使 u 值仅变化 0.129%，但 ξ 一阶导数变化 11.20%、ξξ 二阶变化 80.22%；v 对应为 0.426%、6.21%、64.28%。9 点平滑的 ξξ 变化进一步达到 u 92.79%、v 77.63%。</w:t>
      </w:r>
    </w:p>
    <w:p>
      <w:pPr>
        <w:jc w:val="both"/>
      </w:pPr>
      <w:r>
        <w:rPr>
          <w:b w:val="0"/>
        </w:rPr>
        <w:t>同一插值场两向隔点抽稀，原 ξξ 导数变化为 u 86.71%、v 71.86%。某些极小平滑预算样条还出现 FITPACK 失败或异常大的二阶导数。线性插值场通常不具有连续二阶导数，平滑可以降低波动，也会抑制真实细节；这类后处理稳定性不能替代 CFD 网格独立性。上述诊断明确了下一轮 A0 应优先控制的标签与特征问题。[E3]</w:t>
      </w:r>
    </w:p>
    <w:p>
      <w:pPr>
        <w:pStyle w:val="Heading1"/>
      </w:pPr>
      <w:r>
        <w:t>10 P3 通道约束比研究</w:t>
      </w:r>
    </w:p>
    <w:p>
      <w:pPr>
        <w:jc w:val="both"/>
      </w:pPr>
      <w:r>
        <w:rPr>
          <w:b w:val="0"/>
        </w:rPr>
        <w:t>P3 探索 H/​D 改变时，内在响应相对坐标输运的比例是否降低，主指标为核心区 ρ=‖M‖/‖K‖。核心区为 3≤ξ≤5、|η|≤1；当前保存结果主要针对 u 分量。按历史报告实际使用的 80×80 掩码，复核得到：[E1、E10]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2268"/>
        <w:gridCol w:w="2324"/>
        <w:gridCol w:w="2324"/>
      </w:tblGrid>
      <w:tr>
        <w:trPr>
          <w:cantSplit/>
          <w:tblHeader/>
        </w:trPr>
        <w:tc>
          <w:tcPr>
            <w:tcW w:type="dxa" w:w="2494"/>
            <w:vAlign w:val="center"/>
            <w:shd w:fill="DCE6ED"/>
            <w:tcMar>
              <w:top w:w="75" w:type="dxa"/>
              <w:bottom w:w="75" w:type="dxa"/>
              <w:left w:w="100" w:type="dxa"/>
              <w:right w:w="100" w:type="dxa"/>
            </w:tcMar>
          </w:tcPr>
          <w:p>
            <w:pPr>
              <w:keepNext/>
              <w:spacing w:before="0" w:after="0" w:line="269" w:lineRule="auto"/>
              <w:jc w:val="left"/>
            </w:pPr>
            <w:r>
              <w:rPr>
                <w:b/>
                <w:sz w:val="18"/>
              </w:rPr>
              <w:t>半径差分方案</w:t>
            </w:r>
          </w:p>
        </w:tc>
        <w:tc>
          <w:tcPr>
            <w:tcW w:type="dxa" w:w="2268"/>
            <w:vAlign w:val="center"/>
            <w:shd w:fill="DCE6ED"/>
            <w:tcMar>
              <w:top w:w="75" w:type="dxa"/>
              <w:bottom w:w="75" w:type="dxa"/>
              <w:left w:w="100" w:type="dxa"/>
              <w:right w:w="100" w:type="dxa"/>
            </w:tcMar>
          </w:tcPr>
          <w:p>
            <w:pPr>
              <w:keepNext/>
              <w:spacing w:before="0" w:after="0" w:line="269" w:lineRule="auto"/>
              <w:jc w:val="center"/>
            </w:pPr>
            <w:r>
              <w:rPr>
                <w:b/>
                <w:sz w:val="18"/>
              </w:rPr>
              <w:t>ρ 在 H/D=4</w:t>
            </w:r>
          </w:p>
        </w:tc>
        <w:tc>
          <w:tcPr>
            <w:tcW w:type="dxa" w:w="2324"/>
            <w:vAlign w:val="center"/>
            <w:shd w:fill="DCE6ED"/>
            <w:tcMar>
              <w:top w:w="75" w:type="dxa"/>
              <w:bottom w:w="75" w:type="dxa"/>
              <w:left w:w="100" w:type="dxa"/>
              <w:right w:w="100" w:type="dxa"/>
            </w:tcMar>
          </w:tcPr>
          <w:p>
            <w:pPr>
              <w:keepNext/>
              <w:spacing w:before="0" w:after="0" w:line="269" w:lineRule="auto"/>
              <w:jc w:val="center"/>
            </w:pPr>
            <w:r>
              <w:rPr>
                <w:b/>
                <w:sz w:val="18"/>
              </w:rPr>
              <w:t>ρ 在 H/D=8</w:t>
            </w:r>
          </w:p>
        </w:tc>
        <w:tc>
          <w:tcPr>
            <w:tcW w:type="dxa" w:w="2324"/>
            <w:vAlign w:val="center"/>
            <w:shd w:fill="DCE6ED"/>
            <w:tcMar>
              <w:top w:w="75" w:type="dxa"/>
              <w:bottom w:w="75" w:type="dxa"/>
              <w:left w:w="100" w:type="dxa"/>
              <w:right w:w="100" w:type="dxa"/>
            </w:tcMar>
          </w:tcPr>
          <w:p>
            <w:pPr>
              <w:keepNext/>
              <w:spacing w:before="0" w:after="0" w:line="269" w:lineRule="auto"/>
              <w:jc w:val="center"/>
            </w:pPr>
            <w:r>
              <w:rPr>
                <w:b/>
                <w:sz w:val="18"/>
              </w:rPr>
              <w:t>相对变化</w:t>
            </w:r>
          </w:p>
        </w:tc>
      </w:tr>
      <w:tr>
        <w:trPr>
          <w:cantSplit/>
        </w:trPr>
        <w:tc>
          <w:tcPr>
            <w:tcW w:type="dxa" w:w="2494"/>
            <w:vAlign w:val="center"/>
            <w:shd w:fill="FFFFFF"/>
            <w:tcMar>
              <w:top w:w="75" w:type="dxa"/>
              <w:bottom w:w="75" w:type="dxa"/>
              <w:left w:w="100" w:type="dxa"/>
              <w:right w:w="100" w:type="dxa"/>
            </w:tcMar>
          </w:tcPr>
          <w:p>
            <w:pPr>
              <w:keepNext w:val="0"/>
              <w:spacing w:before="0" w:after="0" w:line="269" w:lineRule="auto"/>
              <w:jc w:val="left"/>
            </w:pPr>
            <w:r>
              <w:rPr>
                <w:b w:val="0"/>
                <w:sz w:val="18"/>
              </w:rPr>
              <w:t>±1%R</w:t>
            </w:r>
          </w:p>
        </w:tc>
        <w:tc>
          <w:tcPr>
            <w:tcW w:type="dxa" w:w="2268"/>
            <w:vAlign w:val="center"/>
            <w:shd w:fill="FFFFFF"/>
            <w:tcMar>
              <w:top w:w="75" w:type="dxa"/>
              <w:bottom w:w="75" w:type="dxa"/>
              <w:left w:w="100" w:type="dxa"/>
              <w:right w:w="100" w:type="dxa"/>
            </w:tcMar>
          </w:tcPr>
          <w:p>
            <w:pPr>
              <w:keepNext w:val="0"/>
              <w:spacing w:before="0" w:after="0" w:line="269" w:lineRule="auto"/>
              <w:jc w:val="center"/>
            </w:pPr>
            <w:r>
              <w:rPr>
                <w:b w:val="0"/>
                <w:sz w:val="18"/>
              </w:rPr>
              <w:t>0.9380</w:t>
            </w:r>
          </w:p>
        </w:tc>
        <w:tc>
          <w:tcPr>
            <w:tcW w:type="dxa" w:w="2324"/>
            <w:vAlign w:val="center"/>
            <w:shd w:fill="FFFFFF"/>
            <w:tcMar>
              <w:top w:w="75" w:type="dxa"/>
              <w:bottom w:w="75" w:type="dxa"/>
              <w:left w:w="100" w:type="dxa"/>
              <w:right w:w="100" w:type="dxa"/>
            </w:tcMar>
          </w:tcPr>
          <w:p>
            <w:pPr>
              <w:keepNext w:val="0"/>
              <w:spacing w:before="0" w:after="0" w:line="269" w:lineRule="auto"/>
              <w:jc w:val="center"/>
            </w:pPr>
            <w:r>
              <w:rPr>
                <w:b w:val="0"/>
                <w:sz w:val="18"/>
              </w:rPr>
              <w:t>1.0214</w:t>
            </w:r>
          </w:p>
        </w:tc>
        <w:tc>
          <w:tcPr>
            <w:tcW w:type="dxa" w:w="2324"/>
            <w:vAlign w:val="center"/>
            <w:shd w:fill="FFFFFF"/>
            <w:tcMar>
              <w:top w:w="75" w:type="dxa"/>
              <w:bottom w:w="75" w:type="dxa"/>
              <w:left w:w="100" w:type="dxa"/>
              <w:right w:w="100" w:type="dxa"/>
            </w:tcMar>
          </w:tcPr>
          <w:p>
            <w:pPr>
              <w:keepNext w:val="0"/>
              <w:spacing w:before="0" w:after="0" w:line="269" w:lineRule="auto"/>
              <w:jc w:val="center"/>
            </w:pPr>
            <w:r>
              <w:rPr>
                <w:b w:val="0"/>
                <w:sz w:val="18"/>
              </w:rPr>
              <w:t>+8.9%</w:t>
            </w:r>
          </w:p>
        </w:tc>
      </w:tr>
      <w:tr>
        <w:trPr>
          <w:cantSplit/>
        </w:trPr>
        <w:tc>
          <w:tcPr>
            <w:tcW w:type="dxa" w:w="2494"/>
            <w:vAlign w:val="center"/>
            <w:shd w:fill="F5F7F9"/>
            <w:tcMar>
              <w:top w:w="75" w:type="dxa"/>
              <w:bottom w:w="75" w:type="dxa"/>
              <w:left w:w="100" w:type="dxa"/>
              <w:right w:w="100" w:type="dxa"/>
            </w:tcMar>
          </w:tcPr>
          <w:p>
            <w:pPr>
              <w:keepNext w:val="0"/>
              <w:spacing w:before="0" w:after="0" w:line="269" w:lineRule="auto"/>
              <w:jc w:val="left"/>
            </w:pPr>
            <w:r>
              <w:rPr>
                <w:b w:val="0"/>
                <w:sz w:val="18"/>
              </w:rPr>
              <w:t>±2%R</w:t>
            </w:r>
          </w:p>
        </w:tc>
        <w:tc>
          <w:tcPr>
            <w:tcW w:type="dxa" w:w="2268"/>
            <w:vAlign w:val="center"/>
            <w:shd w:fill="F5F7F9"/>
            <w:tcMar>
              <w:top w:w="75" w:type="dxa"/>
              <w:bottom w:w="75" w:type="dxa"/>
              <w:left w:w="100" w:type="dxa"/>
              <w:right w:w="100" w:type="dxa"/>
            </w:tcMar>
          </w:tcPr>
          <w:p>
            <w:pPr>
              <w:keepNext w:val="0"/>
              <w:spacing w:before="0" w:after="0" w:line="269" w:lineRule="auto"/>
              <w:jc w:val="center"/>
            </w:pPr>
            <w:r>
              <w:rPr>
                <w:b w:val="0"/>
                <w:sz w:val="18"/>
              </w:rPr>
              <w:t>0.3539</w:t>
            </w:r>
          </w:p>
        </w:tc>
        <w:tc>
          <w:tcPr>
            <w:tcW w:type="dxa" w:w="2324"/>
            <w:vAlign w:val="center"/>
            <w:shd w:fill="F5F7F9"/>
            <w:tcMar>
              <w:top w:w="75" w:type="dxa"/>
              <w:bottom w:w="75" w:type="dxa"/>
              <w:left w:w="100" w:type="dxa"/>
              <w:right w:w="100" w:type="dxa"/>
            </w:tcMar>
          </w:tcPr>
          <w:p>
            <w:pPr>
              <w:keepNext w:val="0"/>
              <w:spacing w:before="0" w:after="0" w:line="269" w:lineRule="auto"/>
              <w:jc w:val="center"/>
            </w:pPr>
            <w:r>
              <w:rPr>
                <w:b w:val="0"/>
                <w:sz w:val="18"/>
              </w:rPr>
              <w:t>0.3324</w:t>
            </w:r>
          </w:p>
        </w:tc>
        <w:tc>
          <w:tcPr>
            <w:tcW w:type="dxa" w:w="2324"/>
            <w:vAlign w:val="center"/>
            <w:shd w:fill="F5F7F9"/>
            <w:tcMar>
              <w:top w:w="75" w:type="dxa"/>
              <w:bottom w:w="75" w:type="dxa"/>
              <w:left w:w="100" w:type="dxa"/>
              <w:right w:w="100" w:type="dxa"/>
            </w:tcMar>
          </w:tcPr>
          <w:p>
            <w:pPr>
              <w:keepNext w:val="0"/>
              <w:spacing w:before="0" w:after="0" w:line="269" w:lineRule="auto"/>
              <w:jc w:val="center"/>
            </w:pPr>
            <w:r>
              <w:rPr>
                <w:b w:val="0"/>
                <w:sz w:val="18"/>
              </w:rPr>
              <w:t>−6.1%</w:t>
            </w:r>
          </w:p>
        </w:tc>
      </w:tr>
      <w:tr>
        <w:trPr>
          <w:cantSplit/>
        </w:trPr>
        <w:tc>
          <w:tcPr>
            <w:tcW w:type="dxa" w:w="2494"/>
            <w:vAlign w:val="center"/>
            <w:shd w:fill="FFFFFF"/>
            <w:tcMar>
              <w:top w:w="75" w:type="dxa"/>
              <w:bottom w:w="75" w:type="dxa"/>
              <w:left w:w="100" w:type="dxa"/>
              <w:right w:w="100" w:type="dxa"/>
            </w:tcMar>
          </w:tcPr>
          <w:p>
            <w:pPr>
              <w:keepNext w:val="0"/>
              <w:spacing w:before="0" w:after="0" w:line="269" w:lineRule="auto"/>
              <w:jc w:val="left"/>
            </w:pPr>
            <w:r>
              <w:rPr>
                <w:b w:val="0"/>
                <w:sz w:val="18"/>
              </w:rPr>
              <w:t>五点差分</w:t>
            </w:r>
          </w:p>
        </w:tc>
        <w:tc>
          <w:tcPr>
            <w:tcW w:type="dxa" w:w="2268"/>
            <w:vAlign w:val="center"/>
            <w:shd w:fill="FFFFFF"/>
            <w:tcMar>
              <w:top w:w="75" w:type="dxa"/>
              <w:bottom w:w="75" w:type="dxa"/>
              <w:left w:w="100" w:type="dxa"/>
              <w:right w:w="100" w:type="dxa"/>
            </w:tcMar>
          </w:tcPr>
          <w:p>
            <w:pPr>
              <w:keepNext w:val="0"/>
              <w:spacing w:before="0" w:after="0" w:line="269" w:lineRule="auto"/>
              <w:jc w:val="center"/>
            </w:pPr>
            <w:r>
              <w:rPr>
                <w:b w:val="0"/>
                <w:sz w:val="18"/>
              </w:rPr>
              <w:t>1.2294</w:t>
            </w:r>
          </w:p>
        </w:tc>
        <w:tc>
          <w:tcPr>
            <w:tcW w:type="dxa" w:w="2324"/>
            <w:vAlign w:val="center"/>
            <w:shd w:fill="FFFFFF"/>
            <w:tcMar>
              <w:top w:w="75" w:type="dxa"/>
              <w:bottom w:w="75" w:type="dxa"/>
              <w:left w:w="100" w:type="dxa"/>
              <w:right w:w="100" w:type="dxa"/>
            </w:tcMar>
          </w:tcPr>
          <w:p>
            <w:pPr>
              <w:keepNext w:val="0"/>
              <w:spacing w:before="0" w:after="0" w:line="269" w:lineRule="auto"/>
              <w:jc w:val="center"/>
            </w:pPr>
            <w:r>
              <w:rPr>
                <w:b w:val="0"/>
                <w:sz w:val="18"/>
              </w:rPr>
              <w:t>1.3174</w:t>
            </w:r>
          </w:p>
        </w:tc>
        <w:tc>
          <w:tcPr>
            <w:tcW w:type="dxa" w:w="2324"/>
            <w:vAlign w:val="center"/>
            <w:shd w:fill="FFFFFF"/>
            <w:tcMar>
              <w:top w:w="75" w:type="dxa"/>
              <w:bottom w:w="75" w:type="dxa"/>
              <w:left w:w="100" w:type="dxa"/>
              <w:right w:w="100" w:type="dxa"/>
            </w:tcMar>
          </w:tcPr>
          <w:p>
            <w:pPr>
              <w:keepNext w:val="0"/>
              <w:spacing w:before="0" w:after="0" w:line="269" w:lineRule="auto"/>
              <w:jc w:val="center"/>
            </w:pPr>
            <w:r>
              <w:rPr>
                <w:b w:val="0"/>
                <w:sz w:val="18"/>
              </w:rPr>
              <w:t>+7.2%</w:t>
            </w:r>
          </w:p>
        </w:tc>
      </w:tr>
    </w:tbl>
    <w:p>
      <w:pPr>
        <w:spacing w:after="20" w:before="0" w:line="240" w:lineRule="auto"/>
      </w:pPr>
      <w:r>
        <w:rPr>
          <w:sz w:val="4"/>
        </w:rPr>
      </w:r>
    </w:p>
    <w:p>
      <w:pPr>
        <w:keepNext/>
        <w:spacing w:before="80" w:after="60"/>
        <w:jc w:val="center"/>
      </w:pPr>
      <w:r>
        <w:drawing>
          <wp:inline xmlns:a="http://schemas.openxmlformats.org/drawingml/2006/main" xmlns:pic="http://schemas.openxmlformats.org/drawingml/2006/picture">
            <wp:extent cx="5976000" cy="2382651"/>
            <wp:docPr id="6" name="Picture 6" descr="图6 P3 的方向判断依赖半径差分步长"/>
            <wp:cNvGraphicFramePr>
              <a:graphicFrameLocks noChangeAspect="1"/>
            </wp:cNvGraphicFramePr>
            <a:graphic>
              <a:graphicData uri="http://schemas.openxmlformats.org/drawingml/2006/picture">
                <pic:pic>
                  <pic:nvPicPr>
                    <pic:cNvPr id="0" name="fig6_p3_steps.png"/>
                    <pic:cNvPicPr/>
                  </pic:nvPicPr>
                  <pic:blipFill>
                    <a:blip r:embed="rId15"/>
                    <a:stretch>
                      <a:fillRect/>
                    </a:stretch>
                  </pic:blipFill>
                  <pic:spPr>
                    <a:xfrm>
                      <a:off x="0" y="0"/>
                      <a:ext cx="5976000" cy="2382651"/>
                    </a:xfrm>
                    <a:prstGeom prst="rect"/>
                  </pic:spPr>
                </pic:pic>
              </a:graphicData>
            </a:graphic>
          </wp:inline>
        </w:drawing>
      </w:r>
    </w:p>
    <w:p>
      <w:pPr>
        <w:pStyle w:val="Caption"/>
        <w:jc w:val="center"/>
      </w:pPr>
      <w:r>
        <w:t>图6 P3 的方向判断依赖半径差分步长</w:t>
      </w:r>
    </w:p>
    <w:p>
      <w:pPr>
        <w:jc w:val="both"/>
      </w:pPr>
      <w:r>
        <w:rPr>
          <w:b w:val="0"/>
        </w:rPr>
        <w:t>完整 81×81 核心区的总响应步长差异为 74.94%、77.52%；M 的步长差异为 98.53%、90.59%。留一时间块后，三种差分方案的 Δρ 均可跨零。因此当前结论是数值分辨率下“无结论”，既不能认定物理假设成立，也不能认定被证伪。</w:t>
      </w:r>
    </w:p>
    <w:p>
      <w:pPr>
        <w:jc w:val="both"/>
      </w:pPr>
      <w:r>
        <w:rPr>
          <w:b w:val="0"/>
        </w:rPr>
        <w:t>复核还厘清两个口径。第一，严格浮点边界比较实际生成 80×80 掩码，与包含边界的 81×81 有小幅数值差异。第二，P3 的对称闭合分母为 ‖T‖+‖M‖+‖K‖；±1%R 的闭合 4.90%、7.81%，若改用 ‖T‖ 分母则为 12.90%、21.51%。对称指标通过 10% 门槛并不等于总响应相对误差低于 10%。这些修正提高了结论的可解释性，但尚未建立可靠的 H/​D 物理趋势。</w:t>
      </w:r>
    </w:p>
    <w:p>
      <w:pPr>
        <w:pStyle w:val="Heading1"/>
      </w:pPr>
      <w:r>
        <w:t>11 软件流程与可复现成果</w:t>
      </w:r>
    </w:p>
    <w:p>
      <w:pPr>
        <w:jc w:val="both"/>
      </w:pPr>
      <w:r>
        <w:rPr>
          <w:b w:val="0"/>
        </w:rPr>
        <w:t>2026 年 9 月 8 日的初次结构审计发现了文件接口失配、A/​B 旧结果混入、表达式身份不固定、FD 字段不完整、ψ 散度解释错误及有量纲公式与指标不一致等问题。随后完成的协议修正已由当前源码与 docs/​pipeline_​contracts.md 记录；不应把初次审计所列全部问题仍视为未修复。[E5、E14]</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24"/>
        <w:gridCol w:w="7087"/>
      </w:tblGrid>
      <w:tr>
        <w:trPr>
          <w:cantSplit/>
          <w:tblHeader/>
        </w:trPr>
        <w:tc>
          <w:tcPr>
            <w:tcW w:type="dxa" w:w="2324"/>
            <w:vAlign w:val="center"/>
            <w:shd w:fill="DCE6ED"/>
            <w:tcMar>
              <w:top w:w="75" w:type="dxa"/>
              <w:bottom w:w="75" w:type="dxa"/>
              <w:left w:w="100" w:type="dxa"/>
              <w:right w:w="100" w:type="dxa"/>
            </w:tcMar>
          </w:tcPr>
          <w:p>
            <w:pPr>
              <w:keepNext/>
              <w:spacing w:before="0" w:after="0" w:line="269" w:lineRule="auto"/>
              <w:jc w:val="left"/>
            </w:pPr>
            <w:r>
              <w:rPr>
                <w:b/>
                <w:sz w:val="18"/>
              </w:rPr>
              <w:t>已完成的工程改进</w:t>
            </w:r>
          </w:p>
        </w:tc>
        <w:tc>
          <w:tcPr>
            <w:tcW w:type="dxa" w:w="7087"/>
            <w:vAlign w:val="center"/>
            <w:shd w:fill="DCE6ED"/>
            <w:tcMar>
              <w:top w:w="75" w:type="dxa"/>
              <w:bottom w:w="75" w:type="dxa"/>
              <w:left w:w="100" w:type="dxa"/>
              <w:right w:w="100" w:type="dxa"/>
            </w:tcMar>
          </w:tcPr>
          <w:p>
            <w:pPr>
              <w:keepNext/>
              <w:spacing w:before="0" w:after="0" w:line="269" w:lineRule="auto"/>
              <w:jc w:val="center"/>
            </w:pPr>
            <w:r>
              <w:rPr>
                <w:b/>
                <w:sz w:val="18"/>
              </w:rPr>
              <w:t>对研究可靠性的作用</w:t>
            </w:r>
          </w:p>
        </w:tc>
      </w:tr>
      <w:tr>
        <w:trPr>
          <w:cantSplit/>
        </w:trPr>
        <w:tc>
          <w:tcPr>
            <w:tcW w:type="dxa" w:w="2324"/>
            <w:vAlign w:val="center"/>
            <w:shd w:fill="FFFFFF"/>
            <w:tcMar>
              <w:top w:w="75" w:type="dxa"/>
              <w:bottom w:w="75" w:type="dxa"/>
              <w:left w:w="100" w:type="dxa"/>
              <w:right w:w="100" w:type="dxa"/>
            </w:tcMar>
          </w:tcPr>
          <w:p>
            <w:pPr>
              <w:keepNext w:val="0"/>
              <w:spacing w:before="0" w:after="0" w:line="269" w:lineRule="auto"/>
              <w:jc w:val="left"/>
            </w:pPr>
            <w:r>
              <w:rPr>
                <w:b w:val="0"/>
                <w:sz w:val="18"/>
              </w:rPr>
              <w:t>数据快照与 data_manifest</w:t>
            </w:r>
          </w:p>
        </w:tc>
        <w:tc>
          <w:tcPr>
            <w:tcW w:type="dxa" w:w="7087"/>
            <w:vAlign w:val="center"/>
            <w:shd w:fill="FFFFFF"/>
            <w:tcMar>
              <w:top w:w="75" w:type="dxa"/>
              <w:bottom w:w="75" w:type="dxa"/>
              <w:left w:w="100" w:type="dxa"/>
              <w:right w:w="100" w:type="dxa"/>
            </w:tcMar>
          </w:tcPr>
          <w:p>
            <w:pPr>
              <w:keepNext w:val="0"/>
              <w:spacing w:before="0" w:after="0" w:line="269" w:lineRule="auto"/>
              <w:jc w:val="center"/>
            </w:pPr>
            <w:r>
              <w:rPr>
                <w:b w:val="0"/>
                <w:sz w:val="18"/>
              </w:rPr>
              <w:t>核对规则网格、目标、归一化及来源指纹</w:t>
            </w:r>
          </w:p>
        </w:tc>
      </w:tr>
      <w:tr>
        <w:trPr>
          <w:cantSplit/>
        </w:trPr>
        <w:tc>
          <w:tcPr>
            <w:tcW w:type="dxa" w:w="2324"/>
            <w:vAlign w:val="center"/>
            <w:shd w:fill="F5F7F9"/>
            <w:tcMar>
              <w:top w:w="75" w:type="dxa"/>
              <w:bottom w:w="75" w:type="dxa"/>
              <w:left w:w="100" w:type="dxa"/>
              <w:right w:w="100" w:type="dxa"/>
            </w:tcMar>
          </w:tcPr>
          <w:p>
            <w:pPr>
              <w:keepNext w:val="0"/>
              <w:spacing w:before="0" w:after="0" w:line="269" w:lineRule="auto"/>
              <w:jc w:val="left"/>
            </w:pPr>
            <w:r>
              <w:rPr>
                <w:b w:val="0"/>
                <w:sz w:val="18"/>
              </w:rPr>
              <w:t>runs 与 current_run</w:t>
            </w:r>
          </w:p>
        </w:tc>
        <w:tc>
          <w:tcPr>
            <w:tcW w:type="dxa" w:w="7087"/>
            <w:vAlign w:val="center"/>
            <w:shd w:fill="F5F7F9"/>
            <w:tcMar>
              <w:top w:w="75" w:type="dxa"/>
              <w:bottom w:w="75" w:type="dxa"/>
              <w:left w:w="100" w:type="dxa"/>
              <w:right w:w="100" w:type="dxa"/>
            </w:tcMar>
          </w:tcPr>
          <w:p>
            <w:pPr>
              <w:keepNext w:val="0"/>
              <w:spacing w:before="0" w:after="0" w:line="269" w:lineRule="auto"/>
              <w:jc w:val="center"/>
            </w:pPr>
            <w:r>
              <w:rPr>
                <w:b w:val="0"/>
                <w:sz w:val="18"/>
              </w:rPr>
              <w:t>每次搜索独立保存，仅成功运行更新当前指针</w:t>
            </w:r>
          </w:p>
        </w:tc>
      </w:tr>
      <w:tr>
        <w:trPr>
          <w:cantSplit/>
        </w:trPr>
        <w:tc>
          <w:tcPr>
            <w:tcW w:type="dxa" w:w="2324"/>
            <w:vAlign w:val="center"/>
            <w:shd w:fill="FFFFFF"/>
            <w:tcMar>
              <w:top w:w="75" w:type="dxa"/>
              <w:bottom w:w="75" w:type="dxa"/>
              <w:left w:w="100" w:type="dxa"/>
              <w:right w:w="100" w:type="dxa"/>
            </w:tcMar>
          </w:tcPr>
          <w:p>
            <w:pPr>
              <w:keepNext w:val="0"/>
              <w:spacing w:before="0" w:after="0" w:line="269" w:lineRule="auto"/>
              <w:jc w:val="left"/>
            </w:pPr>
            <w:r>
              <w:rPr>
                <w:b w:val="0"/>
                <w:sz w:val="18"/>
              </w:rPr>
              <w:t>selected_models</w:t>
            </w:r>
          </w:p>
        </w:tc>
        <w:tc>
          <w:tcPr>
            <w:tcW w:type="dxa" w:w="7087"/>
            <w:vAlign w:val="center"/>
            <w:shd w:fill="FFFFFF"/>
            <w:tcMar>
              <w:top w:w="75" w:type="dxa"/>
              <w:bottom w:w="75" w:type="dxa"/>
              <w:left w:w="100" w:type="dxa"/>
              <w:right w:w="100" w:type="dxa"/>
            </w:tcMar>
          </w:tcPr>
          <w:p>
            <w:pPr>
              <w:keepNext w:val="0"/>
              <w:spacing w:before="0" w:after="0" w:line="269" w:lineRule="auto"/>
              <w:jc w:val="center"/>
            </w:pPr>
            <w:r>
              <w:rPr>
                <w:b w:val="0"/>
                <w:sz w:val="18"/>
              </w:rPr>
              <w:t>固定表达式、选择准则、候选索引与指纹</w:t>
            </w:r>
          </w:p>
        </w:tc>
      </w:tr>
      <w:tr>
        <w:trPr>
          <w:cantSplit/>
        </w:trPr>
        <w:tc>
          <w:tcPr>
            <w:tcW w:type="dxa" w:w="2324"/>
            <w:vAlign w:val="center"/>
            <w:shd w:fill="F5F7F9"/>
            <w:tcMar>
              <w:top w:w="75" w:type="dxa"/>
              <w:bottom w:w="75" w:type="dxa"/>
              <w:left w:w="100" w:type="dxa"/>
              <w:right w:w="100" w:type="dxa"/>
            </w:tcMar>
          </w:tcPr>
          <w:p>
            <w:pPr>
              <w:keepNext w:val="0"/>
              <w:spacing w:before="0" w:after="0" w:line="269" w:lineRule="auto"/>
              <w:jc w:val="left"/>
            </w:pPr>
            <w:r>
              <w:rPr>
                <w:b w:val="0"/>
                <w:sz w:val="18"/>
              </w:rPr>
              <w:t>FD v2 与目标身份</w:t>
            </w:r>
          </w:p>
        </w:tc>
        <w:tc>
          <w:tcPr>
            <w:tcW w:type="dxa" w:w="7087"/>
            <w:vAlign w:val="center"/>
            <w:shd w:fill="F5F7F9"/>
            <w:tcMar>
              <w:top w:w="75" w:type="dxa"/>
              <w:bottom w:w="75" w:type="dxa"/>
              <w:left w:w="100" w:type="dxa"/>
              <w:right w:w="100" w:type="dxa"/>
            </w:tcMar>
          </w:tcPr>
          <w:p>
            <w:pPr>
              <w:keepNext w:val="0"/>
              <w:spacing w:before="0" w:after="0" w:line="269" w:lineRule="auto"/>
              <w:jc w:val="left"/>
            </w:pPr>
            <w:r>
              <w:rPr>
                <w:b w:val="0"/>
                <w:sz w:val="18"/>
              </w:rPr>
              <w:t>补齐扰动字段，关联基准、步长、平均窗口和目标版本</w:t>
            </w:r>
          </w:p>
        </w:tc>
      </w:tr>
      <w:tr>
        <w:trPr>
          <w:cantSplit/>
        </w:trPr>
        <w:tc>
          <w:tcPr>
            <w:tcW w:type="dxa" w:w="2324"/>
            <w:vAlign w:val="center"/>
            <w:shd w:fill="FFFFFF"/>
            <w:tcMar>
              <w:top w:w="75" w:type="dxa"/>
              <w:bottom w:w="75" w:type="dxa"/>
              <w:left w:w="100" w:type="dxa"/>
              <w:right w:w="100" w:type="dxa"/>
            </w:tcMar>
          </w:tcPr>
          <w:p>
            <w:pPr>
              <w:keepNext w:val="0"/>
              <w:spacing w:before="0" w:after="0" w:line="269" w:lineRule="auto"/>
              <w:jc w:val="left"/>
            </w:pPr>
            <w:r>
              <w:rPr>
                <w:b w:val="0"/>
                <w:sz w:val="18"/>
              </w:rPr>
              <w:t>ψ 散度与混合残差分开</w:t>
            </w:r>
          </w:p>
        </w:tc>
        <w:tc>
          <w:tcPr>
            <w:tcW w:type="dxa" w:w="7087"/>
            <w:vAlign w:val="center"/>
            <w:shd w:fill="FFFFFF"/>
            <w:tcMar>
              <w:top w:w="75" w:type="dxa"/>
              <w:bottom w:w="75" w:type="dxa"/>
              <w:left w:w="100" w:type="dxa"/>
              <w:right w:w="100" w:type="dxa"/>
            </w:tcMar>
          </w:tcPr>
          <w:p>
            <w:pPr>
              <w:keepNext w:val="0"/>
              <w:spacing w:before="0" w:after="0" w:line="269" w:lineRule="auto"/>
              <w:jc w:val="center"/>
            </w:pPr>
            <w:r>
              <w:rPr>
                <w:b w:val="0"/>
                <w:sz w:val="18"/>
              </w:rPr>
              <w:t>区分模型结构约束和模型与数据的混合残差</w:t>
            </w:r>
          </w:p>
        </w:tc>
      </w:tr>
      <w:tr>
        <w:trPr>
          <w:cantSplit/>
        </w:trPr>
        <w:tc>
          <w:tcPr>
            <w:tcW w:type="dxa" w:w="2324"/>
            <w:vAlign w:val="center"/>
            <w:shd w:fill="F5F7F9"/>
            <w:tcMar>
              <w:top w:w="75" w:type="dxa"/>
              <w:bottom w:w="75" w:type="dxa"/>
              <w:left w:w="100" w:type="dxa"/>
              <w:right w:w="100" w:type="dxa"/>
            </w:tcMar>
          </w:tcPr>
          <w:p>
            <w:pPr>
              <w:keepNext w:val="0"/>
              <w:spacing w:before="0" w:after="0" w:line="269" w:lineRule="auto"/>
              <w:jc w:val="left"/>
            </w:pPr>
            <w:r>
              <w:rPr>
                <w:b w:val="0"/>
                <w:sz w:val="18"/>
              </w:rPr>
              <w:t>Step 4 明确输出 K</w:t>
            </w:r>
          </w:p>
        </w:tc>
        <w:tc>
          <w:tcPr>
            <w:tcW w:type="dxa" w:w="7087"/>
            <w:vAlign w:val="center"/>
            <w:shd w:fill="F5F7F9"/>
            <w:tcMar>
              <w:top w:w="75" w:type="dxa"/>
              <w:bottom w:w="75" w:type="dxa"/>
              <w:left w:w="100" w:type="dxa"/>
              <w:right w:w="100" w:type="dxa"/>
            </w:tcMar>
          </w:tcPr>
          <w:p>
            <w:pPr>
              <w:keepNext w:val="0"/>
              <w:spacing w:before="0" w:after="0" w:line="269" w:lineRule="auto"/>
              <w:jc w:val="left"/>
            </w:pPr>
            <w:r>
              <w:rPr>
                <w:b w:val="0"/>
                <w:sz w:val="18"/>
              </w:rPr>
              <w:t>修正把坐标输运当作完整 T 及中心线必为零的解释</w:t>
            </w:r>
          </w:p>
        </w:tc>
      </w:tr>
      <w:tr>
        <w:trPr>
          <w:cantSplit/>
        </w:trPr>
        <w:tc>
          <w:tcPr>
            <w:tcW w:type="dxa" w:w="2324"/>
            <w:vAlign w:val="center"/>
            <w:shd w:fill="FFFFFF"/>
            <w:tcMar>
              <w:top w:w="75" w:type="dxa"/>
              <w:bottom w:w="75" w:type="dxa"/>
              <w:left w:w="100" w:type="dxa"/>
              <w:right w:w="100" w:type="dxa"/>
            </w:tcMar>
          </w:tcPr>
          <w:p>
            <w:pPr>
              <w:keepNext w:val="0"/>
              <w:spacing w:before="0" w:after="0" w:line="269" w:lineRule="auto"/>
              <w:jc w:val="left"/>
            </w:pPr>
            <w:r>
              <w:rPr>
                <w:b w:val="0"/>
                <w:sz w:val="18"/>
              </w:rPr>
              <w:t>Step 6 当前目标重算</w:t>
            </w:r>
          </w:p>
        </w:tc>
        <w:tc>
          <w:tcPr>
            <w:tcW w:type="dxa" w:w="7087"/>
            <w:vAlign w:val="center"/>
            <w:shd w:fill="FFFFFF"/>
            <w:tcMar>
              <w:top w:w="75" w:type="dxa"/>
              <w:bottom w:w="75" w:type="dxa"/>
              <w:left w:w="100" w:type="dxa"/>
              <w:right w:w="100" w:type="dxa"/>
            </w:tcMar>
          </w:tcPr>
          <w:p>
            <w:pPr>
              <w:keepNext w:val="0"/>
              <w:spacing w:before="0" w:after="0" w:line="269" w:lineRule="auto"/>
              <w:jc w:val="center"/>
            </w:pPr>
            <w:r>
              <w:rPr>
                <w:b w:val="0"/>
                <w:sz w:val="18"/>
              </w:rPr>
              <w:t>统一表达式、归一化和有量纲评价</w:t>
            </w:r>
          </w:p>
        </w:tc>
      </w:tr>
      <w:tr>
        <w:trPr>
          <w:cantSplit/>
        </w:trPr>
        <w:tc>
          <w:tcPr>
            <w:tcW w:type="dxa" w:w="2324"/>
            <w:vAlign w:val="center"/>
            <w:shd w:fill="F5F7F9"/>
            <w:tcMar>
              <w:top w:w="75" w:type="dxa"/>
              <w:bottom w:w="75" w:type="dxa"/>
              <w:left w:w="100" w:type="dxa"/>
              <w:right w:w="100" w:type="dxa"/>
            </w:tcMar>
          </w:tcPr>
          <w:p>
            <w:pPr>
              <w:keepNext w:val="0"/>
              <w:spacing w:before="0" w:after="0" w:line="269" w:lineRule="auto"/>
              <w:jc w:val="left"/>
            </w:pPr>
            <w:r>
              <w:rPr>
                <w:b w:val="0"/>
                <w:sz w:val="18"/>
              </w:rPr>
              <w:t>P1 与 P2 协议修正</w:t>
            </w:r>
          </w:p>
        </w:tc>
        <w:tc>
          <w:tcPr>
            <w:tcW w:type="dxa" w:w="7087"/>
            <w:vAlign w:val="center"/>
            <w:shd w:fill="F5F7F9"/>
            <w:tcMar>
              <w:top w:w="75" w:type="dxa"/>
              <w:bottom w:w="75" w:type="dxa"/>
              <w:left w:w="100" w:type="dxa"/>
              <w:right w:w="100" w:type="dxa"/>
            </w:tcMar>
          </w:tcPr>
          <w:p>
            <w:pPr>
              <w:keepNext w:val="0"/>
              <w:spacing w:before="0" w:after="0" w:line="269" w:lineRule="auto"/>
              <w:jc w:val="center"/>
            </w:pPr>
            <w:r>
              <w:rPr>
                <w:b w:val="0"/>
                <w:sz w:val="18"/>
              </w:rPr>
              <w:t>各预算全域均匀采样；训练、选式、测试分离</w:t>
            </w:r>
          </w:p>
        </w:tc>
      </w:tr>
      <w:tr>
        <w:trPr>
          <w:cantSplit/>
        </w:trPr>
        <w:tc>
          <w:tcPr>
            <w:tcW w:type="dxa" w:w="2324"/>
            <w:vAlign w:val="center"/>
            <w:shd w:fill="FFFFFF"/>
            <w:tcMar>
              <w:top w:w="75" w:type="dxa"/>
              <w:bottom w:w="75" w:type="dxa"/>
              <w:left w:w="100" w:type="dxa"/>
              <w:right w:w="100" w:type="dxa"/>
            </w:tcMar>
          </w:tcPr>
          <w:p>
            <w:pPr>
              <w:keepNext w:val="0"/>
              <w:spacing w:before="0" w:after="0" w:line="269" w:lineRule="auto"/>
              <w:jc w:val="left"/>
            </w:pPr>
            <w:r>
              <w:rPr>
                <w:b w:val="0"/>
                <w:sz w:val="18"/>
              </w:rPr>
              <w:t>合成回归测试</w:t>
            </w:r>
          </w:p>
        </w:tc>
        <w:tc>
          <w:tcPr>
            <w:tcW w:type="dxa" w:w="7087"/>
            <w:vAlign w:val="center"/>
            <w:shd w:fill="FFFFFF"/>
            <w:tcMar>
              <w:top w:w="75" w:type="dxa"/>
              <w:bottom w:w="75" w:type="dxa"/>
              <w:left w:w="100" w:type="dxa"/>
              <w:right w:w="100" w:type="dxa"/>
            </w:tcMar>
          </w:tcPr>
          <w:p>
            <w:pPr>
              <w:keepNext w:val="0"/>
              <w:spacing w:before="0" w:after="0" w:line="269" w:lineRule="auto"/>
              <w:jc w:val="left"/>
            </w:pPr>
            <w:r>
              <w:rPr>
                <w:b w:val="0"/>
                <w:sz w:val="18"/>
              </w:rPr>
              <w:t>覆盖单策略、失败发布、指纹、坐标算子及七算例文件链</w:t>
            </w:r>
          </w:p>
        </w:tc>
      </w:tr>
    </w:tbl>
    <w:p>
      <w:pPr>
        <w:spacing w:after="20" w:before="0" w:line="240" w:lineRule="auto"/>
      </w:pPr>
      <w:r>
        <w:rPr>
          <w:sz w:val="4"/>
        </w:rPr>
      </w:r>
    </w:p>
    <w:p>
      <w:pPr>
        <w:jc w:val="both"/>
      </w:pPr>
      <w:r>
        <w:rPr>
          <w:b w:val="0"/>
        </w:rPr>
        <w:t>合成测试替代了符号搜索环节，验证的是实现契约，不代表真实 CFD 重训已经通过。无来源信息的旧存档即使可读取，也只能保留为历史快照；补写当前清单不能追溯证明历史训练身份。</w:t>
      </w:r>
    </w:p>
    <w:p>
      <w:pPr>
        <w:jc w:val="both"/>
      </w:pPr>
      <w:r>
        <w:rPr>
          <w:b w:val="0"/>
        </w:rPr>
        <w:t>尚待完成的复现工作包括：在密集网格重训 ψ 和 φ，并生成一致 FD v2 结果；将 MLP 独有训练与聚合代码从隐藏工作树纳入主代码；恢复 P3 的完整生产入口；补充环境锁定、物性、求解设置和 CFD 网格认证。旧汇报 PPT、Word 和若干静态报告包含修正前数字，使用时应以本报告指向的复核证据为准。</w:t>
      </w:r>
    </w:p>
    <w:p>
      <w:pPr>
        <w:pStyle w:val="Heading1"/>
      </w:pPr>
      <w:r>
        <w:t>12 参数重要性排序的初查与数学条件</w:t>
      </w:r>
    </w:p>
    <w:p>
      <w:pPr>
        <w:pStyle w:val="Heading2"/>
      </w:pPr>
      <w:r>
        <w:t>12 1 全域排序的探索性结果</w:t>
      </w:r>
    </w:p>
    <w:p>
      <w:pPr>
        <w:jc w:val="both"/>
      </w:pPr>
      <w:r>
        <w:rPr>
          <w:b w:val="0"/>
        </w:rPr>
        <w:t>2026 年 9 月 20 日的新增初查把任务从精确恢复敏感度幅值收窄为参数重要性排序。采用历史 4–8 s 平均、33×64 全域等权网格，分数定义为允许参数变化尺度乘以 u/​v 总响应的向量 RMS。示例给 R、cx、cy 都取 0.001 m 的比较尺度；这是统一的一阶影响尺度，不是已确认的设计公差，也不同于原 FD 的差分步长。[E16]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2268"/>
        <w:gridCol w:w="2324"/>
        <w:gridCol w:w="2324"/>
      </w:tblGrid>
      <w:tr>
        <w:trPr>
          <w:cantSplit/>
          <w:tblHeader/>
        </w:trPr>
        <w:tc>
          <w:tcPr>
            <w:tcW w:type="dxa" w:w="2494"/>
            <w:vAlign w:val="center"/>
            <w:shd w:fill="DCE6ED"/>
            <w:tcMar>
              <w:top w:w="75" w:type="dxa"/>
              <w:bottom w:w="75" w:type="dxa"/>
              <w:left w:w="100" w:type="dxa"/>
              <w:right w:w="100" w:type="dxa"/>
            </w:tcMar>
          </w:tcPr>
          <w:p>
            <w:pPr>
              <w:keepNext/>
              <w:spacing w:before="0" w:after="0" w:line="269" w:lineRule="auto"/>
              <w:jc w:val="left"/>
            </w:pPr>
            <w:r>
              <w:rPr>
                <w:b/>
                <w:sz w:val="18"/>
              </w:rPr>
              <w:t>参数</w:t>
            </w:r>
          </w:p>
        </w:tc>
        <w:tc>
          <w:tcPr>
            <w:tcW w:type="dxa" w:w="2268"/>
            <w:vAlign w:val="center"/>
            <w:shd w:fill="DCE6ED"/>
            <w:tcMar>
              <w:top w:w="75" w:type="dxa"/>
              <w:bottom w:w="75" w:type="dxa"/>
              <w:left w:w="100" w:type="dxa"/>
              <w:right w:w="100" w:type="dxa"/>
            </w:tcMar>
          </w:tcPr>
          <w:p>
            <w:pPr>
              <w:keepNext/>
              <w:spacing w:before="0" w:after="0" w:line="269" w:lineRule="auto"/>
              <w:jc w:val="center"/>
            </w:pPr>
            <w:r>
              <w:rPr>
                <w:b/>
                <w:sz w:val="18"/>
              </w:rPr>
              <w:t>FD 总响应分数</w:t>
            </w:r>
          </w:p>
        </w:tc>
        <w:tc>
          <w:tcPr>
            <w:tcW w:type="dxa" w:w="2324"/>
            <w:vAlign w:val="center"/>
            <w:shd w:fill="DCE6ED"/>
            <w:tcMar>
              <w:top w:w="75" w:type="dxa"/>
              <w:bottom w:w="75" w:type="dxa"/>
              <w:left w:w="100" w:type="dxa"/>
              <w:right w:w="100" w:type="dxa"/>
            </w:tcMar>
          </w:tcPr>
          <w:p>
            <w:pPr>
              <w:keepNext/>
              <w:spacing w:before="0" w:after="0" w:line="269" w:lineRule="auto"/>
              <w:jc w:val="center"/>
            </w:pPr>
            <w:r>
              <w:rPr>
                <w:b/>
                <w:sz w:val="18"/>
              </w:rPr>
              <w:t>基准数据 K 分数</w:t>
            </w:r>
          </w:p>
        </w:tc>
        <w:tc>
          <w:tcPr>
            <w:tcW w:type="dxa" w:w="2324"/>
            <w:vAlign w:val="center"/>
            <w:shd w:fill="DCE6ED"/>
            <w:tcMar>
              <w:top w:w="75" w:type="dxa"/>
              <w:bottom w:w="75" w:type="dxa"/>
              <w:left w:w="100" w:type="dxa"/>
              <w:right w:w="100" w:type="dxa"/>
            </w:tcMar>
          </w:tcPr>
          <w:p>
            <w:pPr>
              <w:keepNext/>
              <w:spacing w:before="0" w:after="0" w:line="269" w:lineRule="auto"/>
              <w:jc w:val="center"/>
            </w:pPr>
            <w:r>
              <w:rPr>
                <w:b/>
                <w:sz w:val="18"/>
              </w:rPr>
              <w:t>历史符号 ψ 的 K 分数</w:t>
            </w:r>
          </w:p>
        </w:tc>
      </w:tr>
      <w:tr>
        <w:trPr>
          <w:cantSplit/>
        </w:trPr>
        <w:tc>
          <w:tcPr>
            <w:tcW w:type="dxa" w:w="2494"/>
            <w:vAlign w:val="center"/>
            <w:shd w:fill="FFFFFF"/>
            <w:tcMar>
              <w:top w:w="75" w:type="dxa"/>
              <w:bottom w:w="75" w:type="dxa"/>
              <w:left w:w="100" w:type="dxa"/>
              <w:right w:w="100" w:type="dxa"/>
            </w:tcMar>
          </w:tcPr>
          <w:p>
            <w:pPr>
              <w:keepNext w:val="0"/>
              <w:spacing w:before="0" w:after="0" w:line="269" w:lineRule="auto"/>
              <w:jc w:val="left"/>
            </w:pPr>
            <w:r>
              <w:rPr>
                <w:b w:val="0"/>
                <w:sz w:val="18"/>
              </w:rPr>
              <w:t>R</w:t>
            </w:r>
          </w:p>
        </w:tc>
        <w:tc>
          <w:tcPr>
            <w:tcW w:type="dxa" w:w="2268"/>
            <w:vAlign w:val="center"/>
            <w:shd w:fill="FFFFFF"/>
            <w:tcMar>
              <w:top w:w="75" w:type="dxa"/>
              <w:bottom w:w="75" w:type="dxa"/>
              <w:left w:w="100" w:type="dxa"/>
              <w:right w:w="100" w:type="dxa"/>
            </w:tcMar>
          </w:tcPr>
          <w:p>
            <w:pPr>
              <w:keepNext w:val="0"/>
              <w:spacing w:before="0" w:after="0" w:line="269" w:lineRule="auto"/>
              <w:jc w:val="center"/>
            </w:pPr>
            <w:r>
              <w:rPr>
                <w:b w:val="0"/>
                <w:sz w:val="18"/>
              </w:rPr>
              <w:t>0.0195741</w:t>
            </w:r>
          </w:p>
        </w:tc>
        <w:tc>
          <w:tcPr>
            <w:tcW w:type="dxa" w:w="2324"/>
            <w:vAlign w:val="center"/>
            <w:shd w:fill="FFFFFF"/>
            <w:tcMar>
              <w:top w:w="75" w:type="dxa"/>
              <w:bottom w:w="75" w:type="dxa"/>
              <w:left w:w="100" w:type="dxa"/>
              <w:right w:w="100" w:type="dxa"/>
            </w:tcMar>
          </w:tcPr>
          <w:p>
            <w:pPr>
              <w:keepNext w:val="0"/>
              <w:spacing w:before="0" w:after="0" w:line="269" w:lineRule="auto"/>
              <w:jc w:val="center"/>
            </w:pPr>
            <w:r>
              <w:rPr>
                <w:b w:val="0"/>
                <w:sz w:val="18"/>
              </w:rPr>
              <w:t>0.0483458</w:t>
            </w:r>
          </w:p>
        </w:tc>
        <w:tc>
          <w:tcPr>
            <w:tcW w:type="dxa" w:w="2324"/>
            <w:vAlign w:val="center"/>
            <w:shd w:fill="FFFFFF"/>
            <w:tcMar>
              <w:top w:w="75" w:type="dxa"/>
              <w:bottom w:w="75" w:type="dxa"/>
              <w:left w:w="100" w:type="dxa"/>
              <w:right w:w="100" w:type="dxa"/>
            </w:tcMar>
          </w:tcPr>
          <w:p>
            <w:pPr>
              <w:keepNext w:val="0"/>
              <w:spacing w:before="0" w:after="0" w:line="269" w:lineRule="auto"/>
              <w:jc w:val="center"/>
            </w:pPr>
            <w:r>
              <w:rPr>
                <w:b w:val="0"/>
                <w:sz w:val="18"/>
              </w:rPr>
              <w:t>0.0508084</w:t>
            </w:r>
          </w:p>
        </w:tc>
      </w:tr>
      <w:tr>
        <w:trPr>
          <w:cantSplit/>
        </w:trPr>
        <w:tc>
          <w:tcPr>
            <w:tcW w:type="dxa" w:w="2494"/>
            <w:vAlign w:val="center"/>
            <w:shd w:fill="F5F7F9"/>
            <w:tcMar>
              <w:top w:w="75" w:type="dxa"/>
              <w:bottom w:w="75" w:type="dxa"/>
              <w:left w:w="100" w:type="dxa"/>
              <w:right w:w="100" w:type="dxa"/>
            </w:tcMar>
          </w:tcPr>
          <w:p>
            <w:pPr>
              <w:keepNext w:val="0"/>
              <w:spacing w:before="0" w:after="0" w:line="269" w:lineRule="auto"/>
              <w:jc w:val="left"/>
            </w:pPr>
            <w:r>
              <w:rPr>
                <w:b w:val="0"/>
                <w:sz w:val="18"/>
              </w:rPr>
              <w:t>cy</w:t>
            </w:r>
          </w:p>
        </w:tc>
        <w:tc>
          <w:tcPr>
            <w:tcW w:type="dxa" w:w="2268"/>
            <w:vAlign w:val="center"/>
            <w:shd w:fill="F5F7F9"/>
            <w:tcMar>
              <w:top w:w="75" w:type="dxa"/>
              <w:bottom w:w="75" w:type="dxa"/>
              <w:left w:w="100" w:type="dxa"/>
              <w:right w:w="100" w:type="dxa"/>
            </w:tcMar>
          </w:tcPr>
          <w:p>
            <w:pPr>
              <w:keepNext w:val="0"/>
              <w:spacing w:before="0" w:after="0" w:line="269" w:lineRule="auto"/>
              <w:jc w:val="center"/>
            </w:pPr>
            <w:r>
              <w:rPr>
                <w:b w:val="0"/>
                <w:sz w:val="18"/>
              </w:rPr>
              <w:t>0.0057220</w:t>
            </w:r>
          </w:p>
        </w:tc>
        <w:tc>
          <w:tcPr>
            <w:tcW w:type="dxa" w:w="2324"/>
            <w:vAlign w:val="center"/>
            <w:shd w:fill="F5F7F9"/>
            <w:tcMar>
              <w:top w:w="75" w:type="dxa"/>
              <w:bottom w:w="75" w:type="dxa"/>
              <w:left w:w="100" w:type="dxa"/>
              <w:right w:w="100" w:type="dxa"/>
            </w:tcMar>
          </w:tcPr>
          <w:p>
            <w:pPr>
              <w:keepNext w:val="0"/>
              <w:spacing w:before="0" w:after="0" w:line="269" w:lineRule="auto"/>
              <w:jc w:val="center"/>
            </w:pPr>
            <w:r>
              <w:rPr>
                <w:b w:val="0"/>
                <w:sz w:val="18"/>
              </w:rPr>
              <w:t>0.0129726</w:t>
            </w:r>
          </w:p>
        </w:tc>
        <w:tc>
          <w:tcPr>
            <w:tcW w:type="dxa" w:w="2324"/>
            <w:vAlign w:val="center"/>
            <w:shd w:fill="F5F7F9"/>
            <w:tcMar>
              <w:top w:w="75" w:type="dxa"/>
              <w:bottom w:w="75" w:type="dxa"/>
              <w:left w:w="100" w:type="dxa"/>
              <w:right w:w="100" w:type="dxa"/>
            </w:tcMar>
          </w:tcPr>
          <w:p>
            <w:pPr>
              <w:keepNext w:val="0"/>
              <w:spacing w:before="0" w:after="0" w:line="269" w:lineRule="auto"/>
              <w:jc w:val="center"/>
            </w:pPr>
            <w:r>
              <w:rPr>
                <w:b w:val="0"/>
                <w:sz w:val="18"/>
              </w:rPr>
              <w:t>0.0138653</w:t>
            </w:r>
          </w:p>
        </w:tc>
      </w:tr>
      <w:tr>
        <w:trPr>
          <w:cantSplit/>
        </w:trPr>
        <w:tc>
          <w:tcPr>
            <w:tcW w:type="dxa" w:w="2494"/>
            <w:vAlign w:val="center"/>
            <w:shd w:fill="FFFFFF"/>
            <w:tcMar>
              <w:top w:w="75" w:type="dxa"/>
              <w:bottom w:w="75" w:type="dxa"/>
              <w:left w:w="100" w:type="dxa"/>
              <w:right w:w="100" w:type="dxa"/>
            </w:tcMar>
          </w:tcPr>
          <w:p>
            <w:pPr>
              <w:keepNext w:val="0"/>
              <w:spacing w:before="0" w:after="0" w:line="269" w:lineRule="auto"/>
              <w:jc w:val="left"/>
            </w:pPr>
            <w:r>
              <w:rPr>
                <w:b w:val="0"/>
                <w:sz w:val="18"/>
              </w:rPr>
              <w:t>cx</w:t>
            </w:r>
          </w:p>
        </w:tc>
        <w:tc>
          <w:tcPr>
            <w:tcW w:type="dxa" w:w="2268"/>
            <w:vAlign w:val="center"/>
            <w:shd w:fill="FFFFFF"/>
            <w:tcMar>
              <w:top w:w="75" w:type="dxa"/>
              <w:bottom w:w="75" w:type="dxa"/>
              <w:left w:w="100" w:type="dxa"/>
              <w:right w:w="100" w:type="dxa"/>
            </w:tcMar>
          </w:tcPr>
          <w:p>
            <w:pPr>
              <w:keepNext w:val="0"/>
              <w:spacing w:before="0" w:after="0" w:line="269" w:lineRule="auto"/>
              <w:jc w:val="center"/>
            </w:pPr>
            <w:r>
              <w:rPr>
                <w:b w:val="0"/>
                <w:sz w:val="18"/>
              </w:rPr>
              <w:t>0.0031645</w:t>
            </w:r>
          </w:p>
        </w:tc>
        <w:tc>
          <w:tcPr>
            <w:tcW w:type="dxa" w:w="2324"/>
            <w:vAlign w:val="center"/>
            <w:shd w:fill="FFFFFF"/>
            <w:tcMar>
              <w:top w:w="75" w:type="dxa"/>
              <w:bottom w:w="75" w:type="dxa"/>
              <w:left w:w="100" w:type="dxa"/>
              <w:right w:w="100" w:type="dxa"/>
            </w:tcMar>
          </w:tcPr>
          <w:p>
            <w:pPr>
              <w:keepNext w:val="0"/>
              <w:spacing w:before="0" w:after="0" w:line="269" w:lineRule="auto"/>
              <w:jc w:val="center"/>
            </w:pPr>
            <w:r>
              <w:rPr>
                <w:b w:val="0"/>
                <w:sz w:val="18"/>
              </w:rPr>
              <w:t>0.0024182</w:t>
            </w:r>
          </w:p>
        </w:tc>
        <w:tc>
          <w:tcPr>
            <w:tcW w:type="dxa" w:w="2324"/>
            <w:vAlign w:val="center"/>
            <w:shd w:fill="FFFFFF"/>
            <w:tcMar>
              <w:top w:w="75" w:type="dxa"/>
              <w:bottom w:w="75" w:type="dxa"/>
              <w:left w:w="100" w:type="dxa"/>
              <w:right w:w="100" w:type="dxa"/>
            </w:tcMar>
          </w:tcPr>
          <w:p>
            <w:pPr>
              <w:keepNext w:val="0"/>
              <w:spacing w:before="0" w:after="0" w:line="269" w:lineRule="auto"/>
              <w:jc w:val="center"/>
            </w:pPr>
            <w:r>
              <w:rPr>
                <w:b w:val="0"/>
                <w:sz w:val="18"/>
              </w:rPr>
              <w:t>0.0034648</w:t>
            </w:r>
          </w:p>
        </w:tc>
      </w:tr>
    </w:tbl>
    <w:p>
      <w:pPr>
        <w:spacing w:after="20" w:before="0" w:line="240" w:lineRule="auto"/>
      </w:pPr>
      <w:r>
        <w:rPr>
          <w:sz w:val="4"/>
        </w:rPr>
      </w:r>
    </w:p>
    <w:p>
      <w:pPr>
        <w:jc w:val="both"/>
      </w:pPr>
      <w:r>
        <w:rPr>
          <w:b w:val="0"/>
        </w:rPr>
        <w:t>三种分数均给出 R &gt; cy &gt; cx。虽然 K 的幅值明显偏离 T，这一工况中的全域顺序仍一致，为“排序可能比精确幅值预测更容易”提供了具体例子。直接由基准数据计算的 K 已能得到该顺序，因而后续 AI 方法必须保留 K-only 与固定排序作为强基线。</w:t>
      </w:r>
    </w:p>
    <w:p>
      <w:pPr>
        <w:pStyle w:val="Heading2"/>
      </w:pPr>
      <w:r>
        <w:t>12 2 局部排序和新工况仍待验证</w:t>
      </w:r>
    </w:p>
    <w:p>
      <w:pPr>
        <w:jc w:val="both"/>
      </w:pPr>
      <w:r>
        <w:rPr>
          <w:b w:val="0"/>
        </w:rPr>
        <w:t>改为逐点比较速度向量响应大小，数据 K 与 T 的最敏感参数一致率为 81.30%；R/​cx、R/​cy、cx/​cy 的成对顺序一致率分别为 90.77%、82.72%、70.79%。这些数字未排除近零和近似并列点，网格点也空间相关，不能当作独立样本上的泛化准确率。</w:t>
      </w:r>
    </w:p>
    <w:p>
      <w:pPr>
        <w:jc w:val="both"/>
      </w:pPr>
      <w:r>
        <w:rPr>
          <w:b w:val="0"/>
        </w:rPr>
        <w:t>完整、前半和后半周期组的 M 向量 RMS 也都给出相同排序，完整周期数值约为 R 40.498、cy 14.708、cx 1.882 m⁻¹。这只说明内在响应 M 的这项描述稳定，不能认证总响应 T 的周期稳定性。归一化速度排序也不等于有量纲速度、阻力或其他目标的排序。</w:t>
      </w:r>
    </w:p>
    <w:p>
      <w:pPr>
        <w:pStyle w:val="Heading2"/>
      </w:pPr>
      <w:r>
        <w:t>12 3 已明确的条件性数学路线</w:t>
      </w:r>
    </w:p>
    <w:p>
      <w:pPr>
        <w:jc w:val="both"/>
      </w:pPr>
      <w:r>
        <w:rPr>
          <w:b w:val="0"/>
        </w:rPr>
        <w:t>另一份新增推导给出信息充分性的判据：对于所有具有相同预测器输入的问题，只有它们的目标排序也相同，才能定义仅依赖该输入的确定性精确排序函数。简单边值问题中，可以保持基准解和当前边界值不变，仅互换两个参数在边界变化规律中的权重，就使排序相反。因此，排序任务也需要说明参数如何作用于物理问题。[E17]</w:t>
      </w:r>
    </w:p>
    <w:p>
      <w:pPr>
        <w:jc w:val="both"/>
      </w:pPr>
      <w:r>
        <w:rPr>
          <w:b w:val="0"/>
        </w:rPr>
        <w:t>完整参数化残差可微、约束后的状态 Jacobian 可逆时，隐函数定理允许用一个基准解及辅助线性系统确定局部响应。对一个标量目标，伴随系统可直接给出多个参数的目标梯度，无需显式重建全部响应场；这仍属于需要计入成本的辅助求解。</w:t>
      </w:r>
    </w:p>
    <w:p>
      <w:pPr>
        <w:jc w:val="both"/>
      </w:pPr>
      <w:r>
        <w:rPr>
          <w:b w:val="0"/>
        </w:rPr>
        <w:t>若已得到可信的分数误差界，当某参数分数区间的下界高于另一参数上界时，即可认证次序。近似伴随的方程残差加上已验证的逆算子稳定性界，可以提供这类条件性界；仅有小残差或模型置信度尚不够。对于 K-only，只有掌握 M 的有效幅值界，才能由区间分离保证 T 的排序。</w:t>
      </w:r>
    </w:p>
    <w:p>
      <w:pPr>
        <w:jc w:val="both"/>
      </w:pPr>
      <w:r>
        <w:rPr>
          <w:b w:val="0"/>
        </w:rPr>
        <w:t>本项目还需处理非定常平均：周期均场不能直接作为原始稳态 N-S 解使用，必须考虑瞬态目标、周期轨道及相位条件，或明确的平均方程闭合。这些推导厘清了可靠排序的可行条件，但没有证明当前模型已经满足条件，也不是已经完成的新 AI 算法或新理论定理。</w:t>
      </w:r>
    </w:p>
    <w:p>
      <w:pPr>
        <w:pStyle w:val="Heading1"/>
      </w:pPr>
      <w:r>
        <w:t>13 成果评价与后续研究方向</w:t>
      </w:r>
    </w:p>
    <w:p>
      <w:pPr>
        <w:pStyle w:val="Heading2"/>
      </w:pPr>
      <w:r>
        <w:t>13 1 已形成的研究贡献</w:t>
      </w:r>
    </w:p>
    <w:p>
      <w:pPr>
        <w:jc w:val="both"/>
      </w:pPr>
      <w:r>
        <w:rPr>
          <w:b w:val="0"/>
        </w:rPr>
        <w:t>项目已经形成四类可保留的成果。其一，建立了 K/​M/​T 分解、统一归一化及有量纲恢复的可计算框架。其二，以明确矩阵和解析目标证明了部分观测的信息缺失，以及值拟合与导数任务的错配。其三，在真实尾流中定量定位了符号梯度、响应抵消、空间留出和平均协议带来的问题。其四，通过运行隔离、数据指纹和独立重建，提高了研究结果的可追溯性。</w:t>
      </w:r>
    </w:p>
    <w:p>
      <w:pPr>
        <w:jc w:val="both"/>
      </w:pPr>
      <w:r>
        <w:rPr>
          <w:b w:val="0"/>
        </w:rPr>
        <w:t>这些成果构成方法研究的基础，但链式法则、流函数表示、普通导数监督均已有成熟理论背景。现有项目还没有完成通用新算法、跨算例高精度响应或可靠 H/​D 物理机制的验证，不能把基础组件各自作为已确立的独立创新点。[E2、E4]</w:t>
      </w:r>
    </w:p>
    <w:p>
      <w:pPr>
        <w:pStyle w:val="Heading2"/>
      </w:pPr>
      <w:r>
        <w:t>13 2 面向人工智能的方法方向</w:t>
      </w:r>
    </w:p>
    <w:p>
      <w:pPr>
        <w:jc w:val="both"/>
      </w:pPr>
      <w:r>
        <w:rPr>
          <w:b w:val="0"/>
        </w:rPr>
        <w:t>9 月 20 日的 AI 方向报告建议优先研究“面向下游导数任务的主动符号回归”。给定部分算子观测，保留能够解释现有数据的多种候选，根据它们在目标导数上的分歧，选择补充观测的类型和位置。P1 可提供信息缺失动机，P2 提供目标误差错配动机，圆柱尾流作为应用验证。[E2]</w:t>
      </w:r>
    </w:p>
    <w:p>
      <w:pPr>
        <w:jc w:val="both"/>
      </w:pPr>
      <w:r>
        <w:rPr>
          <w:b w:val="0"/>
        </w:rPr>
        <w:t>固定线性字典下，若 A 为观测矩阵、B 为目标算子矩阵，目标可唯一识别的条件为 ker(A)⊆ker(B)。这是经典逆问题事实。潜在方法贡献应体现在未知符号结构、噪声、不同观测成本条件下的有效查询规则，并优于已有随机、均匀、集成不确定性、D-optimal 和目标导向 c-/​V-optimal 方法。候选分歧并不天然是校准不确定性，也不能自动给出停止保证。</w:t>
      </w:r>
    </w:p>
    <w:p>
      <w:pPr>
        <w:jc w:val="both"/>
      </w:pPr>
      <w:r>
        <w:rPr>
          <w:b w:val="0"/>
        </w:rPr>
        <w:t>该方向目前属于方案成果，尚未实现新算法。已有文献记录也已发现 Sobolev Training、主动符号学习、形状约束符号回归和窗口正则化等近邻工作，不能宣称首次。后续需要系统全文对照，并扩展到多种解析函数、势函数及不同观测算子的任务；单一七项字典或一个有利预算不足以支持通用 AI 方法结论。</w:t>
      </w:r>
    </w:p>
    <w:p>
      <w:pPr>
        <w:pStyle w:val="Heading2"/>
      </w:pPr>
      <w:r>
        <w:t>13 3 流体应用方向与执行优先级</w:t>
      </w:r>
    </w:p>
    <w:p>
      <w:pPr>
        <w:jc w:val="both"/>
      </w:pPr>
      <w:r>
        <w:rPr>
          <w:b w:val="0"/>
        </w:rPr>
        <w:t>流体应用可继续研究面向总响应误差的符号代理，利用抵消诊断分配误差预算，联合选择基准场和响应表达式。该规则的有效性尚待消融验证；从测试 FD 得到的 κ 只能用于诊断，不能在部署时作为未声明的额外信息。</w:t>
      </w:r>
    </w:p>
    <w:p>
      <w:pPr>
        <w:jc w:val="both"/>
      </w:pPr>
      <w:r>
        <w:rPr>
          <w:b w:val="0"/>
        </w:rPr>
        <w:t>参数排序提供另一条任务收窄路线：面向明确目标和允许变化尺度，直接预测分数、成对顺序或可认证的部分排序，用于筛选参数和分配高精度计算预算。其有效性仍应按完整基准及扰动族分组留出；只预测绝对重要性不能给出优化时应增大还是减小参数的方向。</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4"/>
        <w:gridCol w:w="5102"/>
        <w:gridCol w:w="3515"/>
      </w:tblGrid>
      <w:tr>
        <w:trPr>
          <w:cantSplit/>
          <w:tblHeader/>
        </w:trPr>
        <w:tc>
          <w:tcPr>
            <w:tcW w:type="dxa" w:w="794"/>
            <w:vAlign w:val="center"/>
            <w:shd w:fill="DCE6ED"/>
            <w:tcMar>
              <w:top w:w="75" w:type="dxa"/>
              <w:bottom w:w="75" w:type="dxa"/>
              <w:left w:w="100" w:type="dxa"/>
              <w:right w:w="100" w:type="dxa"/>
            </w:tcMar>
          </w:tcPr>
          <w:p>
            <w:pPr>
              <w:keepNext/>
              <w:spacing w:before="0" w:after="0" w:line="269" w:lineRule="auto"/>
              <w:jc w:val="left"/>
            </w:pPr>
            <w:r>
              <w:rPr>
                <w:b/>
                <w:sz w:val="18"/>
              </w:rPr>
              <w:t>优先级</w:t>
            </w:r>
          </w:p>
        </w:tc>
        <w:tc>
          <w:tcPr>
            <w:tcW w:type="dxa" w:w="5102"/>
            <w:vAlign w:val="center"/>
            <w:shd w:fill="DCE6ED"/>
            <w:tcMar>
              <w:top w:w="75" w:type="dxa"/>
              <w:bottom w:w="75" w:type="dxa"/>
              <w:left w:w="100" w:type="dxa"/>
              <w:right w:w="100" w:type="dxa"/>
            </w:tcMar>
          </w:tcPr>
          <w:p>
            <w:pPr>
              <w:keepNext/>
              <w:spacing w:before="0" w:after="0" w:line="269" w:lineRule="auto"/>
              <w:jc w:val="center"/>
            </w:pPr>
            <w:r>
              <w:rPr>
                <w:b/>
                <w:sz w:val="18"/>
              </w:rPr>
              <w:t>后续工作</w:t>
            </w:r>
          </w:p>
        </w:tc>
        <w:tc>
          <w:tcPr>
            <w:tcW w:type="dxa" w:w="3515"/>
            <w:vAlign w:val="center"/>
            <w:shd w:fill="DCE6ED"/>
            <w:tcMar>
              <w:top w:w="75" w:type="dxa"/>
              <w:bottom w:w="75" w:type="dxa"/>
              <w:left w:w="100" w:type="dxa"/>
              <w:right w:w="100" w:type="dxa"/>
            </w:tcMar>
          </w:tcPr>
          <w:p>
            <w:pPr>
              <w:keepNext/>
              <w:spacing w:before="0" w:after="0" w:line="269" w:lineRule="auto"/>
              <w:jc w:val="center"/>
            </w:pPr>
            <w:r>
              <w:rPr>
                <w:b/>
                <w:sz w:val="18"/>
              </w:rPr>
              <w:t>完成后可回答的问题</w:t>
            </w:r>
          </w:p>
        </w:tc>
      </w:tr>
      <w:tr>
        <w:trPr>
          <w:cantSplit/>
        </w:trPr>
        <w:tc>
          <w:tcPr>
            <w:tcW w:type="dxa" w:w="794"/>
            <w:vAlign w:val="center"/>
            <w:shd w:fill="FFFFFF"/>
            <w:tcMar>
              <w:top w:w="75" w:type="dxa"/>
              <w:bottom w:w="75" w:type="dxa"/>
              <w:left w:w="100" w:type="dxa"/>
              <w:right w:w="100" w:type="dxa"/>
            </w:tcMar>
          </w:tcPr>
          <w:p>
            <w:pPr>
              <w:keepNext w:val="0"/>
              <w:spacing w:before="0" w:after="0" w:line="269" w:lineRule="auto"/>
              <w:jc w:val="left"/>
            </w:pPr>
            <w:r>
              <w:rPr>
                <w:b w:val="0"/>
                <w:sz w:val="18"/>
              </w:rPr>
              <w:t>1</w:t>
            </w:r>
          </w:p>
        </w:tc>
        <w:tc>
          <w:tcPr>
            <w:tcW w:type="dxa" w:w="5102"/>
            <w:vAlign w:val="center"/>
            <w:shd w:fill="FFFFFF"/>
            <w:tcMar>
              <w:top w:w="75" w:type="dxa"/>
              <w:bottom w:w="75" w:type="dxa"/>
              <w:left w:w="100" w:type="dxa"/>
              <w:right w:w="100" w:type="dxa"/>
            </w:tcMar>
          </w:tcPr>
          <w:p>
            <w:pPr>
              <w:keepNext w:val="0"/>
              <w:spacing w:before="0" w:after="0" w:line="269" w:lineRule="auto"/>
              <w:jc w:val="left"/>
            </w:pPr>
            <w:r>
              <w:rPr>
                <w:b w:val="0"/>
                <w:sz w:val="18"/>
              </w:rPr>
              <w:t>冻结平均泛函、参数路径和误差分母；一致重建基准与 K/M/T</w:t>
            </w:r>
          </w:p>
        </w:tc>
        <w:tc>
          <w:tcPr>
            <w:tcW w:type="dxa" w:w="3515"/>
            <w:vAlign w:val="center"/>
            <w:shd w:fill="FFFFFF"/>
            <w:tcMar>
              <w:top w:w="75" w:type="dxa"/>
              <w:bottom w:w="75" w:type="dxa"/>
              <w:left w:w="100" w:type="dxa"/>
              <w:right w:w="100" w:type="dxa"/>
            </w:tcMar>
          </w:tcPr>
          <w:p>
            <w:pPr>
              <w:keepNext w:val="0"/>
              <w:spacing w:before="0" w:after="0" w:line="269" w:lineRule="auto"/>
              <w:jc w:val="center"/>
            </w:pPr>
            <w:r>
              <w:rPr>
                <w:b w:val="0"/>
                <w:sz w:val="18"/>
              </w:rPr>
              <w:t>参照是否足够稳定</w:t>
            </w:r>
          </w:p>
        </w:tc>
      </w:tr>
      <w:tr>
        <w:trPr>
          <w:cantSplit/>
        </w:trPr>
        <w:tc>
          <w:tcPr>
            <w:tcW w:type="dxa" w:w="794"/>
            <w:vAlign w:val="center"/>
            <w:shd w:fill="F5F7F9"/>
            <w:tcMar>
              <w:top w:w="75" w:type="dxa"/>
              <w:bottom w:w="75" w:type="dxa"/>
              <w:left w:w="100" w:type="dxa"/>
              <w:right w:w="100" w:type="dxa"/>
            </w:tcMar>
          </w:tcPr>
          <w:p>
            <w:pPr>
              <w:keepNext w:val="0"/>
              <w:spacing w:before="0" w:after="0" w:line="269" w:lineRule="auto"/>
              <w:jc w:val="left"/>
            </w:pPr>
            <w:r>
              <w:rPr>
                <w:b w:val="0"/>
                <w:sz w:val="18"/>
              </w:rPr>
              <w:t>2</w:t>
            </w:r>
          </w:p>
        </w:tc>
        <w:tc>
          <w:tcPr>
            <w:tcW w:type="dxa" w:w="5102"/>
            <w:vAlign w:val="center"/>
            <w:shd w:fill="F5F7F9"/>
            <w:tcMar>
              <w:top w:w="75" w:type="dxa"/>
              <w:bottom w:w="75" w:type="dxa"/>
              <w:left w:w="100" w:type="dxa"/>
              <w:right w:w="100" w:type="dxa"/>
            </w:tcMar>
          </w:tcPr>
          <w:p>
            <w:pPr>
              <w:keepNext w:val="0"/>
              <w:spacing w:before="0" w:after="0" w:line="269" w:lineRule="auto"/>
              <w:jc w:val="left"/>
            </w:pPr>
            <w:r>
              <w:rPr>
                <w:b w:val="0"/>
                <w:sz w:val="18"/>
              </w:rPr>
              <w:t>补参数步长、CFD 网格和统计时间检查；比较去二阶导数与平滑特征</w:t>
            </w:r>
          </w:p>
        </w:tc>
        <w:tc>
          <w:tcPr>
            <w:tcW w:type="dxa" w:w="3515"/>
            <w:vAlign w:val="center"/>
            <w:shd w:fill="F5F7F9"/>
            <w:tcMar>
              <w:top w:w="75" w:type="dxa"/>
              <w:bottom w:w="75" w:type="dxa"/>
              <w:left w:w="100" w:type="dxa"/>
              <w:right w:w="100" w:type="dxa"/>
            </w:tcMar>
          </w:tcPr>
          <w:p>
            <w:pPr>
              <w:keepNext w:val="0"/>
              <w:spacing w:before="0" w:after="0" w:line="269" w:lineRule="auto"/>
              <w:jc w:val="center"/>
            </w:pPr>
            <w:r>
              <w:rPr>
                <w:b w:val="0"/>
                <w:sz w:val="18"/>
              </w:rPr>
              <w:t>数据和特征误差是否可控</w:t>
            </w:r>
          </w:p>
        </w:tc>
      </w:tr>
      <w:tr>
        <w:trPr>
          <w:cantSplit/>
        </w:trPr>
        <w:tc>
          <w:tcPr>
            <w:tcW w:type="dxa" w:w="794"/>
            <w:vAlign w:val="center"/>
            <w:shd w:fill="FFFFFF"/>
            <w:tcMar>
              <w:top w:w="75" w:type="dxa"/>
              <w:bottom w:w="75" w:type="dxa"/>
              <w:left w:w="100" w:type="dxa"/>
              <w:right w:w="100" w:type="dxa"/>
            </w:tcMar>
          </w:tcPr>
          <w:p>
            <w:pPr>
              <w:keepNext w:val="0"/>
              <w:spacing w:before="0" w:after="0" w:line="269" w:lineRule="auto"/>
              <w:jc w:val="left"/>
            </w:pPr>
            <w:r>
              <w:rPr>
                <w:b w:val="0"/>
                <w:sz w:val="18"/>
              </w:rPr>
              <w:t>3</w:t>
            </w:r>
          </w:p>
        </w:tc>
        <w:tc>
          <w:tcPr>
            <w:tcW w:type="dxa" w:w="5102"/>
            <w:vAlign w:val="center"/>
            <w:shd w:fill="FFFFFF"/>
            <w:tcMar>
              <w:top w:w="75" w:type="dxa"/>
              <w:bottom w:w="75" w:type="dxa"/>
              <w:left w:w="100" w:type="dxa"/>
              <w:right w:w="100" w:type="dxa"/>
            </w:tcMar>
          </w:tcPr>
          <w:p>
            <w:pPr>
              <w:keepNext w:val="0"/>
              <w:spacing w:before="0" w:after="0" w:line="269" w:lineRule="auto"/>
              <w:jc w:val="left"/>
            </w:pPr>
            <w:r>
              <w:rPr>
                <w:b w:val="0"/>
                <w:sz w:val="18"/>
              </w:rPr>
              <w:t>配对多种子 P2；相同输入与预算下比较符号、光滑网络和直接 T 回归</w:t>
            </w:r>
          </w:p>
        </w:tc>
        <w:tc>
          <w:tcPr>
            <w:tcW w:type="dxa" w:w="3515"/>
            <w:vAlign w:val="center"/>
            <w:shd w:fill="FFFFFF"/>
            <w:tcMar>
              <w:top w:w="75" w:type="dxa"/>
              <w:bottom w:w="75" w:type="dxa"/>
              <w:left w:w="100" w:type="dxa"/>
              <w:right w:w="100" w:type="dxa"/>
            </w:tcMar>
          </w:tcPr>
          <w:p>
            <w:pPr>
              <w:keepNext w:val="0"/>
              <w:spacing w:before="0" w:after="0" w:line="269" w:lineRule="auto"/>
              <w:jc w:val="center"/>
            </w:pPr>
            <w:r>
              <w:rPr>
                <w:b w:val="0"/>
                <w:sz w:val="18"/>
              </w:rPr>
              <w:t>收益来自损失、查询还是表示</w:t>
            </w:r>
          </w:p>
        </w:tc>
      </w:tr>
      <w:tr>
        <w:trPr>
          <w:cantSplit/>
        </w:trPr>
        <w:tc>
          <w:tcPr>
            <w:tcW w:type="dxa" w:w="794"/>
            <w:vAlign w:val="center"/>
            <w:shd w:fill="F5F7F9"/>
            <w:tcMar>
              <w:top w:w="75" w:type="dxa"/>
              <w:bottom w:w="75" w:type="dxa"/>
              <w:left w:w="100" w:type="dxa"/>
              <w:right w:w="100" w:type="dxa"/>
            </w:tcMar>
          </w:tcPr>
          <w:p>
            <w:pPr>
              <w:keepNext w:val="0"/>
              <w:spacing w:before="0" w:after="0" w:line="269" w:lineRule="auto"/>
              <w:jc w:val="left"/>
            </w:pPr>
            <w:r>
              <w:rPr>
                <w:b w:val="0"/>
                <w:sz w:val="18"/>
              </w:rPr>
              <w:t>4</w:t>
            </w:r>
          </w:p>
        </w:tc>
        <w:tc>
          <w:tcPr>
            <w:tcW w:type="dxa" w:w="5102"/>
            <w:vAlign w:val="center"/>
            <w:shd w:fill="F5F7F9"/>
            <w:tcMar>
              <w:top w:w="75" w:type="dxa"/>
              <w:bottom w:w="75" w:type="dxa"/>
              <w:left w:w="100" w:type="dxa"/>
              <w:right w:w="100" w:type="dxa"/>
            </w:tcMar>
          </w:tcPr>
          <w:p>
            <w:pPr>
              <w:keepNext w:val="0"/>
              <w:spacing w:before="0" w:after="0" w:line="269" w:lineRule="auto"/>
              <w:jc w:val="left"/>
            </w:pPr>
            <w:r>
              <w:rPr>
                <w:b w:val="0"/>
                <w:sz w:val="18"/>
              </w:rPr>
              <w:t>AI 路线开展多函数、多噪声、多预算主动查询先导</w:t>
            </w:r>
          </w:p>
        </w:tc>
        <w:tc>
          <w:tcPr>
            <w:tcW w:type="dxa" w:w="3515"/>
            <w:vAlign w:val="center"/>
            <w:shd w:fill="F5F7F9"/>
            <w:tcMar>
              <w:top w:w="75" w:type="dxa"/>
              <w:bottom w:w="75" w:type="dxa"/>
              <w:left w:w="100" w:type="dxa"/>
              <w:right w:w="100" w:type="dxa"/>
            </w:tcMar>
          </w:tcPr>
          <w:p>
            <w:pPr>
              <w:keepNext w:val="0"/>
              <w:spacing w:before="0" w:after="0" w:line="269" w:lineRule="auto"/>
              <w:jc w:val="center"/>
            </w:pPr>
            <w:r>
              <w:rPr>
                <w:b w:val="0"/>
                <w:sz w:val="18"/>
              </w:rPr>
              <w:t>能否超越现有观测选择方法</w:t>
            </w:r>
          </w:p>
        </w:tc>
      </w:tr>
      <w:tr>
        <w:trPr>
          <w:cantSplit/>
        </w:trPr>
        <w:tc>
          <w:tcPr>
            <w:tcW w:type="dxa" w:w="794"/>
            <w:vAlign w:val="center"/>
            <w:shd w:fill="FFFFFF"/>
            <w:tcMar>
              <w:top w:w="75" w:type="dxa"/>
              <w:bottom w:w="75" w:type="dxa"/>
              <w:left w:w="100" w:type="dxa"/>
              <w:right w:w="100" w:type="dxa"/>
            </w:tcMar>
          </w:tcPr>
          <w:p>
            <w:pPr>
              <w:keepNext w:val="0"/>
              <w:spacing w:before="0" w:after="0" w:line="269" w:lineRule="auto"/>
              <w:jc w:val="left"/>
            </w:pPr>
            <w:r>
              <w:rPr>
                <w:b w:val="0"/>
                <w:sz w:val="18"/>
              </w:rPr>
              <w:t>5</w:t>
            </w:r>
          </w:p>
        </w:tc>
        <w:tc>
          <w:tcPr>
            <w:tcW w:type="dxa" w:w="5102"/>
            <w:vAlign w:val="center"/>
            <w:shd w:fill="FFFFFF"/>
            <w:tcMar>
              <w:top w:w="75" w:type="dxa"/>
              <w:bottom w:w="75" w:type="dxa"/>
              <w:left w:w="100" w:type="dxa"/>
              <w:right w:w="100" w:type="dxa"/>
            </w:tcMar>
          </w:tcPr>
          <w:p>
            <w:pPr>
              <w:keepNext w:val="0"/>
              <w:spacing w:before="0" w:after="0" w:line="269" w:lineRule="auto"/>
              <w:jc w:val="left"/>
            </w:pPr>
            <w:r>
              <w:rPr>
                <w:b w:val="0"/>
                <w:sz w:val="18"/>
              </w:rPr>
              <w:t>按整组基准及扰动族留出新算例，评价预定积分目标</w:t>
            </w:r>
          </w:p>
        </w:tc>
        <w:tc>
          <w:tcPr>
            <w:tcW w:type="dxa" w:w="3515"/>
            <w:vAlign w:val="center"/>
            <w:shd w:fill="FFFFFF"/>
            <w:tcMar>
              <w:top w:w="75" w:type="dxa"/>
              <w:bottom w:w="75" w:type="dxa"/>
              <w:left w:w="100" w:type="dxa"/>
              <w:right w:w="100" w:type="dxa"/>
            </w:tcMar>
          </w:tcPr>
          <w:p>
            <w:pPr>
              <w:keepNext w:val="0"/>
              <w:spacing w:before="0" w:after="0" w:line="269" w:lineRule="auto"/>
              <w:jc w:val="center"/>
            </w:pPr>
            <w:r>
              <w:rPr>
                <w:b w:val="0"/>
                <w:sz w:val="18"/>
              </w:rPr>
              <w:t>是否具有实际跨算例用途</w:t>
            </w:r>
          </w:p>
        </w:tc>
      </w:tr>
    </w:tbl>
    <w:p>
      <w:pPr>
        <w:spacing w:after="20" w:before="0" w:line="240" w:lineRule="auto"/>
      </w:pPr>
      <w:r>
        <w:rPr>
          <w:sz w:val="4"/>
        </w:rPr>
      </w:r>
    </w:p>
    <w:p>
      <w:pPr>
        <w:jc w:val="both"/>
      </w:pPr>
      <w:r>
        <w:rPr>
          <w:b w:val="0"/>
        </w:rPr>
        <w:t>若继续诊断 cx 步长，可在现有 h=0.002 m 外补 h=0.001 m 和 0.004 m，共四个正负扰动算例，并保持相同物性、控制路径和充分周期统计。仅研究 R 时，每个新基准族的中心差分至少包含基准与 R± 三个非线性算例，网格和步长认证另计。在线只读取一个基准场，不会消除这些离线成本。</w:t>
      </w:r>
    </w:p>
    <w:p>
      <w:pPr>
        <w:jc w:val="both"/>
      </w:pPr>
      <w:r>
        <w:rPr>
          <w:b w:val="0"/>
        </w:rPr>
        <w:t>当前最合适的成果表述是：已经完成圆柱尾流符号响应研究的原型流程和关键可靠性诊断，揭示了观测信息、导数表示与响应参照之间的约束关系；完整几何响应预测与任务导向主动符号学习仍是下一阶段需要验证的能力。</w:t>
      </w:r>
    </w:p>
    <w:p>
      <w:pPr>
        <w:pStyle w:val="Heading1"/>
        <w:pageBreakBefore/>
      </w:pPr>
      <w:r>
        <w:t>附录A 关键指标的统一口径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05"/>
        <w:gridCol w:w="3203"/>
        <w:gridCol w:w="3203"/>
      </w:tblGrid>
      <w:tr>
        <w:trPr>
          <w:cantSplit/>
          <w:tblHeader/>
        </w:trPr>
        <w:tc>
          <w:tcPr>
            <w:tcW w:type="dxa" w:w="3005"/>
            <w:vAlign w:val="center"/>
            <w:shd w:fill="DCE6ED"/>
            <w:tcMar>
              <w:top w:w="75" w:type="dxa"/>
              <w:bottom w:w="75" w:type="dxa"/>
              <w:left w:w="100" w:type="dxa"/>
              <w:right w:w="100" w:type="dxa"/>
            </w:tcMar>
          </w:tcPr>
          <w:p>
            <w:pPr>
              <w:keepNext/>
              <w:spacing w:before="0" w:after="0" w:line="269" w:lineRule="auto"/>
              <w:jc w:val="left"/>
            </w:pPr>
            <w:r>
              <w:rPr>
                <w:b/>
                <w:sz w:val="18"/>
              </w:rPr>
              <w:t>指标</w:t>
            </w:r>
          </w:p>
        </w:tc>
        <w:tc>
          <w:tcPr>
            <w:tcW w:type="dxa" w:w="3203"/>
            <w:vAlign w:val="center"/>
            <w:shd w:fill="DCE6ED"/>
            <w:tcMar>
              <w:top w:w="75" w:type="dxa"/>
              <w:bottom w:w="75" w:type="dxa"/>
              <w:left w:w="100" w:type="dxa"/>
              <w:right w:w="100" w:type="dxa"/>
            </w:tcMar>
          </w:tcPr>
          <w:p>
            <w:pPr>
              <w:keepNext/>
              <w:spacing w:before="0" w:after="0" w:line="269" w:lineRule="auto"/>
              <w:jc w:val="center"/>
            </w:pPr>
            <w:r>
              <w:rPr>
                <w:b/>
                <w:sz w:val="18"/>
              </w:rPr>
              <w:t>定义或评价范围</w:t>
            </w:r>
          </w:p>
        </w:tc>
        <w:tc>
          <w:tcPr>
            <w:tcW w:type="dxa" w:w="3203"/>
            <w:vAlign w:val="center"/>
            <w:shd w:fill="DCE6ED"/>
            <w:tcMar>
              <w:top w:w="75" w:type="dxa"/>
              <w:bottom w:w="75" w:type="dxa"/>
              <w:left w:w="100" w:type="dxa"/>
              <w:right w:w="100" w:type="dxa"/>
            </w:tcMar>
          </w:tcPr>
          <w:p>
            <w:pPr>
              <w:keepNext/>
              <w:spacing w:before="0" w:after="0" w:line="269" w:lineRule="auto"/>
              <w:jc w:val="center"/>
            </w:pPr>
            <w:r>
              <w:rPr>
                <w:b/>
                <w:sz w:val="18"/>
              </w:rPr>
              <w:t>不能代替的结论</w:t>
            </w:r>
          </w:p>
        </w:tc>
      </w:tr>
      <w:tr>
        <w:trPr>
          <w:cantSplit/>
        </w:trPr>
        <w:tc>
          <w:tcPr>
            <w:tcW w:type="dxa" w:w="3005"/>
            <w:vAlign w:val="center"/>
            <w:shd w:fill="FFFFFF"/>
            <w:tcMar>
              <w:top w:w="75" w:type="dxa"/>
              <w:bottom w:w="75" w:type="dxa"/>
              <w:left w:w="100" w:type="dxa"/>
              <w:right w:w="100" w:type="dxa"/>
            </w:tcMar>
          </w:tcPr>
          <w:p>
            <w:pPr>
              <w:keepNext w:val="0"/>
              <w:spacing w:before="0" w:after="0" w:line="269" w:lineRule="auto"/>
              <w:jc w:val="left"/>
            </w:pPr>
            <w:r>
              <w:rPr>
                <w:b w:val="0"/>
                <w:sz w:val="18"/>
              </w:rPr>
              <w:t>值 MSE</w:t>
            </w:r>
          </w:p>
        </w:tc>
        <w:tc>
          <w:tcPr>
            <w:tcW w:type="dxa" w:w="3203"/>
            <w:vAlign w:val="center"/>
            <w:shd w:fill="FFFFFF"/>
            <w:tcMar>
              <w:top w:w="75" w:type="dxa"/>
              <w:bottom w:w="75" w:type="dxa"/>
              <w:left w:w="100" w:type="dxa"/>
              <w:right w:w="100" w:type="dxa"/>
            </w:tcMar>
          </w:tcPr>
          <w:p>
            <w:pPr>
              <w:keepNext w:val="0"/>
              <w:spacing w:before="0" w:after="0" w:line="269" w:lineRule="auto"/>
              <w:jc w:val="center"/>
            </w:pPr>
            <w:r>
              <w:rPr>
                <w:b w:val="0"/>
                <w:sz w:val="18"/>
              </w:rPr>
              <w:t>预测值与目标值的均方差</w:t>
            </w:r>
          </w:p>
        </w:tc>
        <w:tc>
          <w:tcPr>
            <w:tcW w:type="dxa" w:w="3203"/>
            <w:vAlign w:val="center"/>
            <w:shd w:fill="FFFFFF"/>
            <w:tcMar>
              <w:top w:w="75" w:type="dxa"/>
              <w:bottom w:w="75" w:type="dxa"/>
              <w:left w:w="100" w:type="dxa"/>
              <w:right w:w="100" w:type="dxa"/>
            </w:tcMar>
          </w:tcPr>
          <w:p>
            <w:pPr>
              <w:keepNext w:val="0"/>
              <w:spacing w:before="0" w:after="0" w:line="269" w:lineRule="auto"/>
              <w:jc w:val="center"/>
            </w:pPr>
            <w:r>
              <w:rPr>
                <w:b w:val="0"/>
                <w:sz w:val="18"/>
              </w:rPr>
              <w:t>导数准确性</w:t>
            </w:r>
          </w:p>
        </w:tc>
      </w:tr>
      <w:tr>
        <w:trPr>
          <w:cantSplit/>
        </w:trPr>
        <w:tc>
          <w:tcPr>
            <w:tcW w:type="dxa" w:w="3005"/>
            <w:vAlign w:val="center"/>
            <w:shd w:fill="F5F7F9"/>
            <w:tcMar>
              <w:top w:w="75" w:type="dxa"/>
              <w:bottom w:w="75" w:type="dxa"/>
              <w:left w:w="100" w:type="dxa"/>
              <w:right w:w="100" w:type="dxa"/>
            </w:tcMar>
          </w:tcPr>
          <w:p>
            <w:pPr>
              <w:keepNext w:val="0"/>
              <w:spacing w:before="0" w:after="0" w:line="269" w:lineRule="auto"/>
              <w:jc w:val="left"/>
            </w:pPr>
            <w:r>
              <w:rPr>
                <w:b w:val="0"/>
                <w:sz w:val="18"/>
              </w:rPr>
              <w:t>相对 L2</w:t>
            </w:r>
          </w:p>
        </w:tc>
        <w:tc>
          <w:tcPr>
            <w:tcW w:type="dxa" w:w="3203"/>
            <w:vAlign w:val="center"/>
            <w:shd w:fill="F5F7F9"/>
            <w:tcMar>
              <w:top w:w="75" w:type="dxa"/>
              <w:bottom w:w="75" w:type="dxa"/>
              <w:left w:w="100" w:type="dxa"/>
              <w:right w:w="100" w:type="dxa"/>
            </w:tcMar>
          </w:tcPr>
          <w:p>
            <w:pPr>
              <w:keepNext w:val="0"/>
              <w:spacing w:before="0" w:after="0" w:line="269" w:lineRule="auto"/>
              <w:jc w:val="center"/>
            </w:pPr>
            <w:r>
              <w:rPr>
                <w:b w:val="0"/>
                <w:sz w:val="18"/>
              </w:rPr>
              <w:t>误差场欧氏范数除以目标场范数</w:t>
            </w:r>
          </w:p>
        </w:tc>
        <w:tc>
          <w:tcPr>
            <w:tcW w:type="dxa" w:w="3203"/>
            <w:vAlign w:val="center"/>
            <w:shd w:fill="F5F7F9"/>
            <w:tcMar>
              <w:top w:w="75" w:type="dxa"/>
              <w:bottom w:w="75" w:type="dxa"/>
              <w:left w:w="100" w:type="dxa"/>
              <w:right w:w="100" w:type="dxa"/>
            </w:tcMar>
          </w:tcPr>
          <w:p>
            <w:pPr>
              <w:keepNext w:val="0"/>
              <w:spacing w:before="0" w:after="0" w:line="269" w:lineRule="auto"/>
              <w:jc w:val="center"/>
            </w:pPr>
            <w:r>
              <w:rPr>
                <w:b w:val="0"/>
                <w:sz w:val="18"/>
              </w:rPr>
              <w:t>近零目标的绝对精度</w:t>
            </w:r>
          </w:p>
        </w:tc>
      </w:tr>
      <w:tr>
        <w:trPr>
          <w:cantSplit/>
        </w:trPr>
        <w:tc>
          <w:tcPr>
            <w:tcW w:type="dxa" w:w="3005"/>
            <w:vAlign w:val="center"/>
            <w:shd w:fill="FFFFFF"/>
            <w:tcMar>
              <w:top w:w="75" w:type="dxa"/>
              <w:bottom w:w="75" w:type="dxa"/>
              <w:left w:w="100" w:type="dxa"/>
              <w:right w:w="100" w:type="dxa"/>
            </w:tcMar>
          </w:tcPr>
          <w:p>
            <w:pPr>
              <w:keepNext w:val="0"/>
              <w:spacing w:before="0" w:after="0" w:line="269" w:lineRule="auto"/>
              <w:jc w:val="left"/>
            </w:pPr>
            <w:r>
              <w:rPr>
                <w:b w:val="0"/>
                <w:sz w:val="18"/>
              </w:rPr>
              <w:t>K 相对误差</w:t>
            </w:r>
          </w:p>
        </w:tc>
        <w:tc>
          <w:tcPr>
            <w:tcW w:type="dxa" w:w="3203"/>
            <w:vAlign w:val="center"/>
            <w:shd w:fill="FFFFFF"/>
            <w:tcMar>
              <w:top w:w="75" w:type="dxa"/>
              <w:bottom w:w="75" w:type="dxa"/>
              <w:left w:w="100" w:type="dxa"/>
              <w:right w:w="100" w:type="dxa"/>
            </w:tcMar>
          </w:tcPr>
          <w:p>
            <w:pPr>
              <w:keepNext w:val="0"/>
              <w:spacing w:before="0" w:after="0" w:line="269" w:lineRule="auto"/>
              <w:jc w:val="center"/>
            </w:pPr>
            <w:r>
              <w:rPr>
                <w:b w:val="0"/>
                <w:sz w:val="18"/>
              </w:rPr>
              <w:t>以 Kemp=T−M 为参照</w:t>
            </w:r>
          </w:p>
        </w:tc>
        <w:tc>
          <w:tcPr>
            <w:tcW w:type="dxa" w:w="3203"/>
            <w:vAlign w:val="center"/>
            <w:shd w:fill="FFFFFF"/>
            <w:tcMar>
              <w:top w:w="75" w:type="dxa"/>
              <w:bottom w:w="75" w:type="dxa"/>
              <w:left w:w="100" w:type="dxa"/>
              <w:right w:w="100" w:type="dxa"/>
            </w:tcMar>
          </w:tcPr>
          <w:p>
            <w:pPr>
              <w:keepNext w:val="0"/>
              <w:spacing w:before="0" w:after="0" w:line="269" w:lineRule="auto"/>
              <w:jc w:val="center"/>
            </w:pPr>
            <w:r>
              <w:rPr>
                <w:b w:val="0"/>
                <w:sz w:val="18"/>
              </w:rPr>
              <w:t>完整总响应误差</w:t>
            </w:r>
          </w:p>
        </w:tc>
      </w:tr>
      <w:tr>
        <w:trPr>
          <w:cantSplit/>
        </w:trPr>
        <w:tc>
          <w:tcPr>
            <w:tcW w:type="dxa" w:w="3005"/>
            <w:vAlign w:val="center"/>
            <w:shd w:fill="F5F7F9"/>
            <w:tcMar>
              <w:top w:w="75" w:type="dxa"/>
              <w:bottom w:w="75" w:type="dxa"/>
              <w:left w:w="100" w:type="dxa"/>
              <w:right w:w="100" w:type="dxa"/>
            </w:tcMar>
          </w:tcPr>
          <w:p>
            <w:pPr>
              <w:keepNext w:val="0"/>
              <w:spacing w:before="0" w:after="0" w:line="269" w:lineRule="auto"/>
              <w:jc w:val="left"/>
            </w:pPr>
            <w:r>
              <w:rPr>
                <w:b w:val="0"/>
                <w:sz w:val="18"/>
              </w:rPr>
              <w:t>已知 M 闭合</w:t>
            </w:r>
          </w:p>
        </w:tc>
        <w:tc>
          <w:tcPr>
            <w:tcW w:type="dxa" w:w="3203"/>
            <w:vAlign w:val="center"/>
            <w:shd w:fill="F5F7F9"/>
            <w:tcMar>
              <w:top w:w="75" w:type="dxa"/>
              <w:bottom w:w="75" w:type="dxa"/>
              <w:left w:w="100" w:type="dxa"/>
              <w:right w:w="100" w:type="dxa"/>
            </w:tcMar>
          </w:tcPr>
          <w:p>
            <w:pPr>
              <w:keepNext w:val="0"/>
              <w:spacing w:before="0" w:after="0" w:line="269" w:lineRule="auto"/>
              <w:jc w:val="left"/>
            </w:pPr>
            <w:r>
              <w:rPr>
                <w:b w:val="0"/>
                <w:sz w:val="18"/>
              </w:rPr>
              <w:t>用预测 K 与同一 FD 的 M 相加后评价 T</w:t>
            </w:r>
          </w:p>
        </w:tc>
        <w:tc>
          <w:tcPr>
            <w:tcW w:type="dxa" w:w="3203"/>
            <w:vAlign w:val="center"/>
            <w:shd w:fill="F5F7F9"/>
            <w:tcMar>
              <w:top w:w="75" w:type="dxa"/>
              <w:bottom w:w="75" w:type="dxa"/>
              <w:left w:w="100" w:type="dxa"/>
              <w:right w:w="100" w:type="dxa"/>
            </w:tcMar>
          </w:tcPr>
          <w:p>
            <w:pPr>
              <w:keepNext w:val="0"/>
              <w:spacing w:before="0" w:after="0" w:line="269" w:lineRule="auto"/>
              <w:jc w:val="center"/>
            </w:pPr>
            <w:r>
              <w:rPr>
                <w:b w:val="0"/>
                <w:sz w:val="18"/>
              </w:rPr>
              <w:t>无扰动信息的可部署预测</w:t>
            </w:r>
          </w:p>
        </w:tc>
      </w:tr>
      <w:tr>
        <w:trPr>
          <w:cantSplit/>
        </w:trPr>
        <w:tc>
          <w:tcPr>
            <w:tcW w:type="dxa" w:w="3005"/>
            <w:vAlign w:val="center"/>
            <w:shd w:fill="FFFFFF"/>
            <w:tcMar>
              <w:top w:w="75" w:type="dxa"/>
              <w:bottom w:w="75" w:type="dxa"/>
              <w:left w:w="100" w:type="dxa"/>
              <w:right w:w="100" w:type="dxa"/>
            </w:tcMar>
          </w:tcPr>
          <w:p>
            <w:pPr>
              <w:keepNext w:val="0"/>
              <w:spacing w:before="0" w:after="0" w:line="269" w:lineRule="auto"/>
              <w:jc w:val="left"/>
            </w:pPr>
            <w:r>
              <w:rPr>
                <w:b w:val="0"/>
                <w:sz w:val="18"/>
              </w:rPr>
              <w:t>离散路径闭合</w:t>
            </w:r>
          </w:p>
        </w:tc>
        <w:tc>
          <w:tcPr>
            <w:tcW w:type="dxa" w:w="3203"/>
            <w:vAlign w:val="center"/>
            <w:shd w:fill="FFFFFF"/>
            <w:tcMar>
              <w:top w:w="75" w:type="dxa"/>
              <w:bottom w:w="75" w:type="dxa"/>
              <w:left w:w="100" w:type="dxa"/>
              <w:right w:w="100" w:type="dxa"/>
            </w:tcMar>
          </w:tcPr>
          <w:p>
            <w:pPr>
              <w:keepNext w:val="0"/>
              <w:spacing w:before="0" w:after="0" w:line="269" w:lineRule="auto"/>
              <w:jc w:val="center"/>
            </w:pPr>
            <w:r>
              <w:rPr>
                <w:b w:val="0"/>
                <w:sz w:val="18"/>
              </w:rPr>
              <w:t>同一有限差分代数构造的残差</w:t>
            </w:r>
          </w:p>
        </w:tc>
        <w:tc>
          <w:tcPr>
            <w:tcW w:type="dxa" w:w="3203"/>
            <w:vAlign w:val="center"/>
            <w:shd w:fill="FFFFFF"/>
            <w:tcMar>
              <w:top w:w="75" w:type="dxa"/>
              <w:bottom w:w="75" w:type="dxa"/>
              <w:left w:w="100" w:type="dxa"/>
              <w:right w:w="100" w:type="dxa"/>
            </w:tcMar>
          </w:tcPr>
          <w:p>
            <w:pPr>
              <w:keepNext w:val="0"/>
              <w:spacing w:before="0" w:after="0" w:line="269" w:lineRule="auto"/>
              <w:jc w:val="center"/>
            </w:pPr>
            <w:r>
              <w:rPr>
                <w:b w:val="0"/>
                <w:sz w:val="18"/>
              </w:rPr>
              <w:t>CFD 收敛或真实参数梯度</w:t>
            </w:r>
          </w:p>
        </w:tc>
      </w:tr>
      <w:tr>
        <w:trPr>
          <w:cantSplit/>
        </w:trPr>
        <w:tc>
          <w:tcPr>
            <w:tcW w:type="dxa" w:w="3005"/>
            <w:vAlign w:val="center"/>
            <w:shd w:fill="F5F7F9"/>
            <w:tcMar>
              <w:top w:w="75" w:type="dxa"/>
              <w:bottom w:w="75" w:type="dxa"/>
              <w:left w:w="100" w:type="dxa"/>
              <w:right w:w="100" w:type="dxa"/>
            </w:tcMar>
          </w:tcPr>
          <w:p>
            <w:pPr>
              <w:keepNext w:val="0"/>
              <w:spacing w:before="0" w:after="0" w:line="269" w:lineRule="auto"/>
              <w:jc w:val="left"/>
            </w:pPr>
            <w:r>
              <w:rPr>
                <w:b w:val="0"/>
                <w:sz w:val="18"/>
              </w:rPr>
              <w:t>pooled 留出误差</w:t>
            </w:r>
          </w:p>
        </w:tc>
        <w:tc>
          <w:tcPr>
            <w:tcW w:type="dxa" w:w="3203"/>
            <w:vAlign w:val="center"/>
            <w:shd w:fill="F5F7F9"/>
            <w:tcMar>
              <w:top w:w="75" w:type="dxa"/>
              <w:bottom w:w="75" w:type="dxa"/>
              <w:left w:w="100" w:type="dxa"/>
              <w:right w:w="100" w:type="dxa"/>
            </w:tcMar>
          </w:tcPr>
          <w:p>
            <w:pPr>
              <w:keepNext w:val="0"/>
              <w:spacing w:before="0" w:after="0" w:line="269" w:lineRule="auto"/>
              <w:jc w:val="center"/>
            </w:pPr>
            <w:r>
              <w:rPr>
                <w:b w:val="0"/>
                <w:sz w:val="18"/>
              </w:rPr>
              <w:t>汇总各折留出点后计算，不是平均百分数</w:t>
            </w:r>
          </w:p>
        </w:tc>
        <w:tc>
          <w:tcPr>
            <w:tcW w:type="dxa" w:w="3203"/>
            <w:vAlign w:val="center"/>
            <w:shd w:fill="F5F7F9"/>
            <w:tcMar>
              <w:top w:w="75" w:type="dxa"/>
              <w:bottom w:w="75" w:type="dxa"/>
              <w:left w:w="100" w:type="dxa"/>
              <w:right w:w="100" w:type="dxa"/>
            </w:tcMar>
          </w:tcPr>
          <w:p>
            <w:pPr>
              <w:keepNext w:val="0"/>
              <w:spacing w:before="0" w:after="0" w:line="269" w:lineRule="auto"/>
              <w:jc w:val="center"/>
            </w:pPr>
            <w:r>
              <w:rPr>
                <w:b w:val="0"/>
                <w:sz w:val="18"/>
              </w:rPr>
              <w:t>跨算例泛化</w:t>
            </w:r>
          </w:p>
        </w:tc>
      </w:tr>
      <w:tr>
        <w:trPr>
          <w:cantSplit/>
        </w:trPr>
        <w:tc>
          <w:tcPr>
            <w:tcW w:type="dxa" w:w="3005"/>
            <w:vAlign w:val="center"/>
            <w:shd w:fill="FFFFFF"/>
            <w:tcMar>
              <w:top w:w="75" w:type="dxa"/>
              <w:bottom w:w="75" w:type="dxa"/>
              <w:left w:w="100" w:type="dxa"/>
              <w:right w:w="100" w:type="dxa"/>
            </w:tcMar>
          </w:tcPr>
          <w:p>
            <w:pPr>
              <w:keepNext w:val="0"/>
              <w:spacing w:before="0" w:after="0" w:line="269" w:lineRule="auto"/>
              <w:jc w:val="left"/>
            </w:pPr>
            <w:r>
              <w:rPr>
                <w:b w:val="0"/>
                <w:sz w:val="18"/>
              </w:rPr>
              <w:t>周期协议变化</w:t>
            </w:r>
          </w:p>
        </w:tc>
        <w:tc>
          <w:tcPr>
            <w:tcW w:type="dxa" w:w="3203"/>
            <w:vAlign w:val="center"/>
            <w:shd w:fill="FFFFFF"/>
            <w:tcMar>
              <w:top w:w="75" w:type="dxa"/>
              <w:bottom w:w="75" w:type="dxa"/>
              <w:left w:w="100" w:type="dxa"/>
              <w:right w:w="100" w:type="dxa"/>
            </w:tcMar>
          </w:tcPr>
          <w:p>
            <w:pPr>
              <w:keepNext w:val="0"/>
              <w:spacing w:before="0" w:after="0" w:line="269" w:lineRule="auto"/>
              <w:jc w:val="center"/>
            </w:pPr>
            <w:r>
              <w:rPr>
                <w:b w:val="0"/>
                <w:sz w:val="18"/>
              </w:rPr>
              <w:t>两个平均定义下标签的相对差异</w:t>
            </w:r>
          </w:p>
        </w:tc>
        <w:tc>
          <w:tcPr>
            <w:tcW w:type="dxa" w:w="3203"/>
            <w:vAlign w:val="center"/>
            <w:shd w:fill="FFFFFF"/>
            <w:tcMar>
              <w:top w:w="75" w:type="dxa"/>
              <w:bottom w:w="75" w:type="dxa"/>
              <w:left w:w="100" w:type="dxa"/>
              <w:right w:w="100" w:type="dxa"/>
            </w:tcMar>
          </w:tcPr>
          <w:p>
            <w:pPr>
              <w:keepNext w:val="0"/>
              <w:spacing w:before="0" w:after="0" w:line="269" w:lineRule="auto"/>
              <w:jc w:val="center"/>
            </w:pPr>
            <w:r>
              <w:rPr>
                <w:b w:val="0"/>
                <w:sz w:val="18"/>
              </w:rPr>
              <w:t>真值误差或置信区间</w:t>
            </w:r>
          </w:p>
        </w:tc>
      </w:tr>
      <w:tr>
        <w:trPr>
          <w:cantSplit/>
        </w:trPr>
        <w:tc>
          <w:tcPr>
            <w:tcW w:type="dxa" w:w="3005"/>
            <w:vAlign w:val="center"/>
            <w:shd w:fill="F5F7F9"/>
            <w:tcMar>
              <w:top w:w="75" w:type="dxa"/>
              <w:bottom w:w="75" w:type="dxa"/>
              <w:left w:w="100" w:type="dxa"/>
              <w:right w:w="100" w:type="dxa"/>
            </w:tcMar>
          </w:tcPr>
          <w:p>
            <w:pPr>
              <w:keepNext w:val="0"/>
              <w:spacing w:before="0" w:after="0" w:line="269" w:lineRule="auto"/>
              <w:jc w:val="left"/>
            </w:pPr>
            <w:r>
              <w:rPr>
                <w:b w:val="0"/>
                <w:sz w:val="18"/>
              </w:rPr>
              <w:t>解析散度为零</w:t>
            </w:r>
          </w:p>
        </w:tc>
        <w:tc>
          <w:tcPr>
            <w:tcW w:type="dxa" w:w="3203"/>
            <w:vAlign w:val="center"/>
            <w:shd w:fill="F5F7F9"/>
            <w:tcMar>
              <w:top w:w="75" w:type="dxa"/>
              <w:bottom w:w="75" w:type="dxa"/>
              <w:left w:w="100" w:type="dxa"/>
              <w:right w:w="100" w:type="dxa"/>
            </w:tcMar>
          </w:tcPr>
          <w:p>
            <w:pPr>
              <w:keepNext w:val="0"/>
              <w:spacing w:before="0" w:after="0" w:line="269" w:lineRule="auto"/>
              <w:jc w:val="center"/>
            </w:pPr>
            <w:r>
              <w:rPr>
                <w:b w:val="0"/>
                <w:sz w:val="18"/>
              </w:rPr>
              <w:t>流函数导数相消的结构属性</w:t>
            </w:r>
          </w:p>
        </w:tc>
        <w:tc>
          <w:tcPr>
            <w:tcW w:type="dxa" w:w="3203"/>
            <w:vAlign w:val="center"/>
            <w:shd w:fill="F5F7F9"/>
            <w:tcMar>
              <w:top w:w="75" w:type="dxa"/>
              <w:bottom w:w="75" w:type="dxa"/>
              <w:left w:w="100" w:type="dxa"/>
              <w:right w:w="100" w:type="dxa"/>
            </w:tcMar>
          </w:tcPr>
          <w:p>
            <w:pPr>
              <w:keepNext w:val="0"/>
              <w:spacing w:before="0" w:after="0" w:line="269" w:lineRule="auto"/>
              <w:jc w:val="center"/>
            </w:pPr>
            <w:r>
              <w:rPr>
                <w:b w:val="0"/>
                <w:sz w:val="18"/>
              </w:rPr>
              <w:t>动量方程及响应精度</w:t>
            </w:r>
          </w:p>
        </w:tc>
      </w:tr>
    </w:tbl>
    <w:p>
      <w:pPr>
        <w:spacing w:after="20" w:before="0" w:line="240" w:lineRule="auto"/>
      </w:pPr>
      <w:r>
        <w:rPr>
          <w:sz w:val="4"/>
        </w:rPr>
      </w:r>
    </w:p>
    <w:p>
      <w:pPr>
        <w:jc w:val="both"/>
      </w:pPr>
      <w:r>
        <w:rPr>
          <w:b w:val="0"/>
        </w:rPr>
        <w:t>当前真实尾流指标主要采用旧 4–8 s 平均协议；周期候选指标另列。任何正式更新均须同步改变整条数据链和指标来源。所有表中百分数均由无量纲比值乘以 100 得到；不同目标、量纲、分母、网格和掩码的百分数不直接混合比较。</w:t>
      </w:r>
    </w:p>
    <w:p>
      <w:pPr>
        <w:pStyle w:val="Heading1"/>
      </w:pPr>
      <w:r>
        <w:t>附录B 成果与证据索引</w:t>
      </w:r>
    </w:p>
    <w:p>
      <w:pPr>
        <w:jc w:val="both"/>
      </w:pPr>
      <w:r>
        <w:rPr>
          <w:b w:val="0"/>
        </w:rPr>
        <w:t>以下路径均相对项目根目录。报告中的 E 编号对应原始结果表、复核记录或方法文档，便于逐项追溯。</w:t>
      </w:r>
    </w:p>
    <w:p>
      <w:pPr>
        <w:keepLines/>
        <w:spacing w:after="100"/>
      </w:pPr>
      <w:r>
        <w:rPr>
          <w:b w:val="0"/>
          <w:sz w:val="19"/>
        </w:rPr>
        <w:t>[E1] 逻辑与实验独立验证报告。主证据位于 outputs/​logic_​validation_​2026-09-08，包含构造解、gradient_​closure_​recomputed.csv、phi_​formula_​metrics.csv、mlp_​current_​target.csv、p2_​factorial_​summary.csv、a0_​spatial_​stress.csv 和 p3_​independent_​reconstruction.csv。</w:t>
      </w:r>
    </w:p>
    <w:p>
      <w:pPr>
        <w:keepLines/>
        <w:spacing w:after="100"/>
      </w:pPr>
      <w:r>
        <w:rPr>
          <w:b w:val="0"/>
          <w:sz w:val="19"/>
        </w:rPr>
        <w:t>[E2] 面向人工智能方法论文的研究定位。主动符号学习方案、对照方法及成本边界，属于尚未实施的建议。</w:t>
      </w:r>
    </w:p>
    <w:p>
      <w:pPr>
        <w:keepLines/>
        <w:spacing w:after="100"/>
      </w:pPr>
      <w:r>
        <w:rPr>
          <w:b w:val="0"/>
          <w:sz w:val="19"/>
        </w:rPr>
        <w:t>[E3] 原始时序与标签可靠性审计。证据目录 outputs/​a0_​label_​reliability_​2026-09-09，含原始复现、窗口、周期、相位、统计块和导数方法表。</w:t>
      </w:r>
    </w:p>
    <w:p>
      <w:pPr>
        <w:keepLines/>
        <w:spacing w:after="100"/>
      </w:pPr>
      <w:r>
        <w:rPr>
          <w:b w:val="0"/>
          <w:sz w:val="19"/>
        </w:rPr>
        <w:t>[E4] 成果创新性与论文成熟度评估。总响应误差预算、跨算例验证与论文主张边界。</w:t>
      </w:r>
    </w:p>
    <w:p>
      <w:pPr>
        <w:keepLines/>
        <w:spacing w:after="100"/>
      </w:pPr>
      <w:r>
        <w:rPr>
          <w:b w:val="0"/>
          <w:sz w:val="19"/>
        </w:rPr>
        <w:t>[E5] 当前流程说明与数据模型评价协议。当前主流程、模型与数据版本、合成验证范围。</w:t>
      </w:r>
    </w:p>
    <w:p>
      <w:pPr>
        <w:keepLines/>
        <w:spacing w:after="100"/>
      </w:pPr>
      <w:r>
        <w:rPr>
          <w:b w:val="0"/>
          <w:sz w:val="19"/>
        </w:rPr>
        <w:t>[E6] 修正协议后的 P1 结果。metrics.json、sparse_​v_​budget.csv、existing_​pysr_​degeneracy.csv。</w:t>
      </w:r>
    </w:p>
    <w:p>
      <w:pPr>
        <w:keepLines/>
        <w:spacing w:after="100"/>
      </w:pPr>
      <w:r>
        <w:rPr>
          <w:b w:val="0"/>
          <w:sz w:val="19"/>
        </w:rPr>
        <w:t>[E7] MLP 梯度审计与网格加密对照。统一目标数值同时见 E1 的 mlp_​current_​target.csv。</w:t>
      </w:r>
    </w:p>
    <w:p>
      <w:pPr>
        <w:keepLines/>
        <w:spacing w:after="100"/>
      </w:pPr>
      <w:r>
        <w:rPr>
          <w:b w:val="0"/>
          <w:sz w:val="19"/>
        </w:rPr>
        <w:t>[E8] ψ 候选梯度回溯审计。包含候选排序倒置及同目标选择的边界。</w:t>
      </w:r>
    </w:p>
    <w:p>
      <w:pPr>
        <w:keepLines/>
        <w:spacing w:after="100"/>
      </w:pPr>
      <w:r>
        <w:rPr>
          <w:b w:val="0"/>
          <w:sz w:val="19"/>
        </w:rPr>
        <w:t>[E9] P0 历史结果、P2 历史结果及相应 metrics.json。P2 独立新增点复核以 E1 为准。</w:t>
      </w:r>
    </w:p>
    <w:p>
      <w:pPr>
        <w:keepLines/>
        <w:spacing w:after="100"/>
      </w:pPr>
      <w:r>
        <w:rPr>
          <w:b w:val="0"/>
          <w:sz w:val="19"/>
        </w:rPr>
        <w:t>[E10] P3 判定报告。步长与时间块存档；统一掩码复核见 E1。</w:t>
      </w:r>
    </w:p>
    <w:p>
      <w:pPr>
        <w:keepLines/>
        <w:spacing w:after="100"/>
      </w:pPr>
      <w:r>
        <w:rPr>
          <w:b w:val="0"/>
          <w:sz w:val="19"/>
        </w:rPr>
        <w:t>[E11] B+g 代入路线归档。原输出缺失，保留方法取舍记录。</w:t>
      </w:r>
    </w:p>
    <w:p>
      <w:pPr>
        <w:keepLines/>
        <w:spacing w:after="100"/>
      </w:pPr>
      <w:r>
        <w:rPr>
          <w:b w:val="0"/>
          <w:sz w:val="19"/>
        </w:rPr>
        <w:t>[E12] A0 原始结果。数值复现和空间压力测试见 E1，结论按后续复核收窄。</w:t>
      </w:r>
    </w:p>
    <w:p>
      <w:pPr>
        <w:keepLines/>
        <w:spacing w:after="100"/>
      </w:pPr>
      <w:r>
        <w:rPr>
          <w:b w:val="0"/>
          <w:sz w:val="19"/>
        </w:rPr>
        <w:t>[E13] A0 文献与行动方案。字典、标签、弱形式及结构化验证依据，建议实验尚未完成。</w:t>
      </w:r>
    </w:p>
    <w:p>
      <w:pPr>
        <w:keepLines/>
        <w:spacing w:after="100"/>
      </w:pPr>
      <w:r>
        <w:rPr>
          <w:b w:val="0"/>
          <w:sz w:val="19"/>
        </w:rPr>
        <w:t>[E14] 项目结构与初次代码审计。缺陷发现记录；其后已完成的修正见 E5。</w:t>
      </w:r>
    </w:p>
    <w:p>
      <w:pPr>
        <w:keepLines/>
        <w:spacing w:after="100"/>
      </w:pPr>
      <w:r>
        <w:rPr>
          <w:b w:val="0"/>
          <w:sz w:val="19"/>
        </w:rPr>
        <w:t>[E15] 历史沟通材料：reports/单次仿真截面邻域灵敏度解析研究报告.md 及同名 Word、outputs/阶段汇报.pptx、outputs/​preliminary_​oasis_​experiments/​SUMMARY.md。部分数值与结论已由 E1–E5 修正，不作为优先证据。</w:t>
      </w:r>
    </w:p>
    <w:p>
      <w:pPr>
        <w:keepLines/>
        <w:spacing w:after="100"/>
      </w:pPr>
      <w:r>
        <w:rPr>
          <w:b w:val="0"/>
          <w:sz w:val="19"/>
        </w:rPr>
        <w:t>[E16] 参数敏感度排序的可行性初查。基于历史响应 NPZ 的单工况全域及逐点排序，未新增 CFD 或训练。</w:t>
      </w:r>
    </w:p>
    <w:p>
      <w:pPr>
        <w:keepLines/>
        <w:spacing w:after="100"/>
      </w:pPr>
      <w:r>
        <w:rPr>
          <w:b w:val="0"/>
          <w:sz w:val="19"/>
        </w:rPr>
        <w:t>[E17] 单个新工况排序的数学条件。信息充分性、切线与伴随、误差区间及周期平均条件的推导，尚未由当前算法实现认证。</w:t>
      </w:r>
    </w:p>
    <w:p>
      <w:pPr>
        <w:pStyle w:val="Heading1"/>
      </w:pPr>
      <w:r>
        <w:t>附录C 可复用的代码与产物</w:t>
      </w:r>
    </w:p>
    <w:p>
      <w:pPr>
        <w:jc w:val="both"/>
      </w:pPr>
      <w:r>
        <w:rPr>
          <w:b w:val="0"/>
        </w:rPr>
        <w:t>主流程为 Step 1 数据抽取，Step 2 ψ 搜索，Step 3 速度及散度诊断，Step 4 输运 K，Step 5 七算例 T/​M/​K，Step 6 φ 响应评价。共享契约位于 pipeline_​contracts.py，测试位于 tests/。P0/​P1/​P2、ψ/​MLP 梯度审计、A0、独立结论复核与周期标签审计分别保留在 experiments/。</w:t>
      </w:r>
    </w:p>
    <w:p>
      <w:pPr>
        <w:jc w:val="both"/>
      </w:pPr>
      <w:r>
        <w:rPr>
          <w:b w:val="0"/>
        </w:rPr>
        <w:t>本汇总的六幅比较图由既有 CSV 重绘，不改变训练结果。附带的成果汇总附件_​2026-09-20/​evidence_​manifest.json 保存所引用文件的 SHA256、图表数据及关键数字检查；原始大文件的历史哈希记录仍保留在原审计清单中。复现新科研结果应遵循 E5 的顺序，在独立运行目录保存，避免覆盖旧模型与标签。</w:t>
      </w:r>
    </w:p>
    <w:p>
      <w:pPr>
        <w:pStyle w:val="Heading1"/>
      </w:pPr>
      <w:r>
        <w:t>附录D 已保存的代表性符号表达式</w:t>
      </w:r>
    </w:p>
    <w:p>
      <w:pPr>
        <w:jc w:val="both"/>
      </w:pPr>
      <w:r>
        <w:rPr>
          <w:b w:val="0"/>
        </w:rPr>
        <w:t>历史 ψ-B 的复杂度 21 表达式可以用辅助函数 A 写成下面的等价形式。系数保持存档精度，ξ、η 沿用主文的无量纲定义。</w:t>
      </w:r>
    </w:p>
    <w:p>
      <w:pPr>
        <w:keepLines/>
        <w:spacing w:before="60" w:after="140"/>
        <w:jc w:val="center"/>
      </w:pPr>
      <m:oMath>
        <m:r>
          <w:rPr>
            <w:rFonts w:ascii="Cambria Math" w:hAnsi="Cambria Math"/>
            <w:sz w:val="22"/>
          </w:rPr>
          <m:t xml:space="preserve">A(ξ,η) = </m:t>
        </m:r>
        <m:f>
          <m:num>
            <m:r>
              <w:rPr>
                <w:rFonts w:ascii="Cambria Math" w:hAnsi="Cambria Math"/>
                <w:sz w:val="22"/>
              </w:rPr>
              <m:t>ξ − 1.7832861</m:t>
            </m:r>
          </m:num>
          <m:den>
            <m:r>
              <w:rPr>
                <w:rFonts w:ascii="Cambria Math" w:hAnsi="Cambria Math"/>
                <w:sz w:val="22"/>
              </w:rPr>
              <m:t>cos</m:t>
            </m:r>
            <m:d>
              <m:dPr>
                <m:begChr m:val="("/>
                <m:endChr m:val=")"/>
              </m:dPr>
              <m:e>
                <m:r>
                  <w:rPr>
                    <w:rFonts w:ascii="Cambria Math" w:hAnsi="Cambria Math"/>
                    <w:sz w:val="22"/>
                  </w:rPr>
                  <m:t>0.71782035η</m:t>
                </m:r>
              </m:e>
            </m:d>
            <m:r>
              <w:rPr>
                <w:rFonts w:ascii="Cambria Math" w:hAnsi="Cambria Math"/>
                <w:sz w:val="22"/>
              </w:rPr>
              <m:t xml:space="preserve"> − 0.3375839</m:t>
            </m:r>
          </m:den>
        </m:f>
        <m:r>
          <w:rPr>
            <w:rFonts w:ascii="Cambria Math" w:hAnsi="Cambria Math"/>
            <w:sz w:val="22"/>
          </w:rPr>
          <m:t xml:space="preserve"> − 0.68956524</m:t>
        </m:r>
      </m:oMath>
    </w:p>
    <w:p>
      <w:pPr>
        <w:keepLines/>
        <w:spacing w:before="60" w:after="140"/>
        <w:jc w:val="center"/>
      </w:pPr>
      <m:oMath>
        <m:sSubSup>
          <m:e>
            <m:r>
              <w:rPr>
                <w:rFonts w:ascii="Cambria Math" w:hAnsi="Cambria Math"/>
                <w:sz w:val="22"/>
              </w:rPr>
              <m:t>ψ</m:t>
            </m:r>
          </m:e>
          <m:sub>
            <m:r>
              <w:rPr>
                <w:rFonts w:ascii="Cambria Math" w:hAnsi="Cambria Math"/>
                <w:sz w:val="22"/>
              </w:rPr>
              <m:t>0</m:t>
            </m:r>
          </m:sub>
          <m:sup>
            <m:r>
              <w:rPr>
                <w:rFonts w:ascii="Cambria Math" w:hAnsi="Cambria Math"/>
                <w:sz w:val="22"/>
              </w:rPr>
              <m:t>*</m:t>
            </m:r>
          </m:sup>
        </m:sSubSup>
        <m:r>
          <w:rPr>
            <w:rFonts w:ascii="Cambria Math" w:hAnsi="Cambria Math"/>
            <w:sz w:val="22"/>
          </w:rPr>
          <m:t>(ξ,η) = η + sin</m:t>
        </m:r>
        <m:d>
          <m:dPr>
            <m:begChr m:val="("/>
            <m:endChr m:val=")"/>
          </m:dPr>
          <m:e>
            <m:r>
              <w:rPr>
                <w:rFonts w:ascii="Cambria Math" w:hAnsi="Cambria Math"/>
                <w:sz w:val="22"/>
              </w:rPr>
              <m:t xml:space="preserve">η − </m:t>
            </m:r>
            <m:f>
              <m:num>
                <m:r>
                  <w:rPr>
                    <w:rFonts w:ascii="Cambria Math" w:hAnsi="Cambria Math"/>
                    <w:sz w:val="22"/>
                  </w:rPr>
                  <m:t>η</m:t>
                </m:r>
              </m:num>
              <m:den>
                <m:r>
                  <w:rPr>
                    <w:rFonts w:ascii="Cambria Math" w:hAnsi="Cambria Math"/>
                    <w:sz w:val="22"/>
                  </w:rPr>
                  <m:t>A(ξ,η)</m:t>
                </m:r>
              </m:den>
            </m:f>
            <m:r>
              <w:rPr>
                <w:rFonts w:ascii="Cambria Math" w:hAnsi="Cambria Math"/>
                <w:sz w:val="22"/>
              </w:rPr>
              <m:t xml:space="preserve"> − 0.054244295</m:t>
            </m:r>
          </m:e>
        </m:d>
      </m:oMath>
    </w:p>
    <w:p>
      <w:pPr>
        <w:jc w:val="both"/>
      </w:pPr>
      <w:r>
        <w:rPr>
          <w:b w:val="0"/>
        </w:rPr>
        <w:t>来源为 outputs_​mgn/​comsol/​eta_​sym_​psi/​results_​strategy_​b.csv 的复杂度 21 行。u* 与 v* 由该式对 η 和 ξ 求导恢复，主文的当前目标误差与此历史表达式对应。公式含分母，使用范围应限定在已经评价的域内，不应未经检查外推到分母接近零的区域。</w:t>
      </w:r>
    </w:p>
    <w:p>
      <w:pPr>
        <w:jc w:val="both"/>
      </w:pPr>
      <w:r>
        <w:rPr>
          <w:b w:val="0"/>
        </w:rPr>
        <w:t>历史半径响应 φR 的复杂度 25 表达式写为：</w:t>
      </w:r>
    </w:p>
    <w:p>
      <w:pPr>
        <w:keepLines/>
        <w:spacing w:before="60" w:after="140"/>
        <w:jc w:val="center"/>
      </w:pPr>
      <m:oMath>
        <m:r>
          <w:rPr>
            <w:rFonts w:ascii="Cambria Math" w:hAnsi="Cambria Math"/>
            <w:sz w:val="22"/>
          </w:rPr>
          <m:t>F(ξ,η) = η</m:t>
        </m:r>
        <m:d>
          <m:dPr>
            <m:begChr m:val="("/>
            <m:endChr m:val=")"/>
          </m:dPr>
          <m:e>
            <m:r>
              <w:rPr>
                <w:rFonts w:ascii="Cambria Math" w:hAnsi="Cambria Math"/>
                <w:sz w:val="22"/>
              </w:rPr>
              <m:t xml:space="preserve">1.3596838 − </m:t>
            </m:r>
            <m:sSup>
              <m:e>
                <m:r>
                  <w:rPr>
                    <w:rFonts w:ascii="Cambria Math" w:hAnsi="Cambria Math"/>
                    <w:sz w:val="22"/>
                  </w:rPr>
                  <m:t>η</m:t>
                </m:r>
              </m:e>
              <m:sup>
                <m:r>
                  <w:rPr>
                    <w:rFonts w:ascii="Cambria Math" w:hAnsi="Cambria Math"/>
                    <w:sz w:val="22"/>
                  </w:rPr>
                  <m:t>2</m:t>
                </m:r>
              </m:sup>
            </m:sSup>
          </m:e>
        </m:d>
        <m:r>
          <w:rPr>
            <w:rFonts w:ascii="Cambria Math" w:hAnsi="Cambria Math"/>
            <w:sz w:val="22"/>
          </w:rPr>
          <m:t xml:space="preserve"> + cos</m:t>
        </m:r>
        <m:d>
          <m:dPr>
            <m:begChr m:val="("/>
            <m:endChr m:val=")"/>
          </m:dPr>
          <m:e>
            <m:r>
              <w:rPr>
                <w:rFonts w:ascii="Cambria Math" w:hAnsi="Cambria Math"/>
                <w:sz w:val="22"/>
              </w:rPr>
              <m:t xml:space="preserve">ξ + </m:t>
            </m:r>
            <m:sSup>
              <m:e>
                <m:d>
                  <m:dPr>
                    <m:begChr m:val="("/>
                    <m:endChr m:val=")"/>
                  </m:dPr>
                  <m:e>
                    <m:r>
                      <w:rPr>
                        <w:rFonts w:ascii="Cambria Math" w:hAnsi="Cambria Math"/>
                        <w:sz w:val="22"/>
                      </w:rPr>
                      <m:t>η + 0.38234538</m:t>
                    </m:r>
                  </m:e>
                </m:d>
              </m:e>
              <m:sup>
                <m:r>
                  <w:rPr>
                    <w:rFonts w:ascii="Cambria Math" w:hAnsi="Cambria Math"/>
                    <w:sz w:val="22"/>
                  </w:rPr>
                  <m:t>2</m:t>
                </m:r>
              </m:sup>
            </m:sSup>
          </m:e>
        </m:d>
      </m:oMath>
    </w:p>
    <w:p>
      <w:pPr>
        <w:keepLines/>
        <w:spacing w:before="60" w:after="140"/>
        <w:jc w:val="center"/>
      </w:pPr>
      <m:oMath>
        <m:sSub>
          <m:e>
            <m:r>
              <w:rPr>
                <w:rFonts w:ascii="Cambria Math" w:hAnsi="Cambria Math"/>
                <w:sz w:val="22"/>
              </w:rPr>
              <m:t>φ</m:t>
            </m:r>
          </m:e>
          <m:sub>
            <m:r>
              <w:rPr>
                <w:rFonts w:ascii="Cambria Math" w:hAnsi="Cambria Math"/>
                <w:sz w:val="22"/>
              </w:rPr>
              <m:t>R</m:t>
            </m:r>
          </m:sub>
        </m:sSub>
        <m:r>
          <w:rPr>
            <w:rFonts w:ascii="Cambria Math" w:hAnsi="Cambria Math"/>
            <w:sz w:val="22"/>
          </w:rPr>
          <m:t xml:space="preserve">(ξ,η) = </m:t>
        </m:r>
        <m:d>
          <m:dPr>
            <m:begChr m:val="("/>
            <m:endChr m:val=")"/>
          </m:dPr>
          <m:e>
            <m:r>
              <w:rPr>
                <w:rFonts w:ascii="Cambria Math" w:hAnsi="Cambria Math"/>
                <w:sz w:val="22"/>
              </w:rPr>
              <m:t>11.504055 − ξ</m:t>
            </m:r>
          </m:e>
        </m:d>
        <m:d>
          <m:dPr>
            <m:begChr m:val="("/>
            <m:endChr m:val=")"/>
          </m:dPr>
          <m:e>
            <m:r>
              <w:rPr>
                <w:rFonts w:ascii="Cambria Math" w:hAnsi="Cambria Math"/>
                <w:sz w:val="22"/>
              </w:rPr>
              <m:t>F(ξ,η) − cos</m:t>
            </m:r>
            <m:d>
              <m:dPr>
                <m:begChr m:val="("/>
                <m:endChr m:val=")"/>
              </m:dPr>
              <m:e>
                <m:r>
                  <w:rPr>
                    <w:rFonts w:ascii="Cambria Math" w:hAnsi="Cambria Math"/>
                    <w:sz w:val="22"/>
                  </w:rPr>
                  <m:t>sin</m:t>
                </m:r>
                <m:d>
                  <m:dPr>
                    <m:begChr m:val="("/>
                    <m:endChr m:val=")"/>
                  </m:dPr>
                  <m:e>
                    <m:r>
                      <w:rPr>
                        <w:rFonts w:ascii="Cambria Math" w:hAnsi="Cambria Math"/>
                        <w:sz w:val="22"/>
                      </w:rPr>
                      <m:t>sin ξ</m:t>
                    </m:r>
                  </m:e>
                </m:d>
              </m:e>
            </m:d>
            <m:r>
              <w:rPr>
                <w:rFonts w:ascii="Cambria Math" w:hAnsi="Cambria Math"/>
                <w:sz w:val="22"/>
              </w:rPr>
              <m:t xml:space="preserve"> + 0.19094007</m:t>
            </m:r>
          </m:e>
        </m:d>
      </m:oMath>
    </w:p>
    <w:p>
      <w:pPr>
        <w:jc w:val="both"/>
      </w:pPr>
      <w:r>
        <w:rPr>
          <w:b w:val="0"/>
        </w:rPr>
        <w:t>来源为 outputs_​mgn/​fd_​check/​phi_​R_​pysr/​results_​strategy_​b.csv，并由 E1 在当前 FD 目标上重算。其两个参考坐标偏导给出半径内在响应 Mu、Mv；所用参数 R 以米计。A 与 F 仅为排版引入的辅助记号，没有增加训练步骤或改变模型。两式是已获得的经验表达式，不代表已经发现普适流动定律，实际精度和信息条件以主文第 4、5 节为准。</w:t>
      </w:r>
    </w:p>
    <w:sectPr w:rsidR="00FC693F" w:rsidRPr="0006063C" w:rsidSect="00034616">
      <w:footerReference w:type="default" r:id="rId9"/>
      <w:pgSz w:w="11906" w:h="16838"/>
      <w:pgMar w:top="1077" w:right="1247" w:bottom="1020" w:left="1247"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圆柱绕流研究成果汇总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8" w:lineRule="auto" w:after="100"/>
    </w:pPr>
    <w:rPr>
      <w:rFonts w:ascii="Calibri" w:hAnsi="Calibri" w:eastAsia="宋体"/>
      <w:b w:val="0"/>
      <w:color w:val="000000"/>
      <w:sz w:val="21"/>
      <w:lang w:val="en-US" w:eastAsia="zh-C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Calibri" w:hAnsi="Calibri" w:eastAsia="微软雅黑"/>
      <w:b/>
      <w:bCs/>
      <w:color w:val="000000"/>
      <w:sz w:val="30"/>
      <w:szCs w:val="28"/>
      <w:lang w:val="en-US" w:eastAsia="zh-CN"/>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Calibri" w:hAnsi="Calibri" w:eastAsia="微软雅黑"/>
      <w:b/>
      <w:bCs/>
      <w:color w:val="000000"/>
      <w:sz w:val="24"/>
      <w:szCs w:val="26"/>
      <w:lang w:val="en-US" w:eastAsia="zh-CN"/>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Calibri" w:hAnsi="Calibri" w:eastAsia="微软雅黑"/>
      <w:b/>
      <w:color w:val="000000"/>
      <w:spacing w:val="5"/>
      <w:kern w:val="28"/>
      <w:sz w:val="46"/>
      <w:szCs w:val="52"/>
      <w:lang w:val="en-US" w:eastAsia="zh-CN"/>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40" w:lineRule="auto" w:after="180"/>
    </w:pPr>
    <w:rPr>
      <w:rFonts w:ascii="Calibri" w:hAnsi="Calibri" w:eastAsia="宋体"/>
      <w:b w:val="0"/>
      <w:bCs/>
      <w:i w:val="0"/>
      <w:color w:val="000000"/>
      <w:sz w:val="18"/>
      <w:szCs w:val="18"/>
      <w:lang w:val="en-US" w:eastAsia="zh-CN"/>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圆柱绕流符号建模与灵敏度研究成果汇总报告</dc:title>
  <dc:subject>项目成果与验证边界</dc:subject>
  <dc:creator/>
  <cp:keywords>PISR;流函数;灵敏度;符号回归;成果汇总</cp:keywords>
  <dc:description>generated by python-docx</dc:description>
  <cp:lastModifiedBy/>
  <cp:revision>1</cp:revision>
  <dcterms:created xsi:type="dcterms:W3CDTF">2013-12-23T23:15:00Z</dcterms:created>
  <dcterms:modified xsi:type="dcterms:W3CDTF">2013-12-23T23:15:00Z</dcterms:modified>
  <cp:category/>
</cp:coreProperties>
</file>