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发票与付款</w:t>
      </w:r>
    </w:p>
    <w:p>
      <w:r>
        <w:t>开具 13% 增值税专用发票或普通发票。</w:t>
      </w:r>
    </w:p>
    <w:p>
      <w:r>
        <w:t>付款比例：30% / 60% / 10%（签合同 / 发货前 / 验收后）。</w:t>
      </w:r>
    </w:p>
    <w:p>
      <w:r>
        <w:t>对公账户：东莞市木序家具有限公司　开户行：示例银行东莞厚街支行　账号：0000 0000 0000 0000（示例）</w:t>
      </w:r>
    </w:p>
    <w:p>
      <w:r>
        <w:t>不接受个人账户收款。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