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案例：某跨境电商公司新办公室（深圳宝安）</w:t>
      </w:r>
    </w:p>
    <w:p>
      <w:r>
        <w:t>客户：某跨境电商公司（客户要求不公开名称，内部代号「腾飞」），80 人</w:t>
      </w:r>
    </w:p>
    <w:p>
      <w:pPr>
        <w:pStyle w:val="Heading2"/>
      </w:pPr>
      <w:r>
        <w:t>客户的问题</w:t>
      </w:r>
    </w:p>
    <w:p>
      <w:r>
        <w:t>租了新写字楼，旧办公室租约 1 个月后到期，必须在 3 周内搬进去；运营团队要多屏工位，老板要 3 间能开视频会的会议室。</w:t>
      </w:r>
    </w:p>
    <w:p>
      <w:pPr>
        <w:pStyle w:val="Heading2"/>
      </w:pPr>
      <w:r>
        <w:t>我们做了什么</w:t>
      </w:r>
    </w:p>
    <w:p>
      <w:pPr>
        <w:pStyle w:val="ListBullet"/>
      </w:pPr>
      <w:r>
        <w:t>第 2 天上门量尺，第 4 天出 3D 方案，改了 1 版</w:t>
      </w:r>
    </w:p>
    <w:p>
      <w:pPr>
        <w:pStyle w:val="ListBullet"/>
      </w:pPr>
      <w:r>
        <w:t>80 个 MX-W140 宽工位（加装双屏支架）、3 张 MX-M240 会议桌、4 组 MX-F90 文件柜</w:t>
      </w:r>
    </w:p>
    <w:p>
      <w:pPr>
        <w:pStyle w:val="ListBullet"/>
      </w:pPr>
      <w:r>
        <w:t>工厂排产 10 天，周末两天进场安装</w:t>
      </w:r>
    </w:p>
    <w:p>
      <w:pPr>
        <w:pStyle w:val="Heading2"/>
      </w:pPr>
      <w:r>
        <w:t>结果</w:t>
      </w:r>
    </w:p>
    <w:p>
      <w:r>
        <w:t>签合同后 13 个工作日完成交付，比客户要求提前 1 周。合同金额约 18.6 万元。客户后来介绍了同园区 2 家公司。</w:t>
      </w:r>
    </w:p>
    <w:p>
      <w:r>
        <w:t>可对外使用：可以，不提公司名称（销售部 2026-05 确认）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