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Autospacing="0" w:afterAutospacing="0" w:line="640" w:lineRule="exact"/>
        <w:jc w:val="left"/>
        <w:rPr>
          <w:rFonts w:hint="default" w:ascii="Times New Roman" w:hAnsi="Times New Roman" w:eastAsia="方正楷体_GBK" w:cs="Times New Roman"/>
          <w:b w:val="0"/>
          <w:bC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楷体_GBK" w:cs="Times New Roman"/>
          <w:b w:val="0"/>
          <w:bC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题目1</w:t>
      </w:r>
      <w:r>
        <w:rPr>
          <w:rFonts w:hint="eastAsia" w:ascii="Times New Roman" w:hAnsi="Times New Roman" w:eastAsia="方正楷体_GBK" w:cs="Times New Roman"/>
          <w:b w:val="0"/>
          <w:bC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8：</w:t>
      </w:r>
      <w:bookmarkStart w:id="0" w:name="_GoBack"/>
      <w:bookmarkEnd w:id="0"/>
    </w:p>
    <w:p>
      <w:pPr>
        <w:pStyle w:val="2"/>
        <w:spacing w:beforeAutospacing="0" w:afterAutospacing="0" w:line="640" w:lineRule="exact"/>
        <w:jc w:val="center"/>
        <w:rPr>
          <w:rFonts w:hint="eastAsia" w:ascii="Times New Roman" w:hAnsi="Times New Roman" w:eastAsia="方正大标宋_GBK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大标宋_GBK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方正大标宋_GBK"/>
          <w:b w:val="0"/>
          <w:bCs w:val="0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大模型增强的高风险用户识别</w:t>
      </w:r>
      <w:r>
        <w:rPr>
          <w:rFonts w:hint="eastAsia" w:ascii="Times New Roman" w:hAnsi="Times New Roman" w:eastAsia="方正大标宋_GBK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2"/>
        <w:spacing w:beforeAutospacing="0" w:afterAutospacing="0" w:line="640" w:lineRule="exact"/>
        <w:jc w:val="center"/>
        <w:rPr>
          <w:rFonts w:hint="default" w:ascii="Times New Roman" w:hAnsi="Times New Roman" w:eastAsia="方正大标宋_GBK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大标宋_GBK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比赛方案</w:t>
      </w:r>
    </w:p>
    <w:p>
      <w:pPr>
        <w:spacing w:line="640" w:lineRule="exact"/>
        <w:jc w:val="center"/>
        <w:rPr>
          <w:rFonts w:eastAsia="方正楷体简体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方正楷体简体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eastAsia="方正楷体简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中国电信集团有限公司</w:t>
      </w:r>
      <w:r>
        <w:rPr>
          <w:rFonts w:eastAsia="方正楷体简体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spacing w:line="560" w:lineRule="exact"/>
        <w:jc w:val="both"/>
        <w:outlineLvl w:val="0"/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ind w:firstLine="640"/>
        <w:jc w:val="both"/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组织单位</w:t>
      </w:r>
    </w:p>
    <w:p>
      <w:pPr>
        <w:spacing w:line="560" w:lineRule="exact"/>
        <w:ind w:firstLine="640" w:firstLineChars="200"/>
        <w:jc w:val="both"/>
        <w:rPr>
          <w:rFonts w:hint="default" w:eastAsia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中国</w:t>
      </w:r>
      <w:r>
        <w:rPr>
          <w:rFonts w:hint="eastAsia" w:eastAsia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电信集团有限公司</w:t>
      </w:r>
    </w:p>
    <w:p>
      <w:pPr>
        <w:pStyle w:val="3"/>
        <w:ind w:firstLine="640"/>
        <w:jc w:val="both"/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题目名称</w:t>
      </w:r>
    </w:p>
    <w:p>
      <w:pPr>
        <w:spacing w:line="560" w:lineRule="exact"/>
        <w:ind w:firstLine="640" w:firstLineChars="200"/>
        <w:jc w:val="both"/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大模型增强的高风险用户识别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题目介绍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在数字化快速发展的今天，电话作为一种传统的通讯方式，在我们的日常生活中扮演着重要角色。然而，随着技术的进步，不法分子也利用电话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等</w:t>
      </w:r>
      <w:r>
        <w:rPr>
          <w:rFonts w:hint="eastAsia" w:eastAsia="方正仿宋_GBK"/>
          <w:kern w:val="2"/>
          <w:sz w:val="32"/>
          <w:szCs w:val="32"/>
          <w:lang w:val="en-US"/>
        </w:rPr>
        <w:t>渠道进行欺诈活动，给社会带来了极大的困扰。如何有效识别并防范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电话诈骗类高风险用户</w:t>
      </w:r>
      <w:r>
        <w:rPr>
          <w:rFonts w:hint="eastAsia" w:eastAsia="方正仿宋_GBK"/>
          <w:kern w:val="2"/>
          <w:sz w:val="32"/>
          <w:szCs w:val="32"/>
          <w:lang w:val="en-US"/>
        </w:rPr>
        <w:t>，已成为一个亟待解决的社会性难题。传统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的高风险用户识</w:t>
      </w:r>
      <w:r>
        <w:rPr>
          <w:rFonts w:hint="eastAsia" w:eastAsia="方正仿宋_GBK"/>
          <w:kern w:val="2"/>
          <w:sz w:val="32"/>
          <w:szCs w:val="32"/>
          <w:lang w:val="en-US"/>
        </w:rPr>
        <w:t>别算法，虽然在一定程度上能够识别出部分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高风险用户号码</w:t>
      </w:r>
      <w:r>
        <w:rPr>
          <w:rFonts w:hint="eastAsia" w:eastAsia="方正仿宋_GBK"/>
          <w:kern w:val="2"/>
          <w:sz w:val="32"/>
          <w:szCs w:val="32"/>
          <w:lang w:val="en-US"/>
        </w:rPr>
        <w:t>，但由于其算法设计的局限性，经常将快递、外卖、客服、销售等电话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进行误判</w:t>
      </w:r>
      <w:r>
        <w:rPr>
          <w:rFonts w:hint="eastAsia" w:eastAsia="方正仿宋_GBK"/>
          <w:kern w:val="2"/>
          <w:sz w:val="32"/>
          <w:szCs w:val="32"/>
          <w:lang w:val="en-US"/>
        </w:rPr>
        <w:t>，这不仅给广大用户带来了不便，也增加了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高风险用户识别</w:t>
      </w:r>
      <w:r>
        <w:rPr>
          <w:rFonts w:hint="eastAsia" w:eastAsia="方正仿宋_GBK"/>
          <w:kern w:val="2"/>
          <w:sz w:val="32"/>
          <w:szCs w:val="32"/>
          <w:lang w:val="en-US"/>
        </w:rPr>
        <w:t>的难度。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因此</w:t>
      </w:r>
      <w:r>
        <w:rPr>
          <w:rFonts w:hint="eastAsia" w:eastAsia="方正仿宋_GBK"/>
          <w:kern w:val="2"/>
          <w:sz w:val="32"/>
          <w:szCs w:val="32"/>
          <w:lang w:val="en-US"/>
        </w:rPr>
        <w:t>需要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在传统算法中</w:t>
      </w:r>
      <w:r>
        <w:rPr>
          <w:rFonts w:hint="eastAsia" w:eastAsia="方正仿宋_GBK"/>
          <w:kern w:val="2"/>
          <w:sz w:val="32"/>
          <w:szCs w:val="32"/>
          <w:lang w:val="en-US"/>
        </w:rPr>
        <w:t>对特征进行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深入</w:t>
      </w:r>
      <w:r>
        <w:rPr>
          <w:rFonts w:hint="eastAsia" w:eastAsia="方正仿宋_GBK"/>
          <w:kern w:val="2"/>
          <w:sz w:val="32"/>
          <w:szCs w:val="32"/>
          <w:lang w:val="en-US"/>
        </w:rPr>
        <w:t>分析，创建更加高相关的特征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，同时可以结合</w:t>
      </w:r>
      <w:r>
        <w:rPr>
          <w:rFonts w:hint="eastAsia" w:eastAsia="方正仿宋_GBK"/>
          <w:kern w:val="2"/>
          <w:sz w:val="32"/>
          <w:szCs w:val="32"/>
          <w:lang w:val="en-US"/>
        </w:rPr>
        <w:t>大模型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等新技术进一步探索高风险用户识别的准确度和效率。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本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赛</w:t>
      </w:r>
      <w:r>
        <w:rPr>
          <w:rFonts w:hint="eastAsia" w:eastAsia="方正仿宋_GBK"/>
          <w:kern w:val="2"/>
          <w:sz w:val="32"/>
          <w:szCs w:val="32"/>
          <w:lang w:val="en-US"/>
        </w:rPr>
        <w:t>题旨在利用用户基础标签、通话、流量等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多维度</w:t>
      </w:r>
      <w:r>
        <w:rPr>
          <w:rFonts w:hint="eastAsia" w:eastAsia="方正仿宋_GBK"/>
          <w:kern w:val="2"/>
          <w:sz w:val="32"/>
          <w:szCs w:val="32"/>
          <w:lang w:val="en-US"/>
        </w:rPr>
        <w:t>数据，充分利用人工智能技术，特别是大模型技术，实现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对高风险用户</w:t>
      </w:r>
      <w:r>
        <w:rPr>
          <w:rFonts w:hint="eastAsia" w:eastAsia="方正仿宋_GBK"/>
          <w:kern w:val="2"/>
          <w:sz w:val="32"/>
          <w:szCs w:val="32"/>
          <w:lang w:val="en-US"/>
        </w:rPr>
        <w:t>的精准识别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</w:t>
      </w:r>
      <w:r>
        <w:rPr>
          <w:rFonts w:hint="eastAsia" w:eastAsia="方正仿宋_GBK"/>
          <w:kern w:val="2"/>
          <w:sz w:val="32"/>
          <w:szCs w:val="32"/>
          <w:lang w:val="en-US"/>
        </w:rPr>
        <w:t>从而有效提高治理欺诈电话的准确度和覆盖范围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</w:t>
      </w:r>
      <w:r>
        <w:rPr>
          <w:rFonts w:hint="eastAsia" w:eastAsia="方正仿宋_GBK"/>
          <w:kern w:val="2"/>
          <w:sz w:val="32"/>
          <w:szCs w:val="32"/>
          <w:lang w:val="en-US"/>
        </w:rPr>
        <w:t>为用户带来更加安全、便捷的通讯环境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</w:t>
      </w:r>
      <w:r>
        <w:rPr>
          <w:rFonts w:hint="eastAsia" w:eastAsia="方正仿宋_GBK"/>
          <w:kern w:val="2"/>
          <w:sz w:val="32"/>
          <w:szCs w:val="32"/>
          <w:lang w:val="en-US"/>
        </w:rPr>
        <w:t>提升用户体验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参赛对象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2024年6月1日以前正式注册的全日制非成人教育的各类高等院校在校专科生、本科生、硕士研究生（不含在职研究生）均可申报作品参赛，以个人或团队形式参赛均可，每个团队不超过10人（含作品申报者），每件作品可由不超过3名教师指导完成。可以跨专业、跨校、跨地域组队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本校硕博连读生（直博生）若在2024年6月1日以前未通过博士资格考试的，可以按研究生学历申报作品。没有实行资格考试制度的学校，前两年可以按硕士学历申报作品。本硕博连读生，按照四年、两年分别对应本、硕申报，后续则不可申报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毕业设计和课程设计（论文）、学年论文和学位论文、国际竞赛中获奖的作品、获国家级奖励成果（含本竞赛主办单位参与举办的其他全国性竞赛的获奖作品）等均不在申报范围之列。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每件作品仅可由1所高校推报，高校在推报前要对参赛团队成员及作品进行相关资格审查。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每所学校选送参加专项赛的作品数量不设限制，但同一作品不得同时参加第十九届</w:t>
      </w:r>
      <w:r>
        <w:rPr>
          <w:rFonts w:hint="eastAsia" w:eastAsia="方正仿宋_GBK"/>
          <w:kern w:val="2"/>
          <w:sz w:val="32"/>
          <w:szCs w:val="32"/>
          <w:highlight w:val="none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挑战杯</w:t>
      </w:r>
      <w:r>
        <w:rPr>
          <w:rFonts w:hint="eastAsia" w:eastAsia="方正仿宋_GBK"/>
          <w:kern w:val="2"/>
          <w:sz w:val="32"/>
          <w:szCs w:val="32"/>
          <w:highlight w:val="none"/>
          <w:lang w:val="en-US" w:eastAsia="zh-CN"/>
        </w:rPr>
        <w:t>”</w:t>
      </w: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全国大学生课外学术科技作品竞赛主体赛事自然科学类学术论文、哲学社会科学类调查报告、科技发明制作作品评比。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答题要求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本次比赛可以通过传统机器学习、大模型技术等方式构建高风险用户识别模型，以实现对用户行为的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精准</w:t>
      </w:r>
      <w:r>
        <w:rPr>
          <w:rFonts w:hint="eastAsia" w:eastAsia="方正仿宋_GBK"/>
          <w:kern w:val="2"/>
          <w:sz w:val="32"/>
          <w:szCs w:val="32"/>
          <w:lang w:val="en-US"/>
        </w:rPr>
        <w:t>识别。参赛者需理解给定的赛题文件，结合用户在移动网络下的行为特征，并以此为依据开展挖掘建模，精准识别用户的标签分类。参赛者可以运用各种创新的算法和技术，如深度学习、强化学习等，以提高模型的识别精度和稳定性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本次比赛主办方为参赛选手提供统一的平台资源及工具能力，参赛选手利用竞赛平台进行数据开发和建模操作，按照要求完成赛题。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大模型鼓励优先使用中国电信自研星辰大模型开源版本，进行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高风险用户识别</w:t>
      </w:r>
      <w:r>
        <w:rPr>
          <w:rFonts w:hint="eastAsia" w:eastAsia="方正仿宋_GBK"/>
          <w:kern w:val="2"/>
          <w:sz w:val="32"/>
          <w:szCs w:val="32"/>
          <w:lang w:val="en-US"/>
        </w:rPr>
        <w:t>模型的训练和开发。使用大模型开发的队伍在初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评</w:t>
      </w:r>
      <w:r>
        <w:rPr>
          <w:rFonts w:hint="eastAsia" w:eastAsia="方正仿宋_GBK"/>
          <w:kern w:val="2"/>
          <w:sz w:val="32"/>
          <w:szCs w:val="32"/>
          <w:lang w:val="en-US"/>
        </w:rPr>
        <w:t>阶段以本地开发为主，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终审</w:t>
      </w:r>
      <w:r>
        <w:rPr>
          <w:rFonts w:hint="eastAsia" w:eastAsia="方正仿宋_GBK"/>
          <w:kern w:val="2"/>
          <w:sz w:val="32"/>
          <w:szCs w:val="32"/>
          <w:lang w:val="en-US"/>
        </w:rPr>
        <w:t>及擂台赛主办方将为每个队伍提供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1</w:t>
      </w:r>
      <w:r>
        <w:rPr>
          <w:rFonts w:hint="eastAsia" w:eastAsia="方正仿宋_GBK"/>
          <w:kern w:val="2"/>
          <w:sz w:val="32"/>
          <w:szCs w:val="32"/>
          <w:lang w:val="en-US"/>
        </w:rPr>
        <w:t>张高性能显卡进行比赛，最终将作品按要求提交至竞赛平台进行评分。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中国电信自研星辰大模型7b参数开源版本下载地址如下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：</w:t>
      </w:r>
      <w:r>
        <w:rPr>
          <w:rFonts w:hint="eastAsia" w:eastAsia="方正仿宋_GBK"/>
          <w:kern w:val="2"/>
          <w:sz w:val="32"/>
          <w:szCs w:val="32"/>
          <w:lang w:val="en-US"/>
        </w:rPr>
        <w:t>Github地址https://github.com/Tele-AI/Telechat/；Hugging Face地址https://huggingface.co/Tele-AI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作品形式应包括如下两部分内容：PP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T</w:t>
      </w:r>
      <w:r>
        <w:rPr>
          <w:rFonts w:hint="eastAsia" w:eastAsia="方正仿宋_GBK"/>
          <w:kern w:val="2"/>
          <w:sz w:val="32"/>
          <w:szCs w:val="32"/>
          <w:lang w:val="en-US"/>
        </w:rPr>
        <w:t>作品方案介绍+作品代码，PPT方案中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包含但不限于设计思路、</w:t>
      </w:r>
      <w:r>
        <w:rPr>
          <w:rFonts w:hint="eastAsia" w:eastAsia="方正仿宋_GBK"/>
          <w:kern w:val="2"/>
          <w:sz w:val="32"/>
          <w:szCs w:val="32"/>
          <w:highlight w:val="none"/>
          <w:lang w:val="en-US" w:eastAsia="zh-CN"/>
        </w:rPr>
        <w:t>研究过程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、成果及创新点等内容，并</w:t>
      </w:r>
      <w:r>
        <w:rPr>
          <w:rFonts w:hint="eastAsia" w:eastAsia="方正仿宋_GBK"/>
          <w:kern w:val="2"/>
          <w:sz w:val="32"/>
          <w:szCs w:val="32"/>
          <w:lang w:val="en-US"/>
        </w:rPr>
        <w:t>提供相关的举证演示视频及截图等材料。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作品评选标准</w:t>
      </w:r>
    </w:p>
    <w:p>
      <w:pPr>
        <w:spacing w:line="560" w:lineRule="exact"/>
        <w:ind w:firstLine="640" w:firstLineChars="200"/>
        <w:rPr>
          <w:rFonts w:hint="eastAsia" w:ascii="方正仿宋_GBK" w:eastAsia="方正仿宋_GBK"/>
          <w:color w:val="000000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主要按照作品完整性、作品算法准确性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及大模型应用</w:t>
      </w:r>
      <w:r>
        <w:rPr>
          <w:rFonts w:hint="eastAsia" w:eastAsia="方正仿宋_GBK"/>
          <w:kern w:val="2"/>
          <w:sz w:val="32"/>
          <w:szCs w:val="32"/>
          <w:lang w:val="en-US"/>
        </w:rPr>
        <w:t>和作品创新性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3</w:t>
      </w:r>
      <w:r>
        <w:rPr>
          <w:rFonts w:hint="eastAsia" w:eastAsia="方正仿宋_GBK"/>
          <w:kern w:val="2"/>
          <w:sz w:val="32"/>
          <w:szCs w:val="32"/>
          <w:lang w:val="en-US"/>
        </w:rPr>
        <w:t>个方面进行综合评价，分值分配情况如下：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作品完整性</w:t>
      </w: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eastAsia="方正楷体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30分</w:t>
      </w: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560" w:lineRule="exact"/>
        <w:ind w:firstLine="640" w:firstLineChars="200"/>
        <w:rPr>
          <w:rFonts w:hint="eastAsia" w:ascii="方正仿宋_GBK" w:eastAsia="方正仿宋_GBK"/>
          <w:color w:val="000000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作品的源代码、可执行程序等可以在测试服务器硬件系统上进行部署和正确运行。</w:t>
      </w:r>
    </w:p>
    <w:p>
      <w:pPr>
        <w:pStyle w:val="17"/>
        <w:numPr>
          <w:ilvl w:val="0"/>
          <w:numId w:val="3"/>
        </w:numPr>
        <w:spacing w:line="560" w:lineRule="exact"/>
        <w:ind w:left="0" w:leftChars="0" w:firstLine="640" w:firstLineChars="200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作品算法准确性及大模型应用（50分）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对参赛算法进行实际考核测试，计算识别结果的F1值获取相应得分及大模型应用的效果综合评分。</w:t>
      </w:r>
    </w:p>
    <w:p>
      <w:pPr>
        <w:pStyle w:val="17"/>
        <w:numPr>
          <w:ilvl w:val="0"/>
          <w:numId w:val="3"/>
        </w:numPr>
        <w:spacing w:line="560" w:lineRule="exact"/>
        <w:ind w:left="0" w:leftChars="0" w:firstLine="640" w:firstLineChars="200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作品创新性（20分）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作品采用技术方案和架构具备创新性，在场景应用上具备实用性和创新性。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作品提交时间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作品提交时间：2024年5月-2024年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7</w:t>
      </w:r>
      <w:r>
        <w:rPr>
          <w:rFonts w:hint="eastAsia" w:eastAsia="方正仿宋_GBK"/>
          <w:kern w:val="2"/>
          <w:sz w:val="32"/>
          <w:szCs w:val="32"/>
          <w:lang w:val="en-US"/>
        </w:rPr>
        <w:t>月30日18点截止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</w:t>
      </w:r>
      <w:r>
        <w:rPr>
          <w:rFonts w:hint="eastAsia" w:eastAsia="方正仿宋_GBK"/>
          <w:kern w:val="2"/>
          <w:sz w:val="32"/>
          <w:szCs w:val="32"/>
          <w:lang w:val="en-US"/>
        </w:rPr>
        <w:t>具体提交要求详见作品提交方式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初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评</w:t>
      </w:r>
      <w:r>
        <w:rPr>
          <w:rFonts w:hint="eastAsia" w:eastAsia="方正仿宋_GBK"/>
          <w:kern w:val="2"/>
          <w:sz w:val="32"/>
          <w:szCs w:val="32"/>
          <w:lang w:val="en-US"/>
        </w:rPr>
        <w:t>时间：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8</w:t>
      </w:r>
      <w:r>
        <w:rPr>
          <w:rFonts w:hint="eastAsia" w:eastAsia="方正仿宋_GBK"/>
          <w:kern w:val="2"/>
          <w:sz w:val="32"/>
          <w:szCs w:val="32"/>
          <w:lang w:val="en-US"/>
        </w:rPr>
        <w:t>月，根据评分标准进行评审，在评审结束后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公布</w:t>
      </w:r>
      <w:r>
        <w:rPr>
          <w:rFonts w:hint="eastAsia" w:eastAsia="方正仿宋_GBK"/>
          <w:kern w:val="2"/>
          <w:sz w:val="32"/>
          <w:szCs w:val="32"/>
          <w:lang w:val="en-US"/>
        </w:rPr>
        <w:t>入围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终审的晋级作品和团队。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终审及</w:t>
      </w:r>
      <w:r>
        <w:rPr>
          <w:rFonts w:hint="eastAsia" w:eastAsia="方正仿宋_GBK"/>
          <w:kern w:val="2"/>
          <w:sz w:val="32"/>
          <w:szCs w:val="32"/>
          <w:lang w:val="en-US"/>
        </w:rPr>
        <w:t>擂台赛时间：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9</w:t>
      </w:r>
      <w:r>
        <w:rPr>
          <w:rFonts w:hint="eastAsia" w:eastAsia="方正仿宋_GBK"/>
          <w:kern w:val="2"/>
          <w:sz w:val="32"/>
          <w:szCs w:val="32"/>
          <w:lang w:val="en-US"/>
        </w:rPr>
        <w:t>月，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晋级</w:t>
      </w:r>
      <w:r>
        <w:rPr>
          <w:rFonts w:hint="eastAsia" w:eastAsia="方正仿宋_GBK"/>
          <w:kern w:val="2"/>
          <w:sz w:val="32"/>
          <w:szCs w:val="32"/>
          <w:lang w:val="en-US"/>
        </w:rPr>
        <w:t>参赛队伍需在初评结果公布后继续完善并再次提交作品，并选派代表参与答辩，根据评审结果公布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终审</w:t>
      </w:r>
      <w:r>
        <w:rPr>
          <w:rFonts w:hint="eastAsia" w:eastAsia="方正仿宋_GBK"/>
          <w:kern w:val="2"/>
          <w:sz w:val="32"/>
          <w:szCs w:val="32"/>
          <w:lang w:val="en-US"/>
        </w:rPr>
        <w:t>获奖名单，原则上评出5个特等奖，一、二、三等奖各5个。5个特等奖团队，进行擂台赛，评出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lang w:val="en-US"/>
        </w:rPr>
        <w:t>擂主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”</w:t>
      </w:r>
      <w:r>
        <w:rPr>
          <w:rFonts w:hint="eastAsia" w:eastAsia="方正仿宋_GBK"/>
          <w:kern w:val="2"/>
          <w:sz w:val="32"/>
          <w:szCs w:val="32"/>
          <w:lang w:val="en-US"/>
        </w:rPr>
        <w:t>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参赛报名及作品提交方式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textAlignment w:val="auto"/>
        <w:rPr>
          <w:rFonts w:hint="eastAsia" w:eastAsia="方正楷体_GBK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 网上报名方式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（1</w:t>
      </w:r>
      <w:r>
        <w:rPr>
          <w:rFonts w:hint="eastAsia" w:eastAsia="方正仿宋_GBK"/>
          <w:kern w:val="2"/>
          <w:sz w:val="32"/>
          <w:szCs w:val="32"/>
          <w:highlight w:val="none"/>
          <w:lang w:val="en-US" w:eastAsia="zh-CN"/>
        </w:rPr>
        <w:t>）</w:t>
      </w: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请参赛同学通过PC电脑端登录报名网站（https://fxyh-t.bocmartech.com/jbgs/#/login），在线填写报名信息。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（2）报名信息提交后，请将系统生成报名表下载打印，根据提示，由申报人所在学校的学籍管理部门、院系、团委等部门分别进行审核（需严格按要求在指定位置完成签字和盖章）。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（3）将审核通过的报名表扫描件上传系统，等待所在学校及发榜单位审核。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（4）请参赛同学注意查看审核状态，如审核不通过，需重新提交。具体操作流程详见报名网站《操作手册》。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（5）报名审核通过后，</w:t>
      </w:r>
      <w:r>
        <w:rPr>
          <w:rFonts w:hint="eastAsia" w:eastAsia="方正仿宋_GBK"/>
          <w:kern w:val="2"/>
          <w:sz w:val="32"/>
          <w:szCs w:val="32"/>
          <w:lang w:val="en-US"/>
        </w:rPr>
        <w:t>主办单位将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进一步</w:t>
      </w:r>
      <w:r>
        <w:rPr>
          <w:rFonts w:hint="eastAsia" w:eastAsia="方正仿宋_GBK"/>
          <w:kern w:val="2"/>
          <w:sz w:val="32"/>
          <w:szCs w:val="32"/>
          <w:lang w:val="en-US"/>
        </w:rPr>
        <w:t>组织各参赛队伍完成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lang w:val="en-US"/>
        </w:rPr>
        <w:t>中国电信星海大数据竞赛平台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”</w:t>
      </w:r>
      <w:r>
        <w:rPr>
          <w:rFonts w:hint="eastAsia" w:eastAsia="方正仿宋_GBK"/>
          <w:kern w:val="2"/>
          <w:sz w:val="32"/>
          <w:szCs w:val="32"/>
          <w:lang w:val="en-US"/>
        </w:rPr>
        <w:t>报名及组队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，</w:t>
      </w:r>
      <w:r>
        <w:rPr>
          <w:rFonts w:hint="eastAsia" w:eastAsia="方正仿宋_GBK"/>
          <w:kern w:val="2"/>
          <w:sz w:val="32"/>
          <w:szCs w:val="32"/>
          <w:lang w:val="en-US"/>
        </w:rPr>
        <w:t>具体报名操作方式及要求将以邮件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或群公告等</w:t>
      </w:r>
      <w:r>
        <w:rPr>
          <w:rFonts w:hint="eastAsia" w:eastAsia="方正仿宋_GBK"/>
          <w:kern w:val="2"/>
          <w:sz w:val="32"/>
          <w:szCs w:val="32"/>
          <w:lang w:val="en-US"/>
        </w:rPr>
        <w:t>方式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另行</w:t>
      </w:r>
      <w:r>
        <w:rPr>
          <w:rFonts w:hint="eastAsia" w:eastAsia="方正仿宋_GBK"/>
          <w:kern w:val="2"/>
          <w:sz w:val="32"/>
          <w:szCs w:val="32"/>
          <w:lang w:val="en-US"/>
        </w:rPr>
        <w:t>通知。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textAlignment w:val="auto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 作品线上提交方式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参赛队伍</w:t>
      </w:r>
      <w:r>
        <w:rPr>
          <w:rFonts w:hint="eastAsia" w:eastAsia="方正仿宋_GBK"/>
          <w:kern w:val="2"/>
          <w:sz w:val="32"/>
          <w:szCs w:val="32"/>
          <w:lang w:val="en-US"/>
        </w:rPr>
        <w:t>将PPT作品方案介绍+作品代码+报名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系统中审核通过的参赛报名表</w:t>
      </w:r>
      <w:r>
        <w:rPr>
          <w:rFonts w:hint="eastAsia" w:eastAsia="方正仿宋_GBK"/>
          <w:kern w:val="2"/>
          <w:sz w:val="32"/>
          <w:szCs w:val="32"/>
          <w:lang w:val="en-US"/>
        </w:rPr>
        <w:t>统一为ZIP压缩包，上传到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lang w:val="en-US"/>
        </w:rPr>
        <w:t>中国电信星海大数据竞赛平台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”</w:t>
      </w:r>
      <w:r>
        <w:rPr>
          <w:rFonts w:hint="eastAsia" w:eastAsia="方正仿宋_GBK"/>
          <w:kern w:val="2"/>
          <w:sz w:val="32"/>
          <w:szCs w:val="32"/>
          <w:lang w:val="en-US"/>
        </w:rPr>
        <w:t>，请将压缩包命名为：院校名称+队长姓名+队长手机号+队伍名称（例如：XX大学+李XX+136XX+XX战队）。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green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highlight w:val="none"/>
          <w:lang w:val="en-US"/>
        </w:rPr>
        <w:t>提交具体作品时，务必一并提交1份报名系统中审核通过的参赛报名表（所有信息与系统中填报信息保持严格一致）。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赛事保障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eastAsia="方正楷体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Times New Roman"/>
          <w:color w:val="000000" w:themeColor="text1"/>
          <w:sz w:val="3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 技术文档支持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提供赛题相关的模型训练、中国电信自研星辰大模型部署等技术文档材料，助力参赛选手学习技术，了解实践操作。</w:t>
      </w:r>
      <w:r>
        <w:rPr>
          <w:rFonts w:hint="eastAsia"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7"/>
        <w:numPr>
          <w:ilvl w:val="0"/>
          <w:numId w:val="4"/>
        </w:numPr>
        <w:spacing w:line="560" w:lineRule="exact"/>
        <w:ind w:firstLine="640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学习课程支持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 xml:space="preserve">支持提供赛题相关的模型训练、中国电信自研星辰大模型开发等学习课程，为参赛学生提供体系化学习路径和课程培训。 </w:t>
      </w:r>
    </w:p>
    <w:p>
      <w:pPr>
        <w:pStyle w:val="17"/>
        <w:numPr>
          <w:ilvl w:val="0"/>
          <w:numId w:val="4"/>
        </w:numPr>
        <w:spacing w:line="560" w:lineRule="exact"/>
        <w:ind w:left="0" w:leftChars="0" w:firstLine="640" w:firstLineChars="200"/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楷体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技术专家支持</w:t>
      </w:r>
    </w:p>
    <w:p>
      <w:pPr>
        <w:spacing w:line="560" w:lineRule="exact"/>
        <w:ind w:firstLine="640" w:firstLineChars="200"/>
        <w:jc w:val="both"/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提供专业的技术专家，为学生解答赛题技术疑问。</w:t>
      </w:r>
    </w:p>
    <w:p>
      <w:pPr>
        <w:pStyle w:val="3"/>
        <w:ind w:firstLine="640"/>
        <w:jc w:val="both"/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设奖情况及奖励措施</w:t>
      </w:r>
    </w:p>
    <w:p>
      <w:pPr>
        <w:pStyle w:val="4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奖项设置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highlight w:val="none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根据评分规则，综合评定参赛队伍，原则上设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lang w:val="en-US"/>
        </w:rPr>
        <w:t>擂主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”1</w:t>
      </w:r>
      <w:r>
        <w:rPr>
          <w:rFonts w:hint="eastAsia" w:eastAsia="方正仿宋_GBK"/>
          <w:kern w:val="2"/>
          <w:sz w:val="32"/>
          <w:szCs w:val="32"/>
          <w:lang w:val="en-US"/>
        </w:rPr>
        <w:t>个（从特等奖中决出），特等奖5个，一等奖5个，二等奖5个，三等奖5个。</w:t>
      </w:r>
    </w:p>
    <w:p>
      <w:pPr>
        <w:pStyle w:val="4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奖励措施</w:t>
      </w:r>
    </w:p>
    <w:p>
      <w:pPr>
        <w:spacing w:line="560" w:lineRule="exact"/>
        <w:ind w:firstLine="640" w:firstLineChars="200"/>
        <w:jc w:val="both"/>
        <w:rPr>
          <w:rFonts w:hint="default" w:eastAsia="方正仿宋_GBK"/>
          <w:kern w:val="2"/>
          <w:sz w:val="32"/>
          <w:szCs w:val="32"/>
          <w:lang w:val="en-US" w:eastAsia="zh-CN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（1）“擂主”：</w:t>
      </w:r>
      <w:r>
        <w:rPr>
          <w:rFonts w:hint="eastAsia" w:eastAsia="方正仿宋_GBK"/>
          <w:kern w:val="2"/>
          <w:sz w:val="32"/>
          <w:szCs w:val="32"/>
          <w:lang w:val="en-US"/>
        </w:rPr>
        <w:t>在特等奖基础上额外奖励2000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0</w:t>
      </w:r>
      <w:r>
        <w:rPr>
          <w:rFonts w:hint="eastAsia" w:eastAsia="方正仿宋_GBK"/>
          <w:kern w:val="2"/>
          <w:sz w:val="32"/>
          <w:szCs w:val="32"/>
          <w:lang w:val="en-US"/>
        </w:rPr>
        <w:t>元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（2）</w:t>
      </w:r>
      <w:r>
        <w:rPr>
          <w:rFonts w:hint="eastAsia" w:eastAsia="方正仿宋_GBK"/>
          <w:kern w:val="2"/>
          <w:sz w:val="32"/>
          <w:szCs w:val="32"/>
          <w:lang w:val="en-US"/>
        </w:rPr>
        <w:t>特等奖：奖金30000元/队；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（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3</w:t>
      </w:r>
      <w:r>
        <w:rPr>
          <w:rFonts w:hint="eastAsia" w:eastAsia="方正仿宋_GBK"/>
          <w:kern w:val="2"/>
          <w:sz w:val="32"/>
          <w:szCs w:val="32"/>
          <w:lang w:val="en-US"/>
        </w:rPr>
        <w:t>）一等奖：奖金20000元/队；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（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4</w:t>
      </w:r>
      <w:r>
        <w:rPr>
          <w:rFonts w:hint="eastAsia" w:eastAsia="方正仿宋_GBK"/>
          <w:kern w:val="2"/>
          <w:sz w:val="32"/>
          <w:szCs w:val="32"/>
          <w:lang w:val="en-US"/>
        </w:rPr>
        <w:t>）二等奖：奖金10000元/队；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（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5</w:t>
      </w:r>
      <w:r>
        <w:rPr>
          <w:rFonts w:hint="eastAsia" w:eastAsia="方正仿宋_GBK"/>
          <w:kern w:val="2"/>
          <w:sz w:val="32"/>
          <w:szCs w:val="32"/>
          <w:lang w:val="en-US"/>
        </w:rPr>
        <w:t>）三等奖：奖金5000元/队。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全部获奖团队中应届毕业生参与中国电信校园招聘时，符合应聘条件者，直通进入面试环节，同等条件下可优先录用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。</w:t>
      </w:r>
      <w:r>
        <w:rPr>
          <w:rFonts w:hint="eastAsia" w:eastAsia="方正仿宋_GBK"/>
          <w:kern w:val="2"/>
          <w:sz w:val="32"/>
          <w:szCs w:val="32"/>
          <w:lang w:val="en-US"/>
        </w:rPr>
        <w:t>针对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“</w:t>
      </w:r>
      <w:r>
        <w:rPr>
          <w:rFonts w:hint="eastAsia" w:eastAsia="方正仿宋_GBK"/>
          <w:kern w:val="2"/>
          <w:sz w:val="32"/>
          <w:szCs w:val="32"/>
          <w:lang w:val="en-US"/>
        </w:rPr>
        <w:t>擂主</w:t>
      </w:r>
      <w:r>
        <w:rPr>
          <w:rFonts w:hint="eastAsia" w:eastAsia="方正仿宋_GBK"/>
          <w:kern w:val="2"/>
          <w:sz w:val="32"/>
          <w:szCs w:val="32"/>
          <w:lang w:val="en-US" w:eastAsia="zh-CN"/>
        </w:rPr>
        <w:t>”</w:t>
      </w:r>
      <w:r>
        <w:rPr>
          <w:rFonts w:hint="eastAsia" w:eastAsia="方正仿宋_GBK"/>
          <w:kern w:val="2"/>
          <w:sz w:val="32"/>
          <w:szCs w:val="32"/>
          <w:lang w:val="en-US"/>
        </w:rPr>
        <w:t>的参赛小组，中国电信将为其核心成员提供带薪实习机会。</w:t>
      </w:r>
    </w:p>
    <w:p>
      <w:pPr>
        <w:pStyle w:val="4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奖金发放方式</w:t>
      </w:r>
    </w:p>
    <w:p>
      <w:pPr>
        <w:spacing w:line="560" w:lineRule="exact"/>
        <w:ind w:firstLine="640" w:firstLineChars="200"/>
        <w:jc w:val="both"/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所有现金奖励将在比赛结束后1个季度内，通过银行转账的方式，发放至各获奖团队指定的账号。</w:t>
      </w:r>
    </w:p>
    <w:p>
      <w:pPr>
        <w:pStyle w:val="3"/>
        <w:ind w:firstLine="640"/>
        <w:jc w:val="both"/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比赛专班联系方式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赛事组织服务团队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 w:eastAsia="zh-CN"/>
        </w:rPr>
        <w:t>人员</w:t>
      </w:r>
      <w:r>
        <w:rPr>
          <w:rFonts w:hint="eastAsia" w:eastAsia="方正仿宋_GBK"/>
          <w:kern w:val="2"/>
          <w:sz w:val="32"/>
          <w:szCs w:val="32"/>
          <w:lang w:val="en-US"/>
        </w:rPr>
        <w:t>1：李婧，18101291261，lij16@chinatelecom.cn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人员2：刘辉，17310869550，liuh86@chinatelecom.cn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负责比赛进行期间组织服务及后期相关赛务协调联络。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专家指导团队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人员1：柳清译，17701020079，liuqingyi@chinatelecom.cn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人员2：杨丙凯，15512908509，yangbk@chinatelecom.cn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负责比赛进行期间技术指导保障。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联系时间</w:t>
      </w:r>
    </w:p>
    <w:p>
      <w:pPr>
        <w:spacing w:line="560" w:lineRule="exact"/>
        <w:ind w:firstLine="640" w:firstLineChars="200"/>
        <w:jc w:val="both"/>
        <w:rPr>
          <w:rFonts w:hint="eastAsia" w:eastAsia="方正仿宋_GBK"/>
          <w:kern w:val="2"/>
          <w:sz w:val="32"/>
          <w:szCs w:val="32"/>
          <w:lang w:val="en-US"/>
        </w:rPr>
      </w:pPr>
      <w:r>
        <w:rPr>
          <w:rFonts w:hint="eastAsia" w:eastAsia="方正仿宋_GBK"/>
          <w:kern w:val="2"/>
          <w:sz w:val="32"/>
          <w:szCs w:val="32"/>
          <w:lang w:val="en-US"/>
        </w:rPr>
        <w:t>比赛进行期间工作日（8:30-11:30，14:00-17:30）</w:t>
      </w:r>
    </w:p>
    <w:p>
      <w:pPr>
        <w:spacing w:line="560" w:lineRule="exact"/>
        <w:rPr>
          <w:rFonts w:eastAsia="方正仿宋_GB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560" w:lineRule="exact"/>
        <w:jc w:val="right"/>
        <w:rPr>
          <w:rFonts w:hint="eastAsia" w:eastAsia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中国电信集团有限公司</w:t>
      </w:r>
    </w:p>
    <w:p>
      <w:pPr>
        <w:rPr>
          <w:rFonts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footerReference r:id="rId3" w:type="default"/>
          <w:type w:val="continuous"/>
          <w:pgSz w:w="11906" w:h="16838"/>
          <w:pgMar w:top="1984" w:right="1587" w:bottom="1984" w:left="1587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255"/>
          <w:numId w:val="0"/>
        </w:numPr>
        <w:jc w:val="both"/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黑体_GBK"/>
          <w:color w:val="000000" w:themeColor="text1"/>
          <w:lang w:val="en-US"/>
          <w14:textFill>
            <w14:solidFill>
              <w14:schemeClr w14:val="tx1"/>
            </w14:solidFill>
          </w14:textFill>
        </w:rPr>
        <w:t>附：选题申报单位简介</w:t>
      </w:r>
    </w:p>
    <w:p>
      <w:pPr>
        <w:spacing w:line="520" w:lineRule="exact"/>
        <w:ind w:firstLine="640" w:firstLineChars="200"/>
        <w:jc w:val="both"/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中国电信成立于1995年4月27日，是中国特大型通信运营企业，连续多年入选《财富》杂志</w:t>
      </w:r>
      <w:r>
        <w:rPr>
          <w:rFonts w:hint="eastAsia" w:eastAsia="方正仿宋_GBK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世界500强企业</w:t>
      </w:r>
      <w:r>
        <w:rPr>
          <w:rFonts w:hint="eastAsia" w:eastAsia="方正仿宋_GBK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，主要经营移动通信、互联网接入及应用、固定电话、卫星通信、ICT集成等综合信息服务。截至2023年8月，拥有固定电话用户1.0243亿户，移动电话用户4.0365亿户，宽带用户 1.8777亿户，集团公司总资产10466亿元，员工40万人。</w:t>
      </w:r>
    </w:p>
    <w:p>
      <w:pPr>
        <w:spacing w:line="520" w:lineRule="exact"/>
        <w:ind w:firstLine="640" w:firstLineChars="200"/>
        <w:jc w:val="both"/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中国电信是从革命战争年代一路走来的通信央企，传承红色基因，弘扬</w:t>
      </w:r>
      <w:r>
        <w:rPr>
          <w:rFonts w:hint="eastAsia" w:eastAsia="方正仿宋_GBK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人民邮电为人民</w:t>
      </w:r>
      <w:r>
        <w:rPr>
          <w:rFonts w:hint="eastAsia" w:eastAsia="方正仿宋_GBK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的优良传统，秉承经济责任、政治责任和社会责任的有机统一。党领导下完成政治任务的经济组织，建设网络强国和数字中国、维护网信安全的主力军，领先的综合智能信息服务运营商。</w:t>
      </w:r>
    </w:p>
    <w:p>
      <w:pPr>
        <w:spacing w:line="520" w:lineRule="exact"/>
        <w:ind w:firstLine="640" w:firstLineChars="200"/>
        <w:jc w:val="both"/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中国电信集团有限公司旗下拥有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家上市公司</w:t>
      </w:r>
      <w:r>
        <w:rPr>
          <w:rFonts w:hint="eastAsia" w:eastAsia="方正仿宋_GBK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分别是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中国电信股份有限公司</w:t>
      </w:r>
      <w:r>
        <w:rPr>
          <w:rFonts w:hint="eastAsia" w:eastAsia="方正仿宋_GBK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中国通信服务股份有限公司</w:t>
      </w:r>
      <w:r>
        <w:rPr>
          <w:rFonts w:hint="eastAsia" w:eastAsia="方正仿宋_GBK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方正仿宋_GBK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新国脉数字文化股份有限公司和北京辰安科技股份有限公司</w:t>
      </w:r>
      <w:r>
        <w:rPr>
          <w:rFonts w:hint="eastAsia" w:eastAsia="方正仿宋_GBK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984" w:right="1587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方正仿宋楷体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panose1 w:val="02000000000000000000"/>
    <w:charset w:val="86"/>
    <w:family w:val="script"/>
    <w:pitch w:val="default"/>
    <w:sig w:usb0="A00002BF" w:usb1="184F6CFA" w:usb2="00000012" w:usb3="00000000" w:csb0="00040001" w:csb1="00000000"/>
    <w:embedRegular r:id="rId1" w:fontKey="{1EE0A34A-6D9E-4916-A36D-B38577805646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楷体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70CFE402-6173-4D15-839A-1B85AAA350EE}"/>
  </w:font>
  <w:font w:name="方正大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3" w:fontKey="{6D0CADFA-5B5C-44DA-BD7E-445C7D7DB850}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4" w:fontKey="{657B1F41-8334-41BB-82AF-3EF79D67B2C1}"/>
  </w:font>
  <w:font w:name="方正黑体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5" w:fontKey="{6FA6D0AA-0B3F-461B-B168-38DDC5E83BA5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9F19A"/>
    <w:multiLevelType w:val="singleLevel"/>
    <w:tmpl w:val="8049F1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E9A231"/>
    <w:multiLevelType w:val="singleLevel"/>
    <w:tmpl w:val="99E9A2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1D2CD3"/>
    <w:multiLevelType w:val="singleLevel"/>
    <w:tmpl w:val="EF1D2CD3"/>
    <w:lvl w:ilvl="0" w:tentative="0">
      <w:start w:val="1"/>
      <w:numFmt w:val="chineseCounting"/>
      <w:pStyle w:val="3"/>
      <w:suff w:val="nothing"/>
      <w:lvlText w:val="%1、"/>
      <w:lvlJc w:val="left"/>
      <w:pPr>
        <w:ind w:left="147" w:firstLine="420"/>
      </w:pPr>
      <w:rPr>
        <w:rFonts w:hint="eastAsia"/>
      </w:rPr>
    </w:lvl>
  </w:abstractNum>
  <w:abstractNum w:abstractNumId="3">
    <w:nsid w:val="01D1B0A2"/>
    <w:multiLevelType w:val="singleLevel"/>
    <w:tmpl w:val="01D1B0A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994999"/>
    <w:multiLevelType w:val="singleLevel"/>
    <w:tmpl w:val="52994999"/>
    <w:lvl w:ilvl="0" w:tentative="0">
      <w:start w:val="1"/>
      <w:numFmt w:val="decimal"/>
      <w:pStyle w:val="4"/>
      <w:suff w:val="space"/>
      <w:lvlText w:val="%1."/>
      <w:lvlJc w:val="left"/>
      <w:pPr>
        <w:ind w:left="454" w:hanging="454"/>
      </w:pPr>
      <w:rPr>
        <w:rFonts w:hint="default" w:eastAsia="方正仿宋楷体"/>
        <w:sz w:val="32"/>
        <w:szCs w:val="32"/>
      </w:rPr>
    </w:lvl>
  </w:abstractNum>
  <w:abstractNum w:abstractNumId="5">
    <w:nsid w:val="5E7B6D80"/>
    <w:multiLevelType w:val="singleLevel"/>
    <w:tmpl w:val="5E7B6D80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jYTY2M2Q0MTc3OGEyNGI0ZDBlMmI4OGRlOTE5NDQifQ=="/>
  </w:docVars>
  <w:rsids>
    <w:rsidRoot w:val="008769EE"/>
    <w:rsid w:val="000024AF"/>
    <w:rsid w:val="00005D1C"/>
    <w:rsid w:val="00017E5B"/>
    <w:rsid w:val="00021C1D"/>
    <w:rsid w:val="00057714"/>
    <w:rsid w:val="000626B0"/>
    <w:rsid w:val="00064968"/>
    <w:rsid w:val="00075C5A"/>
    <w:rsid w:val="000A6775"/>
    <w:rsid w:val="000D57EF"/>
    <w:rsid w:val="0010211D"/>
    <w:rsid w:val="0011069F"/>
    <w:rsid w:val="00111E5D"/>
    <w:rsid w:val="00120156"/>
    <w:rsid w:val="001367A9"/>
    <w:rsid w:val="00143054"/>
    <w:rsid w:val="001579F2"/>
    <w:rsid w:val="00164C26"/>
    <w:rsid w:val="0016564C"/>
    <w:rsid w:val="001B0D74"/>
    <w:rsid w:val="001B2C6C"/>
    <w:rsid w:val="001C0DFA"/>
    <w:rsid w:val="001D0729"/>
    <w:rsid w:val="001E760D"/>
    <w:rsid w:val="001E77C2"/>
    <w:rsid w:val="001F6CC8"/>
    <w:rsid w:val="0020086A"/>
    <w:rsid w:val="00205E3B"/>
    <w:rsid w:val="00236E3E"/>
    <w:rsid w:val="002560B0"/>
    <w:rsid w:val="00281AE9"/>
    <w:rsid w:val="00283877"/>
    <w:rsid w:val="002938E3"/>
    <w:rsid w:val="002B0D40"/>
    <w:rsid w:val="002B6DDC"/>
    <w:rsid w:val="002E7BFD"/>
    <w:rsid w:val="002F7D9C"/>
    <w:rsid w:val="00341051"/>
    <w:rsid w:val="00351403"/>
    <w:rsid w:val="00354FAF"/>
    <w:rsid w:val="00363E2D"/>
    <w:rsid w:val="00371816"/>
    <w:rsid w:val="00392185"/>
    <w:rsid w:val="0039481F"/>
    <w:rsid w:val="003B6C68"/>
    <w:rsid w:val="003B786C"/>
    <w:rsid w:val="003E007F"/>
    <w:rsid w:val="003E2852"/>
    <w:rsid w:val="00403615"/>
    <w:rsid w:val="00405B32"/>
    <w:rsid w:val="00407F26"/>
    <w:rsid w:val="0041464C"/>
    <w:rsid w:val="0044592C"/>
    <w:rsid w:val="00463782"/>
    <w:rsid w:val="00471974"/>
    <w:rsid w:val="00476A7D"/>
    <w:rsid w:val="00483410"/>
    <w:rsid w:val="004876C3"/>
    <w:rsid w:val="00494F44"/>
    <w:rsid w:val="00496D3E"/>
    <w:rsid w:val="004A0A91"/>
    <w:rsid w:val="004B00B4"/>
    <w:rsid w:val="004B01E5"/>
    <w:rsid w:val="004B6FF1"/>
    <w:rsid w:val="004D0FC5"/>
    <w:rsid w:val="004F30AF"/>
    <w:rsid w:val="004F3DC9"/>
    <w:rsid w:val="00517736"/>
    <w:rsid w:val="00532B4E"/>
    <w:rsid w:val="005333BA"/>
    <w:rsid w:val="00537F15"/>
    <w:rsid w:val="00553DCC"/>
    <w:rsid w:val="00554C5C"/>
    <w:rsid w:val="005753FB"/>
    <w:rsid w:val="00577641"/>
    <w:rsid w:val="00580524"/>
    <w:rsid w:val="00585CAC"/>
    <w:rsid w:val="005944CA"/>
    <w:rsid w:val="005A1799"/>
    <w:rsid w:val="005A5BBF"/>
    <w:rsid w:val="005C1AAC"/>
    <w:rsid w:val="005D33E1"/>
    <w:rsid w:val="005E0F11"/>
    <w:rsid w:val="00603AF5"/>
    <w:rsid w:val="006047E7"/>
    <w:rsid w:val="00606DA8"/>
    <w:rsid w:val="00613673"/>
    <w:rsid w:val="00613AAA"/>
    <w:rsid w:val="006226BA"/>
    <w:rsid w:val="00633F6B"/>
    <w:rsid w:val="00636F96"/>
    <w:rsid w:val="00663468"/>
    <w:rsid w:val="0066573D"/>
    <w:rsid w:val="0068166A"/>
    <w:rsid w:val="006A3A6E"/>
    <w:rsid w:val="006A51DF"/>
    <w:rsid w:val="006C3959"/>
    <w:rsid w:val="006C732F"/>
    <w:rsid w:val="006E6DDA"/>
    <w:rsid w:val="007216F0"/>
    <w:rsid w:val="0073249A"/>
    <w:rsid w:val="00746651"/>
    <w:rsid w:val="00765C33"/>
    <w:rsid w:val="00777C79"/>
    <w:rsid w:val="007879EC"/>
    <w:rsid w:val="007F195A"/>
    <w:rsid w:val="00805D49"/>
    <w:rsid w:val="00816F55"/>
    <w:rsid w:val="00825FD8"/>
    <w:rsid w:val="008313DD"/>
    <w:rsid w:val="008321B0"/>
    <w:rsid w:val="00851D22"/>
    <w:rsid w:val="00860FD3"/>
    <w:rsid w:val="008669B5"/>
    <w:rsid w:val="00867EEA"/>
    <w:rsid w:val="00872C0C"/>
    <w:rsid w:val="008769EE"/>
    <w:rsid w:val="0088143A"/>
    <w:rsid w:val="008836AC"/>
    <w:rsid w:val="00887D7E"/>
    <w:rsid w:val="0089086B"/>
    <w:rsid w:val="008B43EC"/>
    <w:rsid w:val="008C4B94"/>
    <w:rsid w:val="008E3EE3"/>
    <w:rsid w:val="008F2FB1"/>
    <w:rsid w:val="00912ADC"/>
    <w:rsid w:val="00917F07"/>
    <w:rsid w:val="00923192"/>
    <w:rsid w:val="00931DCA"/>
    <w:rsid w:val="0093518D"/>
    <w:rsid w:val="00937CB6"/>
    <w:rsid w:val="00953BA4"/>
    <w:rsid w:val="00954857"/>
    <w:rsid w:val="009632E8"/>
    <w:rsid w:val="00966187"/>
    <w:rsid w:val="00987542"/>
    <w:rsid w:val="00995541"/>
    <w:rsid w:val="00996802"/>
    <w:rsid w:val="009A5F81"/>
    <w:rsid w:val="00A0235C"/>
    <w:rsid w:val="00A22759"/>
    <w:rsid w:val="00A30D68"/>
    <w:rsid w:val="00A31A98"/>
    <w:rsid w:val="00A4232F"/>
    <w:rsid w:val="00A43480"/>
    <w:rsid w:val="00A460CE"/>
    <w:rsid w:val="00AA7BD8"/>
    <w:rsid w:val="00AB1BF4"/>
    <w:rsid w:val="00AD025A"/>
    <w:rsid w:val="00AD24CF"/>
    <w:rsid w:val="00AD6CFA"/>
    <w:rsid w:val="00AE66B7"/>
    <w:rsid w:val="00B0258C"/>
    <w:rsid w:val="00B32E7F"/>
    <w:rsid w:val="00B40CAF"/>
    <w:rsid w:val="00B52CCC"/>
    <w:rsid w:val="00B70A95"/>
    <w:rsid w:val="00B80EC7"/>
    <w:rsid w:val="00BA70BA"/>
    <w:rsid w:val="00BC1B59"/>
    <w:rsid w:val="00BE634B"/>
    <w:rsid w:val="00BF4E2D"/>
    <w:rsid w:val="00C217F1"/>
    <w:rsid w:val="00C24C93"/>
    <w:rsid w:val="00C60328"/>
    <w:rsid w:val="00C678B8"/>
    <w:rsid w:val="00C81301"/>
    <w:rsid w:val="00C82B11"/>
    <w:rsid w:val="00C90F03"/>
    <w:rsid w:val="00C97BA0"/>
    <w:rsid w:val="00CB5FAC"/>
    <w:rsid w:val="00D05DE3"/>
    <w:rsid w:val="00D474E2"/>
    <w:rsid w:val="00D531BB"/>
    <w:rsid w:val="00D55D40"/>
    <w:rsid w:val="00D64A7B"/>
    <w:rsid w:val="00D71164"/>
    <w:rsid w:val="00D755E0"/>
    <w:rsid w:val="00D8092B"/>
    <w:rsid w:val="00D826F5"/>
    <w:rsid w:val="00D905C1"/>
    <w:rsid w:val="00DA4A6A"/>
    <w:rsid w:val="00DB02D9"/>
    <w:rsid w:val="00DB59F1"/>
    <w:rsid w:val="00DE6299"/>
    <w:rsid w:val="00DF09AA"/>
    <w:rsid w:val="00DF64DF"/>
    <w:rsid w:val="00DF78E0"/>
    <w:rsid w:val="00E004E0"/>
    <w:rsid w:val="00E01DD4"/>
    <w:rsid w:val="00E02303"/>
    <w:rsid w:val="00E05639"/>
    <w:rsid w:val="00E067C4"/>
    <w:rsid w:val="00E13134"/>
    <w:rsid w:val="00E30024"/>
    <w:rsid w:val="00E46C70"/>
    <w:rsid w:val="00E47733"/>
    <w:rsid w:val="00E5011B"/>
    <w:rsid w:val="00E524CD"/>
    <w:rsid w:val="00E65FC6"/>
    <w:rsid w:val="00E72C07"/>
    <w:rsid w:val="00E909FD"/>
    <w:rsid w:val="00EA0B44"/>
    <w:rsid w:val="00EA697C"/>
    <w:rsid w:val="00EB1E9B"/>
    <w:rsid w:val="00EB2BDB"/>
    <w:rsid w:val="00EB4B20"/>
    <w:rsid w:val="00EF3C50"/>
    <w:rsid w:val="00F1317D"/>
    <w:rsid w:val="00F256C4"/>
    <w:rsid w:val="00F26931"/>
    <w:rsid w:val="00F57CAE"/>
    <w:rsid w:val="00F70F5B"/>
    <w:rsid w:val="00F74A1C"/>
    <w:rsid w:val="00F75202"/>
    <w:rsid w:val="00F910DA"/>
    <w:rsid w:val="00FA1D99"/>
    <w:rsid w:val="00FF5C3F"/>
    <w:rsid w:val="011D4668"/>
    <w:rsid w:val="01AD4814"/>
    <w:rsid w:val="01D25B00"/>
    <w:rsid w:val="01D3068E"/>
    <w:rsid w:val="01D51F5B"/>
    <w:rsid w:val="02481270"/>
    <w:rsid w:val="029E34F5"/>
    <w:rsid w:val="02C71A55"/>
    <w:rsid w:val="03294FF9"/>
    <w:rsid w:val="03803D68"/>
    <w:rsid w:val="03910A32"/>
    <w:rsid w:val="03B87E23"/>
    <w:rsid w:val="03FE7196"/>
    <w:rsid w:val="040E5D41"/>
    <w:rsid w:val="043549F2"/>
    <w:rsid w:val="04816A57"/>
    <w:rsid w:val="04853FBB"/>
    <w:rsid w:val="051528EC"/>
    <w:rsid w:val="05185E54"/>
    <w:rsid w:val="05776D66"/>
    <w:rsid w:val="05C978FD"/>
    <w:rsid w:val="05E31242"/>
    <w:rsid w:val="0671705A"/>
    <w:rsid w:val="06732134"/>
    <w:rsid w:val="06F55DEF"/>
    <w:rsid w:val="07463F1D"/>
    <w:rsid w:val="078F2493"/>
    <w:rsid w:val="07901CC5"/>
    <w:rsid w:val="0790642D"/>
    <w:rsid w:val="0795514D"/>
    <w:rsid w:val="0840076F"/>
    <w:rsid w:val="08601D96"/>
    <w:rsid w:val="08C25676"/>
    <w:rsid w:val="09644BDE"/>
    <w:rsid w:val="09AA3609"/>
    <w:rsid w:val="0A260073"/>
    <w:rsid w:val="0A8F7AAE"/>
    <w:rsid w:val="0AD671E5"/>
    <w:rsid w:val="0B2B6586"/>
    <w:rsid w:val="0B4A5469"/>
    <w:rsid w:val="0B68370D"/>
    <w:rsid w:val="0B6B3F04"/>
    <w:rsid w:val="0B6F69F0"/>
    <w:rsid w:val="0B8F177D"/>
    <w:rsid w:val="0C645CC6"/>
    <w:rsid w:val="0C955B7E"/>
    <w:rsid w:val="0CAD1E5B"/>
    <w:rsid w:val="0D09135F"/>
    <w:rsid w:val="0D4764C0"/>
    <w:rsid w:val="0D7E4529"/>
    <w:rsid w:val="0DA54A80"/>
    <w:rsid w:val="0DCF4D92"/>
    <w:rsid w:val="0EDC0AFF"/>
    <w:rsid w:val="0EF0331F"/>
    <w:rsid w:val="0F78357E"/>
    <w:rsid w:val="0FA66A75"/>
    <w:rsid w:val="0FB12E15"/>
    <w:rsid w:val="106C4753"/>
    <w:rsid w:val="10772CDB"/>
    <w:rsid w:val="107A0F05"/>
    <w:rsid w:val="107F47F9"/>
    <w:rsid w:val="10872FBC"/>
    <w:rsid w:val="10DB3A4D"/>
    <w:rsid w:val="11291340"/>
    <w:rsid w:val="113D4D7B"/>
    <w:rsid w:val="11672B32"/>
    <w:rsid w:val="1178767D"/>
    <w:rsid w:val="11AD4CBD"/>
    <w:rsid w:val="11D96D62"/>
    <w:rsid w:val="11E93DFE"/>
    <w:rsid w:val="120851FE"/>
    <w:rsid w:val="12415B32"/>
    <w:rsid w:val="12647A72"/>
    <w:rsid w:val="12A47462"/>
    <w:rsid w:val="12AB1133"/>
    <w:rsid w:val="12E36BE9"/>
    <w:rsid w:val="13221EE1"/>
    <w:rsid w:val="138059EE"/>
    <w:rsid w:val="138E2FF9"/>
    <w:rsid w:val="13CA2B4E"/>
    <w:rsid w:val="13EE5957"/>
    <w:rsid w:val="14294F3F"/>
    <w:rsid w:val="145A1BF7"/>
    <w:rsid w:val="14851B79"/>
    <w:rsid w:val="15AA5E96"/>
    <w:rsid w:val="15D942D4"/>
    <w:rsid w:val="162866A2"/>
    <w:rsid w:val="167224E4"/>
    <w:rsid w:val="16921FAF"/>
    <w:rsid w:val="177B78C5"/>
    <w:rsid w:val="17E2511D"/>
    <w:rsid w:val="17FE30DF"/>
    <w:rsid w:val="1800389F"/>
    <w:rsid w:val="1804590C"/>
    <w:rsid w:val="181F20AD"/>
    <w:rsid w:val="184414B7"/>
    <w:rsid w:val="189B4472"/>
    <w:rsid w:val="19300544"/>
    <w:rsid w:val="19492385"/>
    <w:rsid w:val="196E5B76"/>
    <w:rsid w:val="19883A90"/>
    <w:rsid w:val="1A1553DD"/>
    <w:rsid w:val="1A1667EC"/>
    <w:rsid w:val="1A5B00E6"/>
    <w:rsid w:val="1AD27C6F"/>
    <w:rsid w:val="1B24668A"/>
    <w:rsid w:val="1B5663FE"/>
    <w:rsid w:val="1BA13BD9"/>
    <w:rsid w:val="1BED1E2C"/>
    <w:rsid w:val="1C612DAD"/>
    <w:rsid w:val="1D2D60B2"/>
    <w:rsid w:val="1D3B0FE4"/>
    <w:rsid w:val="1D435FFF"/>
    <w:rsid w:val="1D540A00"/>
    <w:rsid w:val="1DA327A0"/>
    <w:rsid w:val="1DA67191"/>
    <w:rsid w:val="1DBC4027"/>
    <w:rsid w:val="1E504BF2"/>
    <w:rsid w:val="1EA907D1"/>
    <w:rsid w:val="1F066139"/>
    <w:rsid w:val="1F3C04FF"/>
    <w:rsid w:val="1F762BAF"/>
    <w:rsid w:val="20123648"/>
    <w:rsid w:val="207D34A0"/>
    <w:rsid w:val="21DA0F90"/>
    <w:rsid w:val="21FD6C01"/>
    <w:rsid w:val="22463DDE"/>
    <w:rsid w:val="227E692E"/>
    <w:rsid w:val="22881F58"/>
    <w:rsid w:val="229B20FD"/>
    <w:rsid w:val="22E55DA3"/>
    <w:rsid w:val="231F12DE"/>
    <w:rsid w:val="23531B69"/>
    <w:rsid w:val="23835AF5"/>
    <w:rsid w:val="23991047"/>
    <w:rsid w:val="23B107E7"/>
    <w:rsid w:val="23B940CE"/>
    <w:rsid w:val="242F1397"/>
    <w:rsid w:val="25324A72"/>
    <w:rsid w:val="2604714B"/>
    <w:rsid w:val="26680B0E"/>
    <w:rsid w:val="276607BD"/>
    <w:rsid w:val="27707807"/>
    <w:rsid w:val="277E3A4E"/>
    <w:rsid w:val="29095901"/>
    <w:rsid w:val="290F58EC"/>
    <w:rsid w:val="29712213"/>
    <w:rsid w:val="2A641BAA"/>
    <w:rsid w:val="2A85768A"/>
    <w:rsid w:val="2B0E3A48"/>
    <w:rsid w:val="2B2B347E"/>
    <w:rsid w:val="2B5841C1"/>
    <w:rsid w:val="2B7139A6"/>
    <w:rsid w:val="2B9C2019"/>
    <w:rsid w:val="2BC2788C"/>
    <w:rsid w:val="2BE61BF3"/>
    <w:rsid w:val="2BE63207"/>
    <w:rsid w:val="2BED05B2"/>
    <w:rsid w:val="2C112589"/>
    <w:rsid w:val="2C1B5B53"/>
    <w:rsid w:val="2CD92454"/>
    <w:rsid w:val="2D5072C9"/>
    <w:rsid w:val="2D9737AA"/>
    <w:rsid w:val="2E44738D"/>
    <w:rsid w:val="2E483CF0"/>
    <w:rsid w:val="2EAE282B"/>
    <w:rsid w:val="2ED43E1F"/>
    <w:rsid w:val="2EF61F5F"/>
    <w:rsid w:val="2F204D2F"/>
    <w:rsid w:val="2F213D0C"/>
    <w:rsid w:val="2F6B6D60"/>
    <w:rsid w:val="2FCD7BF6"/>
    <w:rsid w:val="30280776"/>
    <w:rsid w:val="30D8752B"/>
    <w:rsid w:val="310F4C68"/>
    <w:rsid w:val="31327933"/>
    <w:rsid w:val="314F7592"/>
    <w:rsid w:val="32047B94"/>
    <w:rsid w:val="32886AF3"/>
    <w:rsid w:val="32EF5010"/>
    <w:rsid w:val="33020A40"/>
    <w:rsid w:val="33047391"/>
    <w:rsid w:val="333332D8"/>
    <w:rsid w:val="333C43C8"/>
    <w:rsid w:val="338737FF"/>
    <w:rsid w:val="33D77F3E"/>
    <w:rsid w:val="347270AC"/>
    <w:rsid w:val="34A400A9"/>
    <w:rsid w:val="350D59DC"/>
    <w:rsid w:val="351116A8"/>
    <w:rsid w:val="359C73A0"/>
    <w:rsid w:val="35F73B2D"/>
    <w:rsid w:val="36160F00"/>
    <w:rsid w:val="36A171E4"/>
    <w:rsid w:val="375B41E8"/>
    <w:rsid w:val="37983B5D"/>
    <w:rsid w:val="37E008B4"/>
    <w:rsid w:val="37E3463B"/>
    <w:rsid w:val="38731E86"/>
    <w:rsid w:val="38A54F26"/>
    <w:rsid w:val="38AB24E9"/>
    <w:rsid w:val="38DD789A"/>
    <w:rsid w:val="393E61F7"/>
    <w:rsid w:val="39547B8F"/>
    <w:rsid w:val="396669FF"/>
    <w:rsid w:val="397B56DC"/>
    <w:rsid w:val="39AC7A37"/>
    <w:rsid w:val="39EE0ECA"/>
    <w:rsid w:val="3A010BF4"/>
    <w:rsid w:val="3A5A5133"/>
    <w:rsid w:val="3A5F052B"/>
    <w:rsid w:val="3B3347D5"/>
    <w:rsid w:val="3BC02155"/>
    <w:rsid w:val="3BF7E6BF"/>
    <w:rsid w:val="3C28581E"/>
    <w:rsid w:val="3C4538F8"/>
    <w:rsid w:val="3C6835A9"/>
    <w:rsid w:val="3CA2297F"/>
    <w:rsid w:val="3CD975B2"/>
    <w:rsid w:val="3CFC1E0B"/>
    <w:rsid w:val="3CFF1E29"/>
    <w:rsid w:val="3D7D1865"/>
    <w:rsid w:val="3ED27DBD"/>
    <w:rsid w:val="3F0C0676"/>
    <w:rsid w:val="3F141141"/>
    <w:rsid w:val="3F5A3C2F"/>
    <w:rsid w:val="3F724603"/>
    <w:rsid w:val="3FC76EA6"/>
    <w:rsid w:val="40244897"/>
    <w:rsid w:val="40504E9C"/>
    <w:rsid w:val="4090448B"/>
    <w:rsid w:val="4185378C"/>
    <w:rsid w:val="431E490D"/>
    <w:rsid w:val="4384772F"/>
    <w:rsid w:val="43850177"/>
    <w:rsid w:val="43865400"/>
    <w:rsid w:val="43B03108"/>
    <w:rsid w:val="442D5F96"/>
    <w:rsid w:val="44362561"/>
    <w:rsid w:val="443B2D53"/>
    <w:rsid w:val="445341F2"/>
    <w:rsid w:val="44834750"/>
    <w:rsid w:val="44DB2ACE"/>
    <w:rsid w:val="458849D3"/>
    <w:rsid w:val="45A06791"/>
    <w:rsid w:val="45B1292D"/>
    <w:rsid w:val="45BF74A8"/>
    <w:rsid w:val="45CD38CF"/>
    <w:rsid w:val="462E307C"/>
    <w:rsid w:val="464072B5"/>
    <w:rsid w:val="464D21B7"/>
    <w:rsid w:val="46AF05B5"/>
    <w:rsid w:val="46CA635B"/>
    <w:rsid w:val="479003E6"/>
    <w:rsid w:val="484149B7"/>
    <w:rsid w:val="489A6F14"/>
    <w:rsid w:val="48BE7DAF"/>
    <w:rsid w:val="494B597C"/>
    <w:rsid w:val="498072FA"/>
    <w:rsid w:val="49962324"/>
    <w:rsid w:val="49ED0155"/>
    <w:rsid w:val="4A5D3697"/>
    <w:rsid w:val="4AB7656D"/>
    <w:rsid w:val="4AFC6247"/>
    <w:rsid w:val="4B184CE3"/>
    <w:rsid w:val="4B4E30AC"/>
    <w:rsid w:val="4B704D15"/>
    <w:rsid w:val="4B8F5D2D"/>
    <w:rsid w:val="4B9A22C6"/>
    <w:rsid w:val="4C0C0983"/>
    <w:rsid w:val="4C2E0DCB"/>
    <w:rsid w:val="4C641BFC"/>
    <w:rsid w:val="4C726569"/>
    <w:rsid w:val="4CB37C08"/>
    <w:rsid w:val="4CC874F6"/>
    <w:rsid w:val="4CD60537"/>
    <w:rsid w:val="4CDB1144"/>
    <w:rsid w:val="4CFE7396"/>
    <w:rsid w:val="4D47054C"/>
    <w:rsid w:val="4D516231"/>
    <w:rsid w:val="4D6E4265"/>
    <w:rsid w:val="4D7E702B"/>
    <w:rsid w:val="4D94083B"/>
    <w:rsid w:val="4E4F369A"/>
    <w:rsid w:val="4E6A7538"/>
    <w:rsid w:val="4EDA6221"/>
    <w:rsid w:val="4F2E243F"/>
    <w:rsid w:val="4FDF2564"/>
    <w:rsid w:val="501523A2"/>
    <w:rsid w:val="504174FC"/>
    <w:rsid w:val="50571C9F"/>
    <w:rsid w:val="50AB003F"/>
    <w:rsid w:val="50CF4503"/>
    <w:rsid w:val="50D37C15"/>
    <w:rsid w:val="511D019F"/>
    <w:rsid w:val="511D18C9"/>
    <w:rsid w:val="51542C8D"/>
    <w:rsid w:val="516234FD"/>
    <w:rsid w:val="51656886"/>
    <w:rsid w:val="516A1B63"/>
    <w:rsid w:val="51B81737"/>
    <w:rsid w:val="51D77030"/>
    <w:rsid w:val="52353A0A"/>
    <w:rsid w:val="524F5CEE"/>
    <w:rsid w:val="52D85750"/>
    <w:rsid w:val="52EE7267"/>
    <w:rsid w:val="52FB18C6"/>
    <w:rsid w:val="531072F0"/>
    <w:rsid w:val="53213E80"/>
    <w:rsid w:val="53FE3E0A"/>
    <w:rsid w:val="540B1675"/>
    <w:rsid w:val="543142CF"/>
    <w:rsid w:val="55286E22"/>
    <w:rsid w:val="556E6581"/>
    <w:rsid w:val="5588677D"/>
    <w:rsid w:val="55992516"/>
    <w:rsid w:val="560317C0"/>
    <w:rsid w:val="560E14B9"/>
    <w:rsid w:val="561B6539"/>
    <w:rsid w:val="561F720E"/>
    <w:rsid w:val="566F4A58"/>
    <w:rsid w:val="5712150D"/>
    <w:rsid w:val="57A3633F"/>
    <w:rsid w:val="57AC12E1"/>
    <w:rsid w:val="57B27F05"/>
    <w:rsid w:val="57CF58DB"/>
    <w:rsid w:val="57DC33A7"/>
    <w:rsid w:val="58215343"/>
    <w:rsid w:val="584F10D8"/>
    <w:rsid w:val="5854171D"/>
    <w:rsid w:val="5866766D"/>
    <w:rsid w:val="587561D1"/>
    <w:rsid w:val="58D01EBB"/>
    <w:rsid w:val="58F61D44"/>
    <w:rsid w:val="596B3D20"/>
    <w:rsid w:val="597D2244"/>
    <w:rsid w:val="59F3439B"/>
    <w:rsid w:val="5A0D30B4"/>
    <w:rsid w:val="5A2A3F59"/>
    <w:rsid w:val="5A483FF8"/>
    <w:rsid w:val="5B0C693A"/>
    <w:rsid w:val="5B1E3B4B"/>
    <w:rsid w:val="5B3429A4"/>
    <w:rsid w:val="5B7928AC"/>
    <w:rsid w:val="5B9C5C45"/>
    <w:rsid w:val="5C0C1983"/>
    <w:rsid w:val="5C146507"/>
    <w:rsid w:val="5C8556D4"/>
    <w:rsid w:val="5C9C6DF2"/>
    <w:rsid w:val="5C9D087A"/>
    <w:rsid w:val="5D1458EA"/>
    <w:rsid w:val="5D35760E"/>
    <w:rsid w:val="5D5840D6"/>
    <w:rsid w:val="5D8A2234"/>
    <w:rsid w:val="5DA37A9B"/>
    <w:rsid w:val="5DE96312"/>
    <w:rsid w:val="5E334000"/>
    <w:rsid w:val="5E69296F"/>
    <w:rsid w:val="5ED50225"/>
    <w:rsid w:val="5F1F0240"/>
    <w:rsid w:val="5F39742E"/>
    <w:rsid w:val="5F562BF3"/>
    <w:rsid w:val="603D2A8D"/>
    <w:rsid w:val="603F5402"/>
    <w:rsid w:val="60603B12"/>
    <w:rsid w:val="60A820EF"/>
    <w:rsid w:val="60B0413F"/>
    <w:rsid w:val="60D818B2"/>
    <w:rsid w:val="6107035D"/>
    <w:rsid w:val="614C422E"/>
    <w:rsid w:val="615A0A76"/>
    <w:rsid w:val="619135C2"/>
    <w:rsid w:val="621C7880"/>
    <w:rsid w:val="628A4E55"/>
    <w:rsid w:val="6295412E"/>
    <w:rsid w:val="62D04AAA"/>
    <w:rsid w:val="63381C06"/>
    <w:rsid w:val="63B84AF5"/>
    <w:rsid w:val="63F7386F"/>
    <w:rsid w:val="64037383"/>
    <w:rsid w:val="64126E1E"/>
    <w:rsid w:val="642E2243"/>
    <w:rsid w:val="6469630A"/>
    <w:rsid w:val="648B4CC0"/>
    <w:rsid w:val="64A2179B"/>
    <w:rsid w:val="654B7F44"/>
    <w:rsid w:val="65F77B57"/>
    <w:rsid w:val="65FF3AA9"/>
    <w:rsid w:val="660031E4"/>
    <w:rsid w:val="660F3D1F"/>
    <w:rsid w:val="66152ACA"/>
    <w:rsid w:val="662911E1"/>
    <w:rsid w:val="663250C1"/>
    <w:rsid w:val="66BD65BE"/>
    <w:rsid w:val="66BF5DFC"/>
    <w:rsid w:val="66EF5BAF"/>
    <w:rsid w:val="675A157F"/>
    <w:rsid w:val="677909F1"/>
    <w:rsid w:val="67F91D07"/>
    <w:rsid w:val="683F44C5"/>
    <w:rsid w:val="68B44D24"/>
    <w:rsid w:val="68D1423E"/>
    <w:rsid w:val="693B4373"/>
    <w:rsid w:val="696D41C4"/>
    <w:rsid w:val="69BE147D"/>
    <w:rsid w:val="69BF1317"/>
    <w:rsid w:val="69ED05F9"/>
    <w:rsid w:val="6AD20B92"/>
    <w:rsid w:val="6B263ACF"/>
    <w:rsid w:val="6B73602A"/>
    <w:rsid w:val="6B8B6CF1"/>
    <w:rsid w:val="6BDF6CC4"/>
    <w:rsid w:val="6C1660AA"/>
    <w:rsid w:val="6C234574"/>
    <w:rsid w:val="6C4142CA"/>
    <w:rsid w:val="6E231488"/>
    <w:rsid w:val="6E7E2016"/>
    <w:rsid w:val="6EF00770"/>
    <w:rsid w:val="6F0452B4"/>
    <w:rsid w:val="6F4C6B46"/>
    <w:rsid w:val="70905002"/>
    <w:rsid w:val="70BB7C71"/>
    <w:rsid w:val="717D0E42"/>
    <w:rsid w:val="719F75B5"/>
    <w:rsid w:val="71B400B8"/>
    <w:rsid w:val="71BF5D6D"/>
    <w:rsid w:val="72516F6C"/>
    <w:rsid w:val="72EF1566"/>
    <w:rsid w:val="73412F53"/>
    <w:rsid w:val="73437FCE"/>
    <w:rsid w:val="73B30FC6"/>
    <w:rsid w:val="74592D34"/>
    <w:rsid w:val="748443E4"/>
    <w:rsid w:val="74D77289"/>
    <w:rsid w:val="74F952E5"/>
    <w:rsid w:val="753F15A0"/>
    <w:rsid w:val="75483F2B"/>
    <w:rsid w:val="75A628C9"/>
    <w:rsid w:val="75B36462"/>
    <w:rsid w:val="76065B98"/>
    <w:rsid w:val="763F7413"/>
    <w:rsid w:val="76861D4C"/>
    <w:rsid w:val="76B27622"/>
    <w:rsid w:val="776C7C79"/>
    <w:rsid w:val="77740E18"/>
    <w:rsid w:val="77A34288"/>
    <w:rsid w:val="780A371A"/>
    <w:rsid w:val="781101C0"/>
    <w:rsid w:val="7824373B"/>
    <w:rsid w:val="7831103D"/>
    <w:rsid w:val="784521A0"/>
    <w:rsid w:val="786755ED"/>
    <w:rsid w:val="788D1579"/>
    <w:rsid w:val="78AE7FE7"/>
    <w:rsid w:val="79156F08"/>
    <w:rsid w:val="79220BB1"/>
    <w:rsid w:val="79936676"/>
    <w:rsid w:val="79A52F07"/>
    <w:rsid w:val="7A6F2A3A"/>
    <w:rsid w:val="7A8A0B42"/>
    <w:rsid w:val="7B541151"/>
    <w:rsid w:val="7B851976"/>
    <w:rsid w:val="7B9A12F6"/>
    <w:rsid w:val="7BBB15F0"/>
    <w:rsid w:val="7BD4353D"/>
    <w:rsid w:val="7BE772BD"/>
    <w:rsid w:val="7C07A0F5"/>
    <w:rsid w:val="7C0E057E"/>
    <w:rsid w:val="7C413482"/>
    <w:rsid w:val="7C5311B3"/>
    <w:rsid w:val="7CDB7433"/>
    <w:rsid w:val="7D0F22FE"/>
    <w:rsid w:val="7D460711"/>
    <w:rsid w:val="7D6E2938"/>
    <w:rsid w:val="7D717185"/>
    <w:rsid w:val="7D7635FF"/>
    <w:rsid w:val="7D8111E0"/>
    <w:rsid w:val="7DB10E50"/>
    <w:rsid w:val="7E172803"/>
    <w:rsid w:val="7EC13FAE"/>
    <w:rsid w:val="7F152E80"/>
    <w:rsid w:val="7F207CC7"/>
    <w:rsid w:val="7F3D3C2E"/>
    <w:rsid w:val="7F4552DB"/>
    <w:rsid w:val="7F770BAF"/>
    <w:rsid w:val="7FA92E56"/>
    <w:rsid w:val="ADB3EDF9"/>
    <w:rsid w:val="B59DAF38"/>
    <w:rsid w:val="BFBAAF01"/>
    <w:rsid w:val="D6FDEFC2"/>
    <w:rsid w:val="DFDE7D33"/>
    <w:rsid w:val="FD7EF2D2"/>
    <w:rsid w:val="FDF5A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beforeAutospacing="1" w:afterAutospacing="1"/>
      <w:outlineLvl w:val="0"/>
    </w:pPr>
    <w:rPr>
      <w:rFonts w:hint="eastAsia" w:ascii="宋体" w:hAnsi="宋体" w:eastAsia="宋体"/>
      <w:b/>
      <w:bCs/>
      <w:kern w:val="36"/>
      <w:sz w:val="48"/>
      <w:szCs w:val="48"/>
      <w:lang w:val="en-US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numPr>
        <w:ilvl w:val="0"/>
        <w:numId w:val="1"/>
      </w:numPr>
      <w:spacing w:line="560" w:lineRule="exact"/>
      <w:ind w:left="0" w:firstLine="880" w:firstLineChars="200"/>
      <w:outlineLvl w:val="1"/>
    </w:pPr>
    <w:rPr>
      <w:rFonts w:ascii="方正黑体简体" w:hAnsi="方正黑体简体" w:eastAsia="方正黑体简体"/>
      <w:sz w:val="32"/>
      <w:szCs w:val="22"/>
    </w:rPr>
  </w:style>
  <w:style w:type="paragraph" w:styleId="4">
    <w:name w:val="heading 3"/>
    <w:basedOn w:val="1"/>
    <w:next w:val="1"/>
    <w:link w:val="19"/>
    <w:autoRedefine/>
    <w:unhideWhenUsed/>
    <w:qFormat/>
    <w:uiPriority w:val="9"/>
    <w:pPr>
      <w:keepNext/>
      <w:keepLines/>
      <w:numPr>
        <w:ilvl w:val="0"/>
        <w:numId w:val="2"/>
      </w:numPr>
      <w:tabs>
        <w:tab w:val="left" w:pos="0"/>
      </w:tabs>
      <w:spacing w:line="560" w:lineRule="exact"/>
      <w:outlineLvl w:val="2"/>
    </w:pPr>
    <w:rPr>
      <w:rFonts w:ascii="方正楷体简体" w:hAnsi="方正楷体简体" w:eastAsia="方正楷体简体"/>
      <w:sz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autoRedefine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/>
    </w:rPr>
  </w:style>
  <w:style w:type="paragraph" w:styleId="6">
    <w:name w:val="header"/>
    <w:basedOn w:val="1"/>
    <w:link w:val="14"/>
    <w:autoRedefine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/>
    </w:rPr>
  </w:style>
  <w:style w:type="paragraph" w:styleId="7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10">
    <w:name w:val="Strong"/>
    <w:autoRedefine/>
    <w:qFormat/>
    <w:uiPriority w:val="22"/>
    <w:rPr>
      <w:b/>
      <w:bCs/>
    </w:rPr>
  </w:style>
  <w:style w:type="character" w:styleId="11">
    <w:name w:val="FollowedHyperlink"/>
    <w:basedOn w:val="9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autoRedefine/>
    <w:qFormat/>
    <w:uiPriority w:val="20"/>
    <w:rPr>
      <w:i/>
      <w:iCs/>
    </w:rPr>
  </w:style>
  <w:style w:type="character" w:styleId="13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6">
    <w:name w:val="未处理的提及1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8">
    <w:name w:val="未处理的提及2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3 字符"/>
    <w:link w:val="4"/>
    <w:autoRedefine/>
    <w:qFormat/>
    <w:uiPriority w:val="0"/>
    <w:rPr>
      <w:rFonts w:ascii="方正楷体简体" w:hAnsi="方正楷体简体" w:eastAsia="方正楷体简体"/>
      <w:sz w:val="32"/>
    </w:rPr>
  </w:style>
  <w:style w:type="table" w:customStyle="1" w:styleId="20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773</Words>
  <Characters>4409</Characters>
  <Lines>36</Lines>
  <Paragraphs>10</Paragraphs>
  <TotalTime>0</TotalTime>
  <ScaleCrop>false</ScaleCrop>
  <LinksUpToDate>false</LinksUpToDate>
  <CharactersWithSpaces>5172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2023-02-10T13:38:00Z</dcterms:created>
  <dc:creator>张 斌</dc:creator>
  <cp:lastModifiedBy>朱赫</cp:lastModifiedBy>
  <cp:lastPrinted>2023-02-10T11:47:00Z</cp:lastPrinted>
  <dcterms:modified xsi:type="dcterms:W3CDTF">2024-04-17T00:47:16Z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96B2DA85D3EF44878CA2308EF2077766</vt:lpwstr>
  </property>
</Properties>
</file>