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sz w:val="56"/>
        </w:rPr>
        <w:t>西科斯基 Sikorsky S-76B</w:t>
      </w:r>
    </w:p>
    <w:p>
      <w:pPr>
        <w:jc w:val="center"/>
      </w:pPr>
      <w:r>
        <w:rPr>
          <w:rFonts w:ascii="Times New Roman" w:hAnsi="Times New Roman" w:eastAsia="黑体"/>
          <w:b/>
          <w:sz w:val="56"/>
        </w:rPr>
        <w:t>直升机机长手册</w:t>
      </w:r>
    </w:p>
    <w:p/>
    <w:p>
      <w:pPr>
        <w:jc w:val="center"/>
      </w:pPr>
      <w:r>
        <w:rPr>
          <w:rFonts w:ascii="Times New Roman" w:hAnsi="Times New Roman" w:eastAsia="黑体"/>
          <w:sz w:val="32"/>
        </w:rPr>
        <w:t>扩展参考资料版</w:t>
      </w:r>
    </w:p>
    <w:p/>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2"/>
              </w:rPr>
              <w:t>文件名称</w:t>
            </w:r>
          </w:p>
        </w:tc>
        <w:tc>
          <w:tcPr>
            <w:tcW w:type="dxa" w:w="5669"/>
          </w:tcPr>
          <w:p>
            <w:r>
              <w:rPr>
                <w:rFonts w:ascii="Times New Roman" w:hAnsi="Times New Roman" w:eastAsia="宋体"/>
                <w:sz w:val="22"/>
              </w:rPr>
              <w:t>《西科斯基 Sikorsky S-76B 直升机机长手册》</w:t>
            </w:r>
          </w:p>
        </w:tc>
      </w:tr>
      <w:tr>
        <w:tc>
          <w:tcPr>
            <w:tcW w:type="dxa" w:w="2551"/>
          </w:tcPr>
          <w:p>
            <w:r>
              <w:rPr>
                <w:rFonts w:ascii="Times New Roman" w:hAnsi="Times New Roman" w:eastAsia="黑体"/>
                <w:b/>
                <w:sz w:val="22"/>
              </w:rPr>
              <w:t>机型</w:t>
            </w:r>
          </w:p>
        </w:tc>
        <w:tc>
          <w:tcPr>
            <w:tcW w:type="dxa" w:w="5669"/>
          </w:tcPr>
          <w:p>
            <w:r>
              <w:rPr>
                <w:rFonts w:ascii="Times New Roman" w:hAnsi="Times New Roman" w:eastAsia="宋体"/>
                <w:sz w:val="22"/>
              </w:rPr>
              <w:t>西科斯基 Sikorsky S-76B 双发直升机</w:t>
            </w:r>
          </w:p>
        </w:tc>
      </w:tr>
      <w:tr>
        <w:tc>
          <w:tcPr>
            <w:tcW w:type="dxa" w:w="2551"/>
          </w:tcPr>
          <w:p>
            <w:r>
              <w:rPr>
                <w:rFonts w:ascii="Times New Roman" w:hAnsi="Times New Roman" w:eastAsia="黑体"/>
                <w:b/>
                <w:sz w:val="22"/>
              </w:rPr>
              <w:t>版本号</w:t>
            </w:r>
          </w:p>
        </w:tc>
        <w:tc>
          <w:tcPr>
            <w:tcW w:type="dxa" w:w="5669"/>
          </w:tcPr>
          <w:p>
            <w:r>
              <w:rPr>
                <w:rFonts w:ascii="Times New Roman" w:hAnsi="Times New Roman" w:eastAsia="宋体"/>
                <w:sz w:val="22"/>
              </w:rPr>
              <w:t>0.1（参考草案）</w:t>
            </w:r>
          </w:p>
        </w:tc>
      </w:tr>
      <w:tr>
        <w:tc>
          <w:tcPr>
            <w:tcW w:type="dxa" w:w="2551"/>
          </w:tcPr>
          <w:p>
            <w:r>
              <w:rPr>
                <w:rFonts w:ascii="Times New Roman" w:hAnsi="Times New Roman" w:eastAsia="黑体"/>
                <w:b/>
                <w:sz w:val="22"/>
              </w:rPr>
              <w:t>编制日期</w:t>
            </w:r>
          </w:p>
        </w:tc>
        <w:tc>
          <w:tcPr>
            <w:tcW w:type="dxa" w:w="5669"/>
          </w:tcPr>
          <w:p>
            <w:r>
              <w:rPr>
                <w:rFonts w:ascii="Times New Roman" w:hAnsi="Times New Roman" w:eastAsia="宋体"/>
                <w:sz w:val="22"/>
              </w:rPr>
              <w:t>2026年10月17日</w:t>
            </w:r>
          </w:p>
        </w:tc>
      </w:tr>
      <w:tr>
        <w:tc>
          <w:tcPr>
            <w:tcW w:type="dxa" w:w="2551"/>
          </w:tcPr>
          <w:p>
            <w:r>
              <w:rPr>
                <w:rFonts w:ascii="Times New Roman" w:hAnsi="Times New Roman" w:eastAsia="黑体"/>
                <w:b/>
                <w:sz w:val="22"/>
              </w:rPr>
              <w:t>文件状态</w:t>
            </w:r>
          </w:p>
        </w:tc>
        <w:tc>
          <w:tcPr>
            <w:tcW w:type="dxa" w:w="5669"/>
          </w:tcPr>
          <w:p>
            <w:r>
              <w:rPr>
                <w:rFonts w:ascii="Times New Roman" w:hAnsi="Times New Roman" w:eastAsia="宋体"/>
                <w:sz w:val="22"/>
              </w:rPr>
              <w:t>非受控文件 / 参考资料 / 待运营人审查</w:t>
            </w:r>
          </w:p>
        </w:tc>
      </w:tr>
      <w:tr>
        <w:tc>
          <w:tcPr>
            <w:tcW w:type="dxa" w:w="2551"/>
          </w:tcPr>
          <w:p>
            <w:r>
              <w:rPr>
                <w:rFonts w:ascii="Times New Roman" w:hAnsi="Times New Roman" w:eastAsia="黑体"/>
                <w:b/>
                <w:sz w:val="22"/>
              </w:rPr>
              <w:t>语言</w:t>
            </w:r>
          </w:p>
        </w:tc>
        <w:tc>
          <w:tcPr>
            <w:tcW w:type="dxa" w:w="5669"/>
          </w:tcPr>
          <w:p>
            <w:r>
              <w:rPr>
                <w:rFonts w:ascii="Times New Roman" w:hAnsi="Times New Roman" w:eastAsia="宋体"/>
                <w:sz w:val="22"/>
              </w:rPr>
              <w:t>简体中文</w:t>
            </w:r>
          </w:p>
        </w:tc>
      </w:tr>
      <w:tr>
        <w:tc>
          <w:tcPr>
            <w:tcW w:type="dxa" w:w="2551"/>
          </w:tcPr>
          <w:p>
            <w:r>
              <w:rPr>
                <w:rFonts w:ascii="Times New Roman" w:hAnsi="Times New Roman" w:eastAsia="黑体"/>
                <w:b/>
                <w:sz w:val="22"/>
              </w:rPr>
              <w:t>用途</w:t>
            </w:r>
          </w:p>
        </w:tc>
        <w:tc>
          <w:tcPr>
            <w:tcW w:type="dxa" w:w="5669"/>
          </w:tcPr>
          <w:p>
            <w:r>
              <w:rPr>
                <w:rFonts w:ascii="Times New Roman" w:hAnsi="Times New Roman" w:eastAsia="宋体"/>
                <w:sz w:val="22"/>
              </w:rPr>
              <w:t>专业工作参考、航空运行管理参考、机组培训辅助阅读及相关技术资料学习</w:t>
            </w:r>
          </w:p>
        </w:tc>
      </w:tr>
    </w:tbl>
    <w:p/>
    <w:p/>
    <w:p>
      <w:pPr>
        <w:jc w:val="center"/>
      </w:pPr>
      <w:r>
        <w:rPr>
          <w:rFonts w:ascii="Times New Roman" w:hAnsi="Times New Roman" w:eastAsia="黑体"/>
          <w:b/>
          <w:color w:val="C00000"/>
          <w:sz w:val="24"/>
        </w:rPr>
        <w:t>【重要声明】</w:t>
      </w:r>
    </w:p>
    <w:p>
      <w:pPr>
        <w:jc w:val="both"/>
      </w:pPr>
      <w:r>
        <w:rPr>
          <w:rFonts w:ascii="Times New Roman" w:hAnsi="Times New Roman" w:eastAsia="宋体"/>
          <w:sz w:val="20"/>
        </w:rPr>
        <w:t>本文件属于参考资料，不是经批准或认可的飞行手册、检查单或运营人标准操作程序（SOP）。本手册不得替代适用机型的正式飞行手册（RFM/AFM）、快速检查单（QRH）、正常/非正常检查单、最低设备清单（MEL）、标准操作程序（SOP）或训练大纲。不得据此单独实施飞行、放行、故障处置、性能计算或紧急程序。实际运行必须以适用法规、运营人现行受控文件、该架航空器有效飞行手册和经批准/认可的检查单为准。</w:t>
      </w:r>
    </w:p>
    <w:p>
      <w:r>
        <w:br w:type="page"/>
      </w:r>
    </w:p>
    <w:p>
      <w:pPr>
        <w:pStyle w:val="Heading1"/>
      </w:pPr>
      <w:r>
        <w:t>文件控制信息</w:t>
      </w:r>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1"/>
              </w:rPr>
              <w:t>文件名称</w:t>
            </w:r>
          </w:p>
        </w:tc>
        <w:tc>
          <w:tcPr>
            <w:tcW w:type="dxa" w:w="5669"/>
          </w:tcPr>
          <w:p>
            <w:r>
              <w:rPr>
                <w:rFonts w:ascii="Times New Roman" w:hAnsi="Times New Roman" w:eastAsia="宋体"/>
                <w:sz w:val="21"/>
              </w:rPr>
              <w:t>《西科斯基 Sikorsky S-76B 直升机机长手册》</w:t>
            </w:r>
          </w:p>
        </w:tc>
      </w:tr>
      <w:tr>
        <w:tc>
          <w:tcPr>
            <w:tcW w:type="dxa" w:w="2551"/>
          </w:tcPr>
          <w:p>
            <w:r>
              <w:rPr>
                <w:rFonts w:ascii="Times New Roman" w:hAnsi="Times New Roman" w:eastAsia="黑体"/>
                <w:b/>
                <w:sz w:val="21"/>
              </w:rPr>
              <w:t>版本号/状态</w:t>
            </w:r>
          </w:p>
        </w:tc>
        <w:tc>
          <w:tcPr>
            <w:tcW w:type="dxa" w:w="5669"/>
          </w:tcPr>
          <w:p>
            <w:r>
              <w:rPr>
                <w:rFonts w:ascii="Times New Roman" w:hAnsi="Times New Roman" w:eastAsia="宋体"/>
                <w:sz w:val="21"/>
              </w:rPr>
              <w:t>0.1 / 非受控参考草案</w:t>
            </w:r>
          </w:p>
        </w:tc>
      </w:tr>
      <w:tr>
        <w:tc>
          <w:tcPr>
            <w:tcW w:type="dxa" w:w="2551"/>
          </w:tcPr>
          <w:p>
            <w:r>
              <w:rPr>
                <w:rFonts w:ascii="Times New Roman" w:hAnsi="Times New Roman" w:eastAsia="黑体"/>
                <w:b/>
                <w:sz w:val="21"/>
              </w:rPr>
              <w:t>适用机型</w:t>
            </w:r>
          </w:p>
        </w:tc>
        <w:tc>
          <w:tcPr>
            <w:tcW w:type="dxa" w:w="5669"/>
          </w:tcPr>
          <w:p>
            <w:r>
              <w:rPr>
                <w:rFonts w:ascii="Times New Roman" w:hAnsi="Times New Roman" w:eastAsia="宋体"/>
                <w:sz w:val="21"/>
              </w:rPr>
              <w:t>西科斯基 Sikorsky S-76B 双发直升机</w:t>
            </w:r>
          </w:p>
        </w:tc>
      </w:tr>
      <w:tr>
        <w:tc>
          <w:tcPr>
            <w:tcW w:type="dxa" w:w="2551"/>
          </w:tcPr>
          <w:p>
            <w:r>
              <w:rPr>
                <w:rFonts w:ascii="Times New Roman" w:hAnsi="Times New Roman" w:eastAsia="黑体"/>
                <w:b/>
                <w:sz w:val="21"/>
              </w:rPr>
              <w:t>适用运营人</w:t>
            </w:r>
          </w:p>
        </w:tc>
        <w:tc>
          <w:tcPr>
            <w:tcW w:type="dxa" w:w="5669"/>
          </w:tcPr>
          <w:p>
            <w:r>
              <w:rPr>
                <w:rFonts w:ascii="Times New Roman" w:hAnsi="Times New Roman" w:eastAsia="宋体"/>
                <w:sz w:val="21"/>
              </w:rPr>
              <w:t>须由使用单位确认</w:t>
            </w:r>
          </w:p>
        </w:tc>
      </w:tr>
      <w:tr>
        <w:tc>
          <w:tcPr>
            <w:tcW w:type="dxa" w:w="2551"/>
          </w:tcPr>
          <w:p>
            <w:r>
              <w:rPr>
                <w:rFonts w:ascii="Times New Roman" w:hAnsi="Times New Roman" w:eastAsia="黑体"/>
                <w:b/>
                <w:sz w:val="21"/>
              </w:rPr>
              <w:t>适用法规辖区</w:t>
            </w:r>
          </w:p>
        </w:tc>
        <w:tc>
          <w:tcPr>
            <w:tcW w:type="dxa" w:w="5669"/>
          </w:tcPr>
          <w:p>
            <w:r>
              <w:rPr>
                <w:rFonts w:ascii="Times New Roman" w:hAnsi="Times New Roman" w:eastAsia="宋体"/>
                <w:sz w:val="21"/>
              </w:rPr>
              <w:t>须由使用单位确认</w:t>
            </w:r>
          </w:p>
        </w:tc>
      </w:tr>
      <w:tr>
        <w:tc>
          <w:tcPr>
            <w:tcW w:type="dxa" w:w="2551"/>
          </w:tcPr>
          <w:p>
            <w:r>
              <w:rPr>
                <w:rFonts w:ascii="Times New Roman" w:hAnsi="Times New Roman" w:eastAsia="黑体"/>
                <w:b/>
                <w:sz w:val="21"/>
              </w:rPr>
              <w:t>责任部门</w:t>
            </w:r>
          </w:p>
        </w:tc>
        <w:tc>
          <w:tcPr>
            <w:tcW w:type="dxa" w:w="5669"/>
          </w:tcPr>
          <w:p>
            <w:r>
              <w:rPr>
                <w:rFonts w:ascii="Times New Roman" w:hAnsi="Times New Roman" w:eastAsia="宋体"/>
                <w:sz w:val="21"/>
              </w:rPr>
              <w:t>须由使用单位指定</w:t>
            </w:r>
          </w:p>
        </w:tc>
      </w:tr>
      <w:tr>
        <w:tc>
          <w:tcPr>
            <w:tcW w:type="dxa" w:w="2551"/>
          </w:tcPr>
          <w:p>
            <w:r>
              <w:rPr>
                <w:rFonts w:ascii="Times New Roman" w:hAnsi="Times New Roman" w:eastAsia="黑体"/>
                <w:b/>
                <w:sz w:val="21"/>
              </w:rPr>
              <w:t>审查/批准</w:t>
            </w:r>
          </w:p>
        </w:tc>
        <w:tc>
          <w:tcPr>
            <w:tcW w:type="dxa" w:w="5669"/>
          </w:tcPr>
          <w:p>
            <w:r>
              <w:rPr>
                <w:rFonts w:ascii="Times New Roman" w:hAnsi="Times New Roman" w:eastAsia="宋体"/>
                <w:sz w:val="21"/>
              </w:rPr>
              <w:t>投入正式运行前须由有权部门审查、批准或认可</w:t>
            </w:r>
          </w:p>
        </w:tc>
      </w:tr>
      <w:tr>
        <w:tc>
          <w:tcPr>
            <w:tcW w:type="dxa" w:w="2551"/>
          </w:tcPr>
          <w:p>
            <w:r>
              <w:rPr>
                <w:rFonts w:ascii="Times New Roman" w:hAnsi="Times New Roman" w:eastAsia="黑体"/>
                <w:b/>
                <w:sz w:val="21"/>
              </w:rPr>
              <w:t>复审触发条件</w:t>
            </w:r>
          </w:p>
        </w:tc>
        <w:tc>
          <w:tcPr>
            <w:tcW w:type="dxa" w:w="5669"/>
          </w:tcPr>
          <w:p>
            <w:r>
              <w:rPr>
                <w:rFonts w:ascii="Times New Roman" w:hAnsi="Times New Roman" w:eastAsia="宋体"/>
                <w:sz w:val="21"/>
              </w:rPr>
              <w:t>法规、机型、运行批准、运营人程序或安全信息发生变化时</w:t>
            </w:r>
          </w:p>
        </w:tc>
      </w:tr>
      <w:tr>
        <w:tc>
          <w:tcPr>
            <w:tcW w:type="dxa" w:w="2551"/>
          </w:tcPr>
          <w:p>
            <w:r>
              <w:rPr>
                <w:rFonts w:ascii="Times New Roman" w:hAnsi="Times New Roman" w:eastAsia="黑体"/>
                <w:b/>
                <w:sz w:val="21"/>
              </w:rPr>
              <w:t>编制依据</w:t>
            </w:r>
          </w:p>
        </w:tc>
        <w:tc>
          <w:tcPr>
            <w:tcW w:type="dxa" w:w="5669"/>
          </w:tcPr>
          <w:p>
            <w:r>
              <w:rPr>
                <w:rFonts w:ascii="Times New Roman" w:hAnsi="Times New Roman" w:eastAsia="宋体"/>
                <w:sz w:val="21"/>
              </w:rPr>
              <w:t>FAA Type Certificate H1NE；NZ CAA TAR 97/07 Rev.2；EASA TCDS EASA.IM.R.113</w:t>
            </w:r>
          </w:p>
        </w:tc>
      </w:tr>
      <w:tr>
        <w:tc>
          <w:tcPr>
            <w:tcW w:type="dxa" w:w="2551"/>
          </w:tcPr>
          <w:p>
            <w:r>
              <w:rPr>
                <w:rFonts w:ascii="Times New Roman" w:hAnsi="Times New Roman" w:eastAsia="黑体"/>
                <w:b/>
                <w:sz w:val="21"/>
              </w:rPr>
              <w:t>参考资料核验</w:t>
            </w:r>
          </w:p>
        </w:tc>
        <w:tc>
          <w:tcPr>
            <w:tcW w:type="dxa" w:w="5669"/>
          </w:tcPr>
          <w:p>
            <w:r>
              <w:rPr>
                <w:rFonts w:ascii="Times New Roman" w:hAnsi="Times New Roman" w:eastAsia="宋体"/>
                <w:sz w:val="21"/>
              </w:rPr>
              <w:t>正式发布前须由飞行运行、适航/维修、安全管理、合规/法律岗位共同审查</w:t>
            </w:r>
          </w:p>
        </w:tc>
      </w:tr>
    </w:tbl>
    <w:p/>
    <w:p>
      <w:pPr>
        <w:pStyle w:val="Heading1"/>
      </w:pPr>
      <w:r>
        <w:t>目  录</w:t>
      </w:r>
    </w:p>
    <w:p>
      <w:r>
        <w:rPr>
          <w:rFonts w:ascii="Times New Roman" w:hAnsi="Times New Roman" w:eastAsia="宋体"/>
          <w:b/>
          <w:sz w:val="22"/>
        </w:rPr>
        <w:t>第一章  手册说明与适用范围</w:t>
      </w:r>
    </w:p>
    <w:p>
      <w:r>
        <w:rPr>
          <w:rFonts w:ascii="Times New Roman" w:hAnsi="Times New Roman" w:eastAsia="宋体"/>
          <w:b/>
          <w:sz w:val="22"/>
        </w:rPr>
        <w:t>第二章  S-76B 机型概述</w:t>
      </w:r>
    </w:p>
    <w:p>
      <w:r>
        <w:rPr>
          <w:rFonts w:ascii="Times New Roman" w:hAnsi="Times New Roman" w:eastAsia="宋体"/>
          <w:b/>
          <w:sz w:val="22"/>
        </w:rPr>
        <w:t>第三章  机长职责与运行管理</w:t>
      </w:r>
    </w:p>
    <w:p>
      <w:r>
        <w:rPr>
          <w:rFonts w:ascii="Times New Roman" w:hAnsi="Times New Roman" w:eastAsia="宋体"/>
          <w:b/>
          <w:sz w:val="22"/>
        </w:rPr>
        <w:t>第四章  飞行前任务准备流程</w:t>
      </w:r>
    </w:p>
    <w:p>
      <w:r>
        <w:rPr>
          <w:rFonts w:ascii="Times New Roman" w:hAnsi="Times New Roman" w:eastAsia="宋体"/>
          <w:sz w:val="22"/>
        </w:rPr>
        <w:t xml:space="preserve">    4.1  任务接受</w:t>
      </w:r>
    </w:p>
    <w:p>
      <w:r>
        <w:rPr>
          <w:rFonts w:ascii="Times New Roman" w:hAnsi="Times New Roman" w:eastAsia="宋体"/>
          <w:sz w:val="22"/>
        </w:rPr>
        <w:t xml:space="preserve">    4.2  人员准备</w:t>
      </w:r>
    </w:p>
    <w:p>
      <w:r>
        <w:rPr>
          <w:rFonts w:ascii="Times New Roman" w:hAnsi="Times New Roman" w:eastAsia="宋体"/>
          <w:sz w:val="22"/>
        </w:rPr>
        <w:t xml:space="preserve">    4.3  天气和航行资料准备</w:t>
      </w:r>
    </w:p>
    <w:p>
      <w:r>
        <w:rPr>
          <w:rFonts w:ascii="Times New Roman" w:hAnsi="Times New Roman" w:eastAsia="宋体"/>
          <w:sz w:val="22"/>
        </w:rPr>
        <w:t xml:space="preserve">    4.4  航空器文件与技术状态核验</w:t>
      </w:r>
    </w:p>
    <w:p>
      <w:r>
        <w:rPr>
          <w:rFonts w:ascii="Times New Roman" w:hAnsi="Times New Roman" w:eastAsia="宋体"/>
          <w:b/>
          <w:sz w:val="22"/>
        </w:rPr>
        <w:t>第五章  重量、重心与性能管理</w:t>
      </w:r>
    </w:p>
    <w:p>
      <w:r>
        <w:rPr>
          <w:rFonts w:ascii="Times New Roman" w:hAnsi="Times New Roman" w:eastAsia="宋体"/>
          <w:b/>
          <w:sz w:val="22"/>
        </w:rPr>
        <w:t>第六章  驾驶舱准备与机组简报</w:t>
      </w:r>
    </w:p>
    <w:p>
      <w:r>
        <w:rPr>
          <w:rFonts w:ascii="Times New Roman" w:hAnsi="Times New Roman" w:eastAsia="宋体"/>
          <w:b/>
          <w:sz w:val="22"/>
        </w:rPr>
        <w:t>第七章  发动机启动及地面阶段的参考框架</w:t>
      </w:r>
    </w:p>
    <w:p>
      <w:r>
        <w:rPr>
          <w:rFonts w:ascii="Times New Roman" w:hAnsi="Times New Roman" w:eastAsia="宋体"/>
          <w:b/>
          <w:sz w:val="22"/>
        </w:rPr>
        <w:t>第八章  起飞前准备与起飞阶段管理</w:t>
      </w:r>
    </w:p>
    <w:p>
      <w:r>
        <w:rPr>
          <w:rFonts w:ascii="Times New Roman" w:hAnsi="Times New Roman" w:eastAsia="宋体"/>
          <w:b/>
          <w:sz w:val="22"/>
        </w:rPr>
        <w:t>第九章  飞行中管理</w:t>
      </w:r>
    </w:p>
    <w:p>
      <w:r>
        <w:rPr>
          <w:rFonts w:ascii="Times New Roman" w:hAnsi="Times New Roman" w:eastAsia="宋体"/>
          <w:b/>
          <w:sz w:val="22"/>
        </w:rPr>
        <w:t>第十章  进场、着陆与地面交接</w:t>
      </w:r>
    </w:p>
    <w:p>
      <w:r>
        <w:rPr>
          <w:rFonts w:ascii="Times New Roman" w:hAnsi="Times New Roman" w:eastAsia="宋体"/>
          <w:b/>
          <w:sz w:val="22"/>
        </w:rPr>
        <w:t>第十一章  异常情况与紧急情况管理</w:t>
      </w:r>
    </w:p>
    <w:p>
      <w:r>
        <w:rPr>
          <w:rFonts w:ascii="Times New Roman" w:hAnsi="Times New Roman" w:eastAsia="宋体"/>
          <w:b/>
          <w:sz w:val="22"/>
        </w:rPr>
        <w:t>第十二章  特殊任务管理</w:t>
      </w:r>
    </w:p>
    <w:p>
      <w:r>
        <w:rPr>
          <w:rFonts w:ascii="Times New Roman" w:hAnsi="Times New Roman" w:eastAsia="宋体"/>
          <w:b/>
          <w:sz w:val="22"/>
        </w:rPr>
        <w:t>第十三章  飞行后工作</w:t>
      </w:r>
    </w:p>
    <w:p>
      <w:r>
        <w:rPr>
          <w:rFonts w:ascii="Times New Roman" w:hAnsi="Times New Roman" w:eastAsia="宋体"/>
          <w:b/>
          <w:sz w:val="22"/>
        </w:rPr>
        <w:t>第十四章  机长决策与人为因素</w:t>
      </w:r>
    </w:p>
    <w:p>
      <w:r>
        <w:rPr>
          <w:rFonts w:ascii="Times New Roman" w:hAnsi="Times New Roman" w:eastAsia="宋体"/>
          <w:b/>
          <w:sz w:val="22"/>
        </w:rPr>
        <w:t>附录A  任务接受表</w:t>
      </w:r>
    </w:p>
    <w:p>
      <w:r>
        <w:rPr>
          <w:rFonts w:ascii="Times New Roman" w:hAnsi="Times New Roman" w:eastAsia="宋体"/>
          <w:b/>
          <w:sz w:val="22"/>
        </w:rPr>
        <w:t>附录B  机长任务简报表</w:t>
      </w:r>
    </w:p>
    <w:p>
      <w:r>
        <w:rPr>
          <w:rFonts w:ascii="Times New Roman" w:hAnsi="Times New Roman" w:eastAsia="宋体"/>
          <w:b/>
          <w:sz w:val="22"/>
        </w:rPr>
        <w:t>附录C  风险评估表</w:t>
      </w:r>
    </w:p>
    <w:p>
      <w:r>
        <w:rPr>
          <w:rFonts w:ascii="Times New Roman" w:hAnsi="Times New Roman" w:eastAsia="宋体"/>
          <w:b/>
          <w:sz w:val="22"/>
        </w:rPr>
        <w:t>附录D  航空器文件核验表</w:t>
      </w:r>
    </w:p>
    <w:p>
      <w:r>
        <w:rPr>
          <w:rFonts w:ascii="Times New Roman" w:hAnsi="Times New Roman" w:eastAsia="宋体"/>
          <w:b/>
          <w:sz w:val="22"/>
        </w:rPr>
        <w:t>附录E  运行阶段管理表</w:t>
      </w:r>
    </w:p>
    <w:p>
      <w:r>
        <w:rPr>
          <w:rFonts w:ascii="Times New Roman" w:hAnsi="Times New Roman" w:eastAsia="宋体"/>
          <w:b/>
          <w:sz w:val="22"/>
        </w:rPr>
        <w:t>附录F  异常事件报告表</w:t>
      </w:r>
    </w:p>
    <w:p>
      <w:r>
        <w:rPr>
          <w:rFonts w:ascii="Times New Roman" w:hAnsi="Times New Roman" w:eastAsia="宋体"/>
          <w:b/>
          <w:sz w:val="22"/>
        </w:rPr>
        <w:t>附录G  飞行后复盘表</w:t>
      </w:r>
    </w:p>
    <w:p>
      <w:r>
        <w:rPr>
          <w:rFonts w:ascii="Times New Roman" w:hAnsi="Times New Roman" w:eastAsia="宋体"/>
          <w:b/>
          <w:sz w:val="22"/>
        </w:rPr>
        <w:t>附录H  参考资料清单</w:t>
      </w:r>
    </w:p>
    <w:p>
      <w:r>
        <w:rPr>
          <w:rFonts w:ascii="Times New Roman" w:hAnsi="Times New Roman" w:eastAsia="宋体"/>
          <w:b/>
          <w:sz w:val="22"/>
        </w:rPr>
        <w:t>修订记录表</w:t>
      </w:r>
    </w:p>
    <w:p>
      <w:r>
        <w:br w:type="page"/>
      </w:r>
    </w:p>
    <w:p>
      <w:pPr>
        <w:pStyle w:val="Heading1"/>
      </w:pPr>
      <w:r>
        <w:t>第一章  手册说明与适用范围</w:t>
      </w:r>
    </w:p>
    <w:p>
      <w:pPr>
        <w:pStyle w:val="Heading2"/>
      </w:pPr>
      <w:r>
        <w:t>1.1 手册编制目的</w:t>
      </w:r>
    </w:p>
    <w:p>
      <w:pPr>
        <w:ind w:firstLine="420"/>
      </w:pPr>
      <w:r>
        <w:rPr>
          <w:rFonts w:ascii="Times New Roman" w:hAnsi="Times New Roman" w:eastAsia="宋体"/>
          <w:sz w:val="24"/>
        </w:rPr>
        <w:t>本手册以西科斯基 Sikorsky S-76B 为明确目标机型，为机长履行运行管理职责提供专业工作参考。本手册旨在帮助使用者组织任务准备、识别风险、协调机组与地面人员、作出保守决策并完成记录。适用于制定单位内部讨论稿、培训材料或手册编制底稿。</w:t>
      </w:r>
    </w:p>
    <w:p>
      <w:pPr>
        <w:pStyle w:val="Heading2"/>
      </w:pPr>
      <w:r>
        <w:t>1.2 适用机型及使用场景</w:t>
      </w:r>
    </w:p>
    <w:p>
      <w:pPr>
        <w:ind w:firstLine="420"/>
      </w:pPr>
      <w:r>
        <w:rPr>
          <w:rFonts w:ascii="Times New Roman" w:hAnsi="Times New Roman" w:eastAsia="宋体"/>
          <w:sz w:val="24"/>
        </w:rPr>
        <w:t>本手册适用于西科斯基 Sikorsky S-76B 双发直升机。S-76B 由 Sikorsky Aircraft Corporation 制造，基于 FAA Type Certificate H1NE 认证。根据新西兰民航局 Type Acceptance Report TAR 97/07 Rev.2，S-76B 的最大认证起飞重量（MCTOW）为 11,400 磅（5,171 千克），配备 PT6B-36 发动机；使用 PT6B-36A 或 -36B 发动机时 MCTOW 为 11,700 磅（5,307 千克）。最大座位数为驾驶舱 2 座、客舱 13 座。噪声标准依据美国 1972 年联邦噪声控制法。</w:t>
      </w:r>
    </w:p>
    <w:p>
      <w:pPr>
        <w:pStyle w:val="Heading2"/>
      </w:pPr>
      <w:r>
        <w:t>1.3 适用范围与不适用范围</w:t>
      </w:r>
    </w:p>
    <w:p>
      <w:pPr>
        <w:ind w:firstLine="420"/>
      </w:pPr>
      <w:r>
        <w:rPr>
          <w:rFonts w:ascii="Times New Roman" w:hAnsi="Times New Roman" w:eastAsia="宋体"/>
          <w:sz w:val="24"/>
        </w:rPr>
        <w:t>适用范围：本手册适用于 S-76B 机型的专业工作参考、航空运行管理参考、机组培训辅助阅读及相关技术资料学习。涵盖从任务接受到飞行后交接的完整运行管理链条，包括机长职责、运行风险评估、重量重心管理、驾驶舱准备、地面阶段管理、飞行中管理、进场着陆、异常与紧急情况管理、特殊任务管理、飞行后工作及人为因素等主题。</w:t>
      </w:r>
    </w:p>
    <w:p>
      <w:pPr>
        <w:ind w:firstLine="420"/>
      </w:pPr>
      <w:r>
        <w:rPr>
          <w:rFonts w:ascii="Times New Roman" w:hAnsi="Times New Roman" w:eastAsia="宋体"/>
          <w:sz w:val="24"/>
        </w:rPr>
        <w:t>不适用范围：本手册不适用于替代具体机型的飞行手册（RFM/AFM）、快速检查单（QRH）、正常/非正常检查单、最低设备清单（MEL）、标准操作程序（SOP）或训练大纲。不作为航空器放行、载荷与重心计算、性能分析、最低设备判定或空域/航路合法性判断的独立依据。不提供通用化的发动机失效、液压/电气故障、旋翼系统故障或其他紧急程序；此类程序必须使用适用机型的正式文件和训练标准。</w:t>
      </w:r>
    </w:p>
    <w:p>
      <w:pPr>
        <w:pStyle w:val="Heading2"/>
      </w:pPr>
      <w:r>
        <w:t>1.4 机长的职责和权限边界</w:t>
      </w:r>
    </w:p>
    <w:p>
      <w:pPr>
        <w:ind w:firstLine="420"/>
      </w:pPr>
      <w:r>
        <w:rPr>
          <w:rFonts w:ascii="Times New Roman" w:hAnsi="Times New Roman" w:eastAsia="宋体"/>
          <w:sz w:val="24"/>
        </w:rPr>
        <w:t>机长的具体法定职责、指挥权限和责任边界由适用法规及运营人文件确定。以下为管理性提示，不替代法律条文：</w:t>
      </w:r>
    </w:p>
    <w:p>
      <w:pPr>
        <w:pStyle w:val="ListBullet"/>
      </w:pPr>
      <w:r>
        <w:rPr>
          <w:rFonts w:ascii="Times New Roman" w:hAnsi="Times New Roman" w:eastAsia="宋体"/>
          <w:sz w:val="24"/>
        </w:rPr>
        <w:t>在接受任务前确认自身资格、近期经历、健康状态、任务授权及必要的机组/人员资质符合要求。</w:t>
      </w:r>
    </w:p>
    <w:p>
      <w:pPr>
        <w:pStyle w:val="ListBullet"/>
      </w:pPr>
      <w:r>
        <w:rPr>
          <w:rFonts w:ascii="Times New Roman" w:hAnsi="Times New Roman" w:eastAsia="宋体"/>
          <w:sz w:val="24"/>
        </w:rPr>
        <w:t>组织任务简报，确保机组理解任务目标、角色分工、关键风险、通信方式、终止标准和备选方案。</w:t>
      </w:r>
    </w:p>
    <w:p>
      <w:pPr>
        <w:pStyle w:val="ListBullet"/>
      </w:pPr>
      <w:r>
        <w:rPr>
          <w:rFonts w:ascii="Times New Roman" w:hAnsi="Times New Roman" w:eastAsia="宋体"/>
          <w:sz w:val="24"/>
        </w:rPr>
        <w:t>核实航空器状态、文件有效性、缺陷处置与放行状态由授权岗位按程序完成。</w:t>
      </w:r>
    </w:p>
    <w:p>
      <w:pPr>
        <w:pStyle w:val="ListBullet"/>
      </w:pPr>
      <w:r>
        <w:rPr>
          <w:rFonts w:ascii="Times New Roman" w:hAnsi="Times New Roman" w:eastAsia="宋体"/>
          <w:sz w:val="24"/>
        </w:rPr>
        <w:t>确认任务计划与天气、空域、航路、起降场地、载荷、燃油/能源、性能及运营限制相容。</w:t>
      </w:r>
    </w:p>
    <w:p>
      <w:pPr>
        <w:pStyle w:val="ListBullet"/>
      </w:pPr>
      <w:r>
        <w:rPr>
          <w:rFonts w:ascii="Times New Roman" w:hAnsi="Times New Roman" w:eastAsia="宋体"/>
          <w:sz w:val="24"/>
        </w:rPr>
        <w:t>在安全、合法性、适航性或信息充分性存在疑问时，依照授权和程序暂停、延迟、改航、返航或取消任务。</w:t>
      </w:r>
    </w:p>
    <w:p>
      <w:pPr>
        <w:pStyle w:val="ListBullet"/>
      </w:pPr>
      <w:r>
        <w:rPr>
          <w:rFonts w:ascii="Times New Roman" w:hAnsi="Times New Roman" w:eastAsia="宋体"/>
          <w:sz w:val="24"/>
        </w:rPr>
        <w:t>维护清晰的机组沟通环境，鼓励任何成员及时提出安全疑虑；对未解决的重大疑虑不得草率推进。</w:t>
      </w:r>
    </w:p>
    <w:p>
      <w:pPr>
        <w:pStyle w:val="ListBullet"/>
      </w:pPr>
      <w:r>
        <w:rPr>
          <w:rFonts w:ascii="Times New Roman" w:hAnsi="Times New Roman" w:eastAsia="宋体"/>
          <w:sz w:val="24"/>
        </w:rPr>
        <w:t>确保事件、缺陷、偏差和安全隐患按规定报告、记录并交接。</w:t>
      </w:r>
    </w:p>
    <w:p>
      <w:pPr>
        <w:pStyle w:val="Heading2"/>
      </w:pPr>
      <w:r>
        <w:t>1.5 手册与正式飞行手册、检查单、运营人 SOP 之间的关系</w:t>
      </w:r>
    </w:p>
    <w:p>
      <w:pPr>
        <w:ind w:firstLine="420"/>
      </w:pPr>
      <w:r>
        <w:rPr>
          <w:rFonts w:ascii="Times New Roman" w:hAnsi="Times New Roman" w:eastAsia="宋体"/>
          <w:sz w:val="24"/>
        </w:rPr>
        <w:t>本手册与正式飞行手册、检查单、运营人 SOP 的关系如下：</w:t>
      </w:r>
    </w:p>
    <w:p>
      <w:pPr>
        <w:pStyle w:val="ListBullet"/>
      </w:pPr>
      <w:r>
        <w:rPr>
          <w:rFonts w:ascii="Times New Roman" w:hAnsi="Times New Roman" w:eastAsia="宋体"/>
          <w:sz w:val="24"/>
        </w:rPr>
        <w:t>本手册是参考资料，不是经批准或认可的飞行手册、检查单或运营人标准操作程序。</w:t>
      </w:r>
    </w:p>
    <w:p>
      <w:pPr>
        <w:pStyle w:val="ListBullet"/>
      </w:pPr>
      <w:r>
        <w:rPr>
          <w:rFonts w:ascii="Times New Roman" w:hAnsi="Times New Roman" w:eastAsia="宋体"/>
          <w:sz w:val="24"/>
        </w:rPr>
        <w:t>正式飞行手册（RFM/AFM）是该架航空器运行最高优先级的技术文件，包含机型特定的操纵参数、限制值、检查单和故障处置程序。</w:t>
      </w:r>
    </w:p>
    <w:p>
      <w:pPr>
        <w:pStyle w:val="ListBullet"/>
      </w:pPr>
      <w:r>
        <w:rPr>
          <w:rFonts w:ascii="Times New Roman" w:hAnsi="Times New Roman" w:eastAsia="宋体"/>
          <w:sz w:val="24"/>
        </w:rPr>
        <w:t>运营人 SOP 是运营人经批准的标准操作程序，包含具体的操作指令、检查项目和通信程序。</w:t>
      </w:r>
    </w:p>
    <w:p>
      <w:pPr>
        <w:pStyle w:val="ListBullet"/>
      </w:pPr>
      <w:r>
        <w:rPr>
          <w:rFonts w:ascii="Times New Roman" w:hAnsi="Times New Roman" w:eastAsia="宋体"/>
          <w:sz w:val="24"/>
        </w:rPr>
        <w:t>检查单（正常/非正常/紧急）是必须严格执行的操作文件，不得用本手册内容替代。</w:t>
      </w:r>
    </w:p>
    <w:p>
      <w:pPr>
        <w:pStyle w:val="ListBullet"/>
      </w:pPr>
      <w:r>
        <w:rPr>
          <w:rFonts w:ascii="Times New Roman" w:hAnsi="Times New Roman" w:eastAsia="宋体"/>
          <w:sz w:val="24"/>
        </w:rPr>
        <w:t>当本手册内容与上述正式文件不一致时，以正式文件为准。</w:t>
      </w:r>
    </w:p>
    <w:p>
      <w:pPr>
        <w:pStyle w:val="Heading2"/>
      </w:pPr>
      <w:r>
        <w:t>1.6 法规、运行批准和受控技术文件的优先适用原则</w:t>
      </w:r>
    </w:p>
    <w:p>
      <w:pPr>
        <w:ind w:firstLine="420"/>
      </w:pPr>
      <w:r>
        <w:rPr>
          <w:rFonts w:ascii="Times New Roman" w:hAnsi="Times New Roman" w:eastAsia="宋体"/>
          <w:sz w:val="24"/>
        </w:rPr>
        <w:t>适用文件的优先顺序如下：</w:t>
      </w:r>
    </w:p>
    <w:p>
      <w:pPr>
        <w:pStyle w:val="ListBullet"/>
      </w:pPr>
      <w:r>
        <w:rPr>
          <w:rFonts w:ascii="Times New Roman" w:hAnsi="Times New Roman" w:eastAsia="宋体"/>
          <w:sz w:val="24"/>
        </w:rPr>
        <w:t>第一优先：适用的国家/地区法律法规、适航要求、空管指令和运行批准条件。</w:t>
      </w:r>
    </w:p>
    <w:p>
      <w:pPr>
        <w:pStyle w:val="ListBullet"/>
      </w:pPr>
      <w:r>
        <w:rPr>
          <w:rFonts w:ascii="Times New Roman" w:hAnsi="Times New Roman" w:eastAsia="宋体"/>
          <w:sz w:val="24"/>
        </w:rPr>
        <w:t>第二优先：运营人现行有效且受控的运行手册、SOP、训练文件、应急响应程序及安全管理系统要求。</w:t>
      </w:r>
    </w:p>
    <w:p>
      <w:pPr>
        <w:pStyle w:val="ListBullet"/>
      </w:pPr>
      <w:r>
        <w:rPr>
          <w:rFonts w:ascii="Times New Roman" w:hAnsi="Times New Roman" w:eastAsia="宋体"/>
          <w:sz w:val="24"/>
        </w:rPr>
        <w:t>第三优先：该架航空器适用且有效的飞行手册/操作手册、检查单、MEL 及相关补充文件。</w:t>
      </w:r>
    </w:p>
    <w:p>
      <w:pPr>
        <w:pStyle w:val="ListBullet"/>
      </w:pPr>
      <w:r>
        <w:rPr>
          <w:rFonts w:ascii="Times New Roman" w:hAnsi="Times New Roman" w:eastAsia="宋体"/>
          <w:sz w:val="24"/>
        </w:rPr>
        <w:t>第四优先：任务合同、客户要求和现场安排——仅在不与上述要求冲突且已获授权时适用。</w:t>
      </w:r>
    </w:p>
    <w:p>
      <w:pPr>
        <w:pStyle w:val="ListBullet"/>
      </w:pPr>
      <w:r>
        <w:rPr>
          <w:rFonts w:ascii="Times New Roman" w:hAnsi="Times New Roman" w:eastAsia="宋体"/>
          <w:sz w:val="24"/>
        </w:rPr>
        <w:t>本手册仅作辅助参考；若不一致、含糊或无法确认，暂停依赖本文件并向有权人员核实。</w:t>
      </w:r>
    </w:p>
    <w:p>
      <w:pPr>
        <w:pStyle w:val="Heading2"/>
      </w:pPr>
      <w:r>
        <w:t>1.7 文件版本管理、修订和审查要求</w:t>
      </w:r>
    </w:p>
    <w:p>
      <w:pPr>
        <w:ind w:firstLine="420"/>
      </w:pPr>
      <w:r>
        <w:rPr>
          <w:rFonts w:ascii="Times New Roman" w:hAnsi="Times New Roman" w:eastAsia="宋体"/>
          <w:sz w:val="24"/>
        </w:rPr>
        <w:t>本文件实行版本管理。每次修订应记录修订编号、修订日期、修订内容摘要、修订人和审核人。修订触发条件包括：法规变更、机型构型变更、运营人程序变更、安全信息更新、审查发现需要修改等。正式发布前须由飞行运行、训练、适航/维修、安全管理、合规/法律及文件控制岗位共同审查。</w:t>
      </w:r>
    </w:p>
    <w:p>
      <w:pPr>
        <w:pStyle w:val="Heading2"/>
      </w:pPr>
      <w:r>
        <w:t>1.8 参考资料的使用限制</w:t>
      </w:r>
    </w:p>
    <w:p>
      <w:pPr>
        <w:ind w:firstLine="420"/>
      </w:pPr>
      <w:r>
        <w:rPr>
          <w:rFonts w:ascii="Times New Roman" w:hAnsi="Times New Roman" w:eastAsia="宋体"/>
          <w:sz w:val="24"/>
        </w:rPr>
        <w:t>本手册引用的参考资料（包括 FAA、EASA、新西兰民航局等公开资料）仅用于文件定位和初步核验，不能据此认定某份文件适用于所有 S-76B 航空器。不得虚构文件编号、手册章节、页码、发布日期或官方链接。无法确认的资料必须明确标注"待核验"。实际运行中使用的每一份参考资料都应由使用单位核实其现行有效性、适用性和版本状态。</w:t>
      </w:r>
    </w:p>
    <w:p>
      <w:pPr>
        <w:pStyle w:val="Heading1"/>
      </w:pPr>
      <w:r>
        <w:t>第二章  S-76B 机型概述</w:t>
      </w:r>
    </w:p>
    <w:p>
      <w:pPr>
        <w:pStyle w:val="Heading2"/>
      </w:pPr>
      <w:r>
        <w:t>2.1 制造商及机型基本信息</w:t>
      </w:r>
    </w:p>
    <w:p>
      <w:pPr>
        <w:ind w:firstLine="420"/>
      </w:pPr>
      <w:r>
        <w:rPr>
          <w:rFonts w:ascii="Times New Roman" w:hAnsi="Times New Roman" w:eastAsia="宋体"/>
          <w:sz w:val="24"/>
        </w:rPr>
        <w:t>西科斯基 S-76B 由 Sikorsky Aircraft Corporation 制造，基于 FAA Type Certificate H1NE 认证。生产批准由 FAA Production Certificate Number 105 覆盖。根据新西兰民航局 Type Acceptance Report TAR 97/07 Rev.2（2019年7月10日修订），S-76B 于2019年7月10日获得型别接受证书。首架 S-76B 的序列号为 760447，注册号为 ZK-IBI，由 Oceania Aviation Limited 申请型别接受。</w:t>
      </w:r>
    </w:p>
    <w:p>
      <w:pPr>
        <w:pStyle w:val="Heading2"/>
      </w:pPr>
      <w:r>
        <w:t>2.2 航空器类别和基本构型</w:t>
      </w:r>
    </w:p>
    <w:p>
      <w:pPr>
        <w:ind w:firstLine="420"/>
      </w:pPr>
      <w:r>
        <w:rPr>
          <w:rFonts w:ascii="Times New Roman" w:hAnsi="Times New Roman" w:eastAsia="宋体"/>
          <w:sz w:val="24"/>
        </w:rPr>
        <w:t>S-76 系列是运输类（Transport Category）旋翼机，分类为 B 类。S-76B 采用四桨叶主旋翼和四桨叶尾桨构型，配备可收放起落架，可搭载最多 13 名乘客。S-76B 通过安装 PT6B-36 发动机从 S-76A 发展而来。后续 Sikorsky 开发了 "S-76A+" 和 "S-76A++" 版本，通过 STC 安装 Turbomeca Arriel 1S 和 1S1 发动机。S-76C 是采用 Arriel 1S 发动机的生产版本，并包含连续 OEI 功率等级。"S-76C+" 和 "S-76C++" 是分别安装 Arriel 2S1 或 2S2 发动机的 S-76C 型号的营销 designation。</w:t>
      </w:r>
    </w:p>
    <w:p>
      <w:pPr>
        <w:pStyle w:val="Heading2"/>
      </w:pPr>
      <w:r>
        <w:t>2.3 双发动力系统的基本组成与功能</w:t>
      </w:r>
    </w:p>
    <w:p>
      <w:pPr>
        <w:ind w:firstLine="420"/>
      </w:pPr>
      <w:r>
        <w:rPr>
          <w:rFonts w:ascii="Times New Roman" w:hAnsi="Times New Roman" w:eastAsia="宋体"/>
          <w:sz w:val="24"/>
        </w:rPr>
        <w:t>S-76B 配备两台 Pratt &amp; Whitney Canada PT6B-36、-36A 或 -36B 涡轴发动机（Type Certificate: E-20，由 Transport Canada 颁发）。发动机型号差异主要体现在功率输出和最大允许重量的增加。S-76B 的认证基础包含 FAR Part 29 的相关修订条款，包括 Amendment 29-24 的特定条款。</w:t>
      </w:r>
    </w:p>
    <w:p>
      <w:pPr>
        <w:pStyle w:val="Heading2"/>
      </w:pPr>
      <w:r>
        <w:t>2.4 主旋翼、尾桨、传动系统和飞行操纵系统的基本原理</w:t>
      </w:r>
    </w:p>
    <w:p>
      <w:pPr>
        <w:ind w:firstLine="420"/>
      </w:pPr>
      <w:r>
        <w:rPr>
          <w:rFonts w:ascii="Times New Roman" w:hAnsi="Times New Roman" w:eastAsia="宋体"/>
          <w:sz w:val="24"/>
        </w:rPr>
        <w:t>S-76B 采用四桨叶主旋翼系统，配备桨距偏置作动器（Pitch Bias Actuator, PBA）。根据 FAA 的同等安全水平认定（ELOS），S-76 系列允许在 PBA 不工作状态下运行，基于 FAA 的工程评估。尾桨系统采用四桨叶设计，提供偏航控制。传动系统将发动机功率传递至主旋翼和尾桨。飞行操纵系统包括周期变距、总距和脚蹬操纵，具体操纵原理和限制须依据适用 S-76B 飞行手册确认。</w:t>
      </w:r>
    </w:p>
    <w:p>
      <w:pPr>
        <w:pStyle w:val="Heading2"/>
      </w:pPr>
      <w:r>
        <w:t>2.5 液压、电气、燃油、润滑和冷却等系统的基本功能</w:t>
      </w:r>
    </w:p>
    <w:p>
      <w:pPr>
        <w:ind w:firstLine="420"/>
      </w:pPr>
      <w:r>
        <w:rPr>
          <w:rFonts w:ascii="Times New Roman" w:hAnsi="Times New Roman" w:eastAsia="宋体"/>
          <w:sz w:val="24"/>
        </w:rPr>
        <w:t>S-76B 的液压系统用于操纵面作动和起落架收放。电气系统包括正常电源系统（发电机）和备用电源系统（电池），须满足 FAR §29.1309 和 §29.1351 要求。根据特殊条件 29-82-NE-3，直升机必须能在正常电气电源系统（不含电池）不工作的情况下，以临界类型燃油（从熄火和再启动能力角度），在最大认证高度初始状态下，安全运行 VFR 条件不少于五分钟。燃油系统、润滑系统和冷却系统的具体参数和限制须依据适用 S-76B 飞行手册和制造商技术文件确认。</w:t>
      </w:r>
    </w:p>
    <w:p>
      <w:pPr>
        <w:pStyle w:val="Heading2"/>
      </w:pPr>
      <w:r>
        <w:t>2.6 驾驶舱仪表与主要系统指示的功能概述</w:t>
      </w:r>
    </w:p>
    <w:p>
      <w:pPr>
        <w:ind w:firstLine="420"/>
      </w:pPr>
      <w:r>
        <w:rPr>
          <w:rFonts w:ascii="Times New Roman" w:hAnsi="Times New Roman" w:eastAsia="宋体"/>
          <w:sz w:val="24"/>
        </w:rPr>
        <w:t>S-76B 驾驶舱配备符合 FAR Part 29 和 FAR Part 91/135 要求的仪表和设备。标准配置包括双 Collins VHF 通信电台、ADF、DME、应答机等导航和通信设备。从 S-76C 序列号 760511 起，Collins 驾驶舱成为标准配置。具体仪表功能、系统指示和告警信息须依据适用 S-76B 飞行手册确认。</w:t>
      </w:r>
    </w:p>
    <w:p>
      <w:pPr>
        <w:pStyle w:val="Heading2"/>
      </w:pPr>
      <w:r>
        <w:t>2.7 通信、导航和任务设备的基本作用</w:t>
      </w:r>
    </w:p>
    <w:p>
      <w:pPr>
        <w:ind w:firstLine="420"/>
      </w:pPr>
      <w:r>
        <w:rPr>
          <w:rFonts w:ascii="Times New Roman" w:hAnsi="Times New Roman" w:eastAsia="宋体"/>
          <w:sz w:val="24"/>
        </w:rPr>
        <w:t>S-76B 的通信和导航设备支持 VFR 和 IFR 运行。标准配置包括双 Collins VHF 通信电台（VHF-22A）、单 ADF（ADF-462）、DME（DME-42）和应答机（TDR-90，TDR-94 为选装）。ELT 标准配置为 Artex ELT-100M 或 Artex C406-N-HM，天线安装在尾部 STA 420, RBL 5, WL 106。任务设备（如医疗救护设备、搜救设备、外部吊挂设备等）的适用性和限制须依据运营人批准文件和制造商技术文件确认。</w:t>
      </w:r>
    </w:p>
    <w:p>
      <w:pPr>
        <w:pStyle w:val="Heading2"/>
      </w:pPr>
      <w:r>
        <w:t>2.8 不同构型、改装和选装设备对文件适用性的影响</w:t>
      </w:r>
    </w:p>
    <w:p>
      <w:pPr>
        <w:ind w:firstLine="420"/>
      </w:pPr>
      <w:r>
        <w:rPr>
          <w:rFonts w:ascii="Times New Roman" w:hAnsi="Times New Roman" w:eastAsia="宋体"/>
          <w:sz w:val="24"/>
        </w:rPr>
        <w:t>S-76 系列的不同型号主要通过发动机类型区分，伴随发动机功率和最大允许重量的增加。各型号之间还存在机身系统、航电设备的重大变化。因此，不得将其他 S-76 系列型号的程序直接套用于 S-76B。运营人应确认所运行航空器的具体构型、改装和选装设备与手册适用性一致。任何版本冲突、缺页、无法确认的限制或构型差异，均应在任务开始前提交文件控制、飞行运行或适航/维修授权岗位核实。</w:t>
      </w:r>
    </w:p>
    <w:p>
      <w:pPr>
        <w:pStyle w:val="Heading1"/>
      </w:pPr>
      <w:r>
        <w:t>第三章  机长职责与运行管理</w:t>
      </w:r>
    </w:p>
    <w:p>
      <w:pPr>
        <w:pStyle w:val="Heading2"/>
      </w:pPr>
      <w:r>
        <w:t>3.1 接受任务前的职责</w:t>
      </w:r>
    </w:p>
    <w:p>
      <w:pPr>
        <w:ind w:firstLine="420"/>
      </w:pPr>
      <w:r>
        <w:rPr>
          <w:rFonts w:ascii="Times New Roman" w:hAnsi="Times New Roman" w:eastAsia="宋体"/>
          <w:sz w:val="24"/>
        </w:rPr>
        <w:t>机长在接受任务前应完成以下职责：</w:t>
      </w:r>
    </w:p>
    <w:p>
      <w:pPr>
        <w:pStyle w:val="ListBullet"/>
      </w:pPr>
      <w:r>
        <w:rPr>
          <w:rFonts w:ascii="Times New Roman" w:hAnsi="Times New Roman" w:eastAsia="宋体"/>
          <w:sz w:val="24"/>
        </w:rPr>
        <w:t>核实任务目标、任务区域、时间和预计飞行安排。</w:t>
      </w:r>
    </w:p>
    <w:p>
      <w:pPr>
        <w:pStyle w:val="ListBullet"/>
      </w:pPr>
      <w:r>
        <w:rPr>
          <w:rFonts w:ascii="Times New Roman" w:hAnsi="Times New Roman" w:eastAsia="宋体"/>
          <w:sz w:val="24"/>
        </w:rPr>
        <w:t>确认乘员、货物及任务设备。</w:t>
      </w:r>
    </w:p>
    <w:p>
      <w:pPr>
        <w:pStyle w:val="ListBullet"/>
      </w:pPr>
      <w:r>
        <w:rPr>
          <w:rFonts w:ascii="Times New Roman" w:hAnsi="Times New Roman" w:eastAsia="宋体"/>
          <w:sz w:val="24"/>
        </w:rPr>
        <w:t>确认自身资格、机型训练和近期经历符合要求。</w:t>
      </w:r>
    </w:p>
    <w:p>
      <w:pPr>
        <w:pStyle w:val="ListBullet"/>
      </w:pPr>
      <w:r>
        <w:rPr>
          <w:rFonts w:ascii="Times New Roman" w:hAnsi="Times New Roman" w:eastAsia="宋体"/>
          <w:sz w:val="24"/>
        </w:rPr>
        <w:t>确认值勤时间、休息要求和疲劳状态满足运行要求。</w:t>
      </w:r>
    </w:p>
    <w:p>
      <w:pPr>
        <w:pStyle w:val="ListBullet"/>
      </w:pPr>
      <w:r>
        <w:rPr>
          <w:rFonts w:ascii="Times New Roman" w:hAnsi="Times New Roman" w:eastAsia="宋体"/>
          <w:sz w:val="24"/>
        </w:rPr>
        <w:t>核实任务所需的航空器构型、设备、人员资质、地面保障和通信能力。</w:t>
      </w:r>
    </w:p>
    <w:p>
      <w:pPr>
        <w:pStyle w:val="ListBullet"/>
      </w:pPr>
      <w:r>
        <w:rPr>
          <w:rFonts w:ascii="Times New Roman" w:hAnsi="Times New Roman" w:eastAsia="宋体"/>
          <w:sz w:val="24"/>
        </w:rPr>
        <w:t>确认运行批准和任务授权。</w:t>
      </w:r>
    </w:p>
    <w:p>
      <w:pPr>
        <w:pStyle w:val="ListBullet"/>
      </w:pPr>
      <w:r>
        <w:rPr>
          <w:rFonts w:ascii="Times New Roman" w:hAnsi="Times New Roman" w:eastAsia="宋体"/>
          <w:sz w:val="24"/>
        </w:rPr>
        <w:t>确认备选方案和取消条件。</w:t>
      </w:r>
    </w:p>
    <w:p>
      <w:pPr>
        <w:pStyle w:val="Heading2"/>
      </w:pPr>
      <w:r>
        <w:t>3.2 确认人员资格和航空器适用性</w:t>
      </w:r>
    </w:p>
    <w:p>
      <w:pPr>
        <w:ind w:firstLine="420"/>
      </w:pPr>
      <w:r>
        <w:rPr>
          <w:rFonts w:ascii="Times New Roman" w:hAnsi="Times New Roman" w:eastAsia="宋体"/>
          <w:sz w:val="24"/>
        </w:rPr>
        <w:t>机长应确认：机组成员具备执行任务所需的资格和近期经历；航空器处于适航状态，持有有效的适航证书和维修放行；航空器的构型、设备和任务配置与获批资料一致。特殊任务（如海上运行、医疗运输、搜救等）所需的人员资质应额外确认。</w:t>
      </w:r>
    </w:p>
    <w:p>
      <w:pPr>
        <w:pStyle w:val="Heading2"/>
      </w:pPr>
      <w:r>
        <w:t>3.3 机组职责分配</w:t>
      </w:r>
    </w:p>
    <w:p>
      <w:pPr>
        <w:ind w:firstLine="420"/>
      </w:pPr>
      <w:r>
        <w:rPr>
          <w:rFonts w:ascii="Times New Roman" w:hAnsi="Times New Roman" w:eastAsia="宋体"/>
          <w:sz w:val="24"/>
        </w:rPr>
        <w:t>起飞前应明确机长、副驾驶/其他飞行员、机组成员、地面人员和任务专家的职责与汇报路径。使用闭环沟通：指令/信息发出后由接收者复诵或确认；对关键数值和限制，应以正式文件为准并交叉核对。在高工作负荷阶段避免非必要对话；重要信息应简洁、及时、明确。</w:t>
      </w:r>
    </w:p>
    <w:p>
      <w:pPr>
        <w:pStyle w:val="Heading2"/>
      </w:pPr>
      <w:r>
        <w:t>3.4 运行风险评估</w:t>
      </w:r>
    </w:p>
    <w:p>
      <w:pPr>
        <w:ind w:firstLine="420"/>
      </w:pPr>
      <w:r>
        <w:rPr>
          <w:rFonts w:ascii="Times New Roman" w:hAnsi="Times New Roman" w:eastAsia="宋体"/>
          <w:sz w:val="24"/>
        </w:rPr>
        <w:t>机长应使用运营人安全管理系统（SMS）认可的风险评估方法，至少记录危险源、可能后果、现有防护、初始风险、补充控制措施、剩余风险、责任人和复核时点。典型危险源包括：天气快速变化、低能见度、风/阵风与地形效应、密集障碍物、尘土/雪/水面影响、高温高海拔、载荷变化、人员疲劳、任务时间压力、通信不可靠、地面人员暴露和备降选择不足。</w:t>
      </w:r>
    </w:p>
    <w:p>
      <w:pPr>
        <w:pStyle w:val="Heading2"/>
      </w:pPr>
      <w:r>
        <w:t>3.5 与运行控制、维修、地面保障和客户的沟通</w:t>
      </w:r>
    </w:p>
    <w:p>
      <w:pPr>
        <w:ind w:firstLine="420"/>
      </w:pPr>
      <w:r>
        <w:rPr>
          <w:rFonts w:ascii="Times New Roman" w:hAnsi="Times New Roman" w:eastAsia="宋体"/>
          <w:sz w:val="24"/>
        </w:rPr>
        <w:t>机长应与运行控制、维修控制、签派/运行支持保持有效沟通。地面人员与驾驶舱之间应建立可靠的通信方式。与客户的沟通应明确安全决策的最终决定权归属机长，客户要求和商业压力不应替代安全判断。</w:t>
      </w:r>
    </w:p>
    <w:p>
      <w:pPr>
        <w:pStyle w:val="Heading2"/>
      </w:pPr>
      <w:r>
        <w:t>3.6 安全决策与任务取消权限</w:t>
      </w:r>
    </w:p>
    <w:p>
      <w:pPr>
        <w:ind w:firstLine="420"/>
      </w:pPr>
      <w:r>
        <w:rPr>
          <w:rFonts w:ascii="Times New Roman" w:hAnsi="Times New Roman" w:eastAsia="宋体"/>
          <w:sz w:val="24"/>
        </w:rPr>
        <w:t>机长拥有最终安全决策权，包括但不限于：暂停、延迟、改航、返航或取消任务。机长不应以商业压力、客户要求、进度目标或先前承诺替代安全判断。遇到授权边界不清、运行批准不明确、重大缺陷或现场条件超出计划假设时，应暂停相关活动并联系运行控制、维修控制、签派/运行支持或指定管理人员。任何升级沟通都应记录时间、对象、已知事实和决定。</w:t>
      </w:r>
    </w:p>
    <w:p>
      <w:pPr>
        <w:pStyle w:val="Heading2"/>
      </w:pPr>
      <w:r>
        <w:t>3.7 航空器放行的职责边界</w:t>
      </w:r>
    </w:p>
    <w:p>
      <w:pPr>
        <w:ind w:firstLine="420"/>
      </w:pPr>
      <w:r>
        <w:rPr>
          <w:rFonts w:ascii="Times New Roman" w:hAnsi="Times New Roman" w:eastAsia="宋体"/>
          <w:sz w:val="24"/>
        </w:rPr>
        <w:t>航空器放行由授权维修岗位按正式程序完成。机长确认放行状态，但不承担维修放行的技术责任。不得自行推断某项设备不重要，也不得因任务紧急或客户要求绕过缺陷处理程序。发现异常征兆、警告、损伤、泄漏、异味、振动或其他不符合预期的情况时，依机型正式程序处理并向授权维修/运行岗位报告。</w:t>
      </w:r>
    </w:p>
    <w:p>
      <w:pPr>
        <w:pStyle w:val="Heading2"/>
      </w:pPr>
      <w:r>
        <w:t>3.8 机长对安全问题的报告和升级机制</w:t>
      </w:r>
    </w:p>
    <w:p>
      <w:pPr>
        <w:ind w:firstLine="420"/>
      </w:pPr>
      <w:r>
        <w:rPr>
          <w:rFonts w:ascii="Times New Roman" w:hAnsi="Times New Roman" w:eastAsia="宋体"/>
          <w:sz w:val="24"/>
        </w:rPr>
        <w:t>机长应确保事件、缺陷、偏差和安全隐患按规定报告、记录并交接。对涉及安全、适航、人员伤害或监管报告义务的事件，依正式程序及时升级，不因等待完整信息而延误规定的初始通报。鼓励及时报告疲劳和健康风险，避免以商业压力或同伴压力压制安全信息。</w:t>
      </w:r>
    </w:p>
    <w:p>
      <w:pPr>
        <w:pStyle w:val="Heading2"/>
      </w:pPr>
      <w:r>
        <w:t>3.9 商业压力、时间压力和任务固着对安全决策的影响</w:t>
      </w:r>
    </w:p>
    <w:p>
      <w:pPr>
        <w:ind w:firstLine="420"/>
      </w:pPr>
      <w:r>
        <w:rPr>
          <w:rFonts w:ascii="Times New Roman" w:hAnsi="Times New Roman" w:eastAsia="宋体"/>
          <w:sz w:val="24"/>
        </w:rPr>
        <w:t>以下常见决策陷阱应引起机长特别注意：</w:t>
      </w:r>
    </w:p>
    <w:p>
      <w:pPr>
        <w:pStyle w:val="ListBullet"/>
      </w:pPr>
      <w:r>
        <w:rPr>
          <w:rFonts w:ascii="Times New Roman" w:hAnsi="Times New Roman" w:eastAsia="宋体"/>
          <w:sz w:val="24"/>
        </w:rPr>
        <w:t>计划固着：因已投入准备或已向客户承诺而不愿取消。</w:t>
      </w:r>
    </w:p>
    <w:p>
      <w:pPr>
        <w:pStyle w:val="ListBullet"/>
      </w:pPr>
      <w:r>
        <w:rPr>
          <w:rFonts w:ascii="Times New Roman" w:hAnsi="Times New Roman" w:eastAsia="宋体"/>
          <w:sz w:val="24"/>
        </w:rPr>
        <w:t>正常化偏差：把过去侥幸完成的做法当成安全依据。</w:t>
      </w:r>
    </w:p>
    <w:p>
      <w:pPr>
        <w:pStyle w:val="ListBullet"/>
      </w:pPr>
      <w:r>
        <w:rPr>
          <w:rFonts w:ascii="Times New Roman" w:hAnsi="Times New Roman" w:eastAsia="宋体"/>
          <w:sz w:val="24"/>
        </w:rPr>
        <w:t>权威梯度：成员不愿向资深人员提出疑虑。</w:t>
      </w:r>
    </w:p>
    <w:p>
      <w:pPr>
        <w:pStyle w:val="ListBullet"/>
      </w:pPr>
      <w:r>
        <w:rPr>
          <w:rFonts w:ascii="Times New Roman" w:hAnsi="Times New Roman" w:eastAsia="宋体"/>
          <w:sz w:val="24"/>
        </w:rPr>
        <w:t>时间压力：压缩检查、简报或风险评估。</w:t>
      </w:r>
    </w:p>
    <w:p>
      <w:pPr>
        <w:pStyle w:val="ListBullet"/>
      </w:pPr>
      <w:r>
        <w:rPr>
          <w:rFonts w:ascii="Times New Roman" w:hAnsi="Times New Roman" w:eastAsia="宋体"/>
          <w:sz w:val="24"/>
        </w:rPr>
        <w:t>任务饱和：同时处理飞行、通信、地面协调和任务设备导致遗漏。</w:t>
      </w:r>
    </w:p>
    <w:p>
      <w:pPr>
        <w:pStyle w:val="Heading1"/>
      </w:pPr>
      <w:r>
        <w:t>第四章  飞行前任务准备流程</w:t>
      </w:r>
    </w:p>
    <w:p>
      <w:pPr>
        <w:ind w:firstLine="420"/>
      </w:pPr>
      <w:r>
        <w:rPr>
          <w:rFonts w:ascii="Times New Roman" w:hAnsi="Times New Roman" w:eastAsia="宋体"/>
          <w:sz w:val="24"/>
        </w:rPr>
        <w:t>本章按顺序组织飞行前任务准备的管理流程。具体驾驶舱检查项目、开关位置、启动顺序和操纵动作，应引用适用的 S-76B 正式检查单或运营人 SOP，不得用自行编写的内容代替。</w:t>
      </w:r>
    </w:p>
    <w:p>
      <w:pPr>
        <w:pStyle w:val="Heading2"/>
      </w:pPr>
      <w:r>
        <w:t>4.1 任务接受</w:t>
      </w:r>
    </w:p>
    <w:p>
      <w:pPr>
        <w:ind w:firstLine="420"/>
      </w:pPr>
      <w:r>
        <w:rPr>
          <w:rFonts w:ascii="Times New Roman" w:hAnsi="Times New Roman" w:eastAsia="宋体"/>
          <w:sz w:val="24"/>
        </w:rPr>
        <w:t>任务接受阶段应完成以下工作：</w:t>
      </w:r>
    </w:p>
    <w:p>
      <w:pPr>
        <w:pStyle w:val="ListBullet"/>
      </w:pPr>
      <w:r>
        <w:rPr>
          <w:rFonts w:ascii="Times New Roman" w:hAnsi="Times New Roman" w:eastAsia="宋体"/>
          <w:sz w:val="24"/>
        </w:rPr>
        <w:t>核实任务目标：明确任务目的、乘员/货物、任务区域、计划时段、预计持续时间及客户/地面协作方。</w:t>
      </w:r>
    </w:p>
    <w:p>
      <w:pPr>
        <w:pStyle w:val="ListBullet"/>
      </w:pPr>
      <w:r>
        <w:rPr>
          <w:rFonts w:ascii="Times New Roman" w:hAnsi="Times New Roman" w:eastAsia="宋体"/>
          <w:sz w:val="24"/>
        </w:rPr>
        <w:t>确认任务类别：运输、观光、训练、空中作业、医疗救援、搜救、吊挂或其他；确认该类运行已获必要批准。</w:t>
      </w:r>
    </w:p>
    <w:p>
      <w:pPr>
        <w:pStyle w:val="ListBullet"/>
      </w:pPr>
      <w:r>
        <w:rPr>
          <w:rFonts w:ascii="Times New Roman" w:hAnsi="Times New Roman" w:eastAsia="宋体"/>
          <w:sz w:val="24"/>
        </w:rPr>
        <w:t>确认任务所需的航空器构型、设备、人员资质、地面保障和通信能力。</w:t>
      </w:r>
    </w:p>
    <w:p>
      <w:pPr>
        <w:pStyle w:val="ListBullet"/>
      </w:pPr>
      <w:r>
        <w:rPr>
          <w:rFonts w:ascii="Times New Roman" w:hAnsi="Times New Roman" w:eastAsia="宋体"/>
          <w:sz w:val="24"/>
        </w:rPr>
        <w:t>确认任务区域、时间和预计飞行安排。</w:t>
      </w:r>
    </w:p>
    <w:p>
      <w:pPr>
        <w:pStyle w:val="ListBullet"/>
      </w:pPr>
      <w:r>
        <w:rPr>
          <w:rFonts w:ascii="Times New Roman" w:hAnsi="Times New Roman" w:eastAsia="宋体"/>
          <w:sz w:val="24"/>
        </w:rPr>
        <w:t>确认乘员、货物及任务设备。</w:t>
      </w:r>
    </w:p>
    <w:p>
      <w:pPr>
        <w:pStyle w:val="ListBullet"/>
      </w:pPr>
      <w:r>
        <w:rPr>
          <w:rFonts w:ascii="Times New Roman" w:hAnsi="Times New Roman" w:eastAsia="宋体"/>
          <w:sz w:val="24"/>
        </w:rPr>
        <w:t>核对运行批准和任务授权。</w:t>
      </w:r>
    </w:p>
    <w:p>
      <w:pPr>
        <w:pStyle w:val="ListBullet"/>
      </w:pPr>
      <w:r>
        <w:rPr>
          <w:rFonts w:ascii="Times New Roman" w:hAnsi="Times New Roman" w:eastAsia="宋体"/>
          <w:sz w:val="24"/>
        </w:rPr>
        <w:t>确认备选方案和取消条件：建立可行的取消、延迟、改降、返航或终止方案，并明确触发条件。</w:t>
      </w:r>
    </w:p>
    <w:p>
      <w:pPr>
        <w:pStyle w:val="Heading2"/>
      </w:pPr>
      <w:r>
        <w:t>4.2 人员准备</w:t>
      </w:r>
    </w:p>
    <w:p>
      <w:pPr>
        <w:ind w:firstLine="420"/>
      </w:pPr>
      <w:r>
        <w:rPr>
          <w:rFonts w:ascii="Times New Roman" w:hAnsi="Times New Roman" w:eastAsia="宋体"/>
          <w:sz w:val="24"/>
        </w:rPr>
        <w:t>人员准备阶段应完成以下工作：</w:t>
      </w:r>
    </w:p>
    <w:p>
      <w:pPr>
        <w:pStyle w:val="ListBullet"/>
      </w:pPr>
      <w:r>
        <w:rPr>
          <w:rFonts w:ascii="Times New Roman" w:hAnsi="Times New Roman" w:eastAsia="宋体"/>
          <w:sz w:val="24"/>
        </w:rPr>
        <w:t>机长及机组资格核验：确认机长和机组成员持有有效的执照、等级和近期经历。</w:t>
      </w:r>
    </w:p>
    <w:p>
      <w:pPr>
        <w:pStyle w:val="ListBullet"/>
      </w:pPr>
      <w:r>
        <w:rPr>
          <w:rFonts w:ascii="Times New Roman" w:hAnsi="Times New Roman" w:eastAsia="宋体"/>
          <w:sz w:val="24"/>
        </w:rPr>
        <w:t>机型训练和近期经历核验：确认机组成员已完成 S-76B 机型训练并满足近期经历要求。</w:t>
      </w:r>
    </w:p>
    <w:p>
      <w:pPr>
        <w:pStyle w:val="ListBullet"/>
      </w:pPr>
      <w:r>
        <w:rPr>
          <w:rFonts w:ascii="Times New Roman" w:hAnsi="Times New Roman" w:eastAsia="宋体"/>
          <w:sz w:val="24"/>
        </w:rPr>
        <w:t>值勤时间、休息要求和疲劳评估：遵守适用的飞行/值勤时间限制、休息要求、疲劳风险管理制度和运营人报告机制。</w:t>
      </w:r>
    </w:p>
    <w:p>
      <w:pPr>
        <w:pStyle w:val="ListBullet"/>
      </w:pPr>
      <w:r>
        <w:rPr>
          <w:rFonts w:ascii="Times New Roman" w:hAnsi="Times New Roman" w:eastAsia="宋体"/>
          <w:sz w:val="24"/>
        </w:rPr>
        <w:t>特殊任务所需人员资质：如医疗运输需医护人员资质、搜救需特殊训练等。</w:t>
      </w:r>
    </w:p>
    <w:p>
      <w:pPr>
        <w:pStyle w:val="ListBullet"/>
      </w:pPr>
      <w:r>
        <w:rPr>
          <w:rFonts w:ascii="Times New Roman" w:hAnsi="Times New Roman" w:eastAsia="宋体"/>
          <w:sz w:val="24"/>
        </w:rPr>
        <w:t>机组健康状况与履职能力确认：如疲劳、疾病、药物影响、压力或其他因素可能影响履职能力，应按程序报告并寻求适当评估，不得隐瞒。</w:t>
      </w:r>
    </w:p>
    <w:p>
      <w:pPr>
        <w:pStyle w:val="Heading2"/>
      </w:pPr>
      <w:r>
        <w:t>4.3 天气和航行资料准备</w:t>
      </w:r>
    </w:p>
    <w:p>
      <w:pPr>
        <w:ind w:firstLine="420"/>
      </w:pPr>
      <w:r>
        <w:rPr>
          <w:rFonts w:ascii="Times New Roman" w:hAnsi="Times New Roman" w:eastAsia="宋体"/>
          <w:sz w:val="24"/>
        </w:rPr>
        <w:t>天气和航行资料准备阶段应完成以下工作：</w:t>
      </w:r>
    </w:p>
    <w:p>
      <w:pPr>
        <w:pStyle w:val="ListBullet"/>
      </w:pPr>
      <w:r>
        <w:rPr>
          <w:rFonts w:ascii="Times New Roman" w:hAnsi="Times New Roman" w:eastAsia="宋体"/>
          <w:sz w:val="24"/>
        </w:rPr>
        <w:t>天气资料的来源、有效时间和更新要求：使用现行有效的天气资料，关注天气趋势和沿途差异，不仅关注起飞点观测；必要时获取更新资料。</w:t>
      </w:r>
    </w:p>
    <w:p>
      <w:pPr>
        <w:pStyle w:val="ListBullet"/>
      </w:pPr>
      <w:r>
        <w:rPr>
          <w:rFonts w:ascii="Times New Roman" w:hAnsi="Times New Roman" w:eastAsia="宋体"/>
          <w:sz w:val="24"/>
        </w:rPr>
        <w:t>起飞地、沿途、目的地及备选地点的天气评估：评估天气条件是否满足运行最低标准。</w:t>
      </w:r>
    </w:p>
    <w:p>
      <w:pPr>
        <w:pStyle w:val="ListBullet"/>
      </w:pPr>
      <w:r>
        <w:rPr>
          <w:rFonts w:ascii="Times New Roman" w:hAnsi="Times New Roman" w:eastAsia="宋体"/>
          <w:sz w:val="24"/>
        </w:rPr>
        <w:t>航行通告和空域限制核对：确认航行计划、许可、通信频率、地面联络、搜救/应急联络与任务区域要求。</w:t>
      </w:r>
    </w:p>
    <w:p>
      <w:pPr>
        <w:pStyle w:val="ListBullet"/>
      </w:pPr>
      <w:r>
        <w:rPr>
          <w:rFonts w:ascii="Times New Roman" w:hAnsi="Times New Roman" w:eastAsia="宋体"/>
          <w:sz w:val="24"/>
        </w:rPr>
        <w:t>航路、通信和导航资料核对：核对航路可用性和导航设施状态。</w:t>
      </w:r>
    </w:p>
    <w:p>
      <w:pPr>
        <w:pStyle w:val="ListBullet"/>
      </w:pPr>
      <w:r>
        <w:rPr>
          <w:rFonts w:ascii="Times New Roman" w:hAnsi="Times New Roman" w:eastAsia="宋体"/>
          <w:sz w:val="24"/>
        </w:rPr>
        <w:t>地形、障碍物及场地变化评估：评估地形、山谷、海岸、水面、城市障碍物、输电线、塔架、风机、起重机和临时障碍。</w:t>
      </w:r>
    </w:p>
    <w:p>
      <w:pPr>
        <w:pStyle w:val="ListBullet"/>
      </w:pPr>
      <w:r>
        <w:rPr>
          <w:rFonts w:ascii="Times New Roman" w:hAnsi="Times New Roman" w:eastAsia="宋体"/>
          <w:sz w:val="24"/>
        </w:rPr>
        <w:t>备选方案和任务终止条件：确定备选方案、延迟/取消条件、通信中断处置接口和地面应急联络方式。</w:t>
      </w:r>
    </w:p>
    <w:p>
      <w:pPr>
        <w:pStyle w:val="Heading2"/>
      </w:pPr>
      <w:r>
        <w:t>4.4 航空器文件与技术状态核验</w:t>
      </w:r>
    </w:p>
    <w:p>
      <w:pPr>
        <w:ind w:firstLine="420"/>
      </w:pPr>
      <w:r>
        <w:rPr>
          <w:rFonts w:ascii="Times New Roman" w:hAnsi="Times New Roman" w:eastAsia="宋体"/>
          <w:sz w:val="24"/>
        </w:rPr>
        <w:t>航空器文件与技术状态核验阶段应完成以下工作：</w:t>
      </w:r>
    </w:p>
    <w:p>
      <w:pPr>
        <w:pStyle w:val="ListBullet"/>
      </w:pPr>
      <w:r>
        <w:rPr>
          <w:rFonts w:ascii="Times New Roman" w:hAnsi="Times New Roman" w:eastAsia="宋体"/>
          <w:sz w:val="24"/>
        </w:rPr>
        <w:t>飞行手册及其修订状态：确认该架航空器所配飞行手册的文件编号、修订状态、临时修订、补充文件和运营人受控副本。S-76B 的 FAA 批准版飞行手册为 Publication SA 4047-76B-1。</w:t>
      </w:r>
    </w:p>
    <w:p>
      <w:pPr>
        <w:pStyle w:val="ListBullet"/>
      </w:pPr>
      <w:r>
        <w:rPr>
          <w:rFonts w:ascii="Times New Roman" w:hAnsi="Times New Roman" w:eastAsia="宋体"/>
          <w:sz w:val="24"/>
        </w:rPr>
        <w:t>适航文件和维修放行：由授权岗位按正式流程确认适航文件、维修放行、技术记录、未结缺陷及适用限制。</w:t>
      </w:r>
    </w:p>
    <w:p>
      <w:pPr>
        <w:pStyle w:val="ListBullet"/>
      </w:pPr>
      <w:r>
        <w:rPr>
          <w:rFonts w:ascii="Times New Roman" w:hAnsi="Times New Roman" w:eastAsia="宋体"/>
          <w:sz w:val="24"/>
        </w:rPr>
        <w:t>航空器技术记录：确认技术记录完整、有效。</w:t>
      </w:r>
    </w:p>
    <w:p>
      <w:pPr>
        <w:pStyle w:val="ListBullet"/>
      </w:pPr>
      <w:r>
        <w:rPr>
          <w:rFonts w:ascii="Times New Roman" w:hAnsi="Times New Roman" w:eastAsia="宋体"/>
          <w:sz w:val="24"/>
        </w:rPr>
        <w:t>未结缺陷及适用的 MEL：确认缺陷是否可延期、是否影响任务能力及是否需限制运行，只能由适用法规、MEL/维修程序和授权人员按规定确定。</w:t>
      </w:r>
    </w:p>
    <w:p>
      <w:pPr>
        <w:pStyle w:val="ListBullet"/>
      </w:pPr>
      <w:r>
        <w:rPr>
          <w:rFonts w:ascii="Times New Roman" w:hAnsi="Times New Roman" w:eastAsia="宋体"/>
          <w:sz w:val="24"/>
        </w:rPr>
        <w:t>改装、补充文件及构型差异：确认航空器构型、任务设备、舱内布置和载荷状态与获批资料一致。</w:t>
      </w:r>
    </w:p>
    <w:p>
      <w:pPr>
        <w:pStyle w:val="ListBullet"/>
      </w:pPr>
      <w:r>
        <w:rPr>
          <w:rFonts w:ascii="Times New Roman" w:hAnsi="Times New Roman" w:eastAsia="宋体"/>
          <w:sz w:val="24"/>
        </w:rPr>
        <w:t>机载设备和任务设备的适用性：确认机载设备和任务设备处于适用状态。</w:t>
      </w:r>
    </w:p>
    <w:p>
      <w:pPr>
        <w:pStyle w:val="ListBullet"/>
      </w:pPr>
      <w:r>
        <w:rPr>
          <w:rFonts w:ascii="Times New Roman" w:hAnsi="Times New Roman" w:eastAsia="宋体"/>
          <w:sz w:val="24"/>
        </w:rPr>
        <w:t>发现文件或技术状态问题后的暂停和升级程序：如存在缺陷、构型不明、记录不完整或放行状态不清，不自行推断可接受性；暂停并向授权岗位升级。</w:t>
      </w:r>
    </w:p>
    <w:p>
      <w:pPr>
        <w:pStyle w:val="Heading1"/>
      </w:pPr>
      <w:r>
        <w:t>第五章  重量、重心与性能管理</w:t>
      </w:r>
    </w:p>
    <w:p>
      <w:pPr>
        <w:ind w:firstLine="420"/>
      </w:pPr>
      <w:r>
        <w:rPr>
          <w:rFonts w:ascii="Times New Roman" w:hAnsi="Times New Roman" w:eastAsia="宋体"/>
          <w:sz w:val="24"/>
        </w:rPr>
        <w:t>重量、重心、燃油/能源、外部吊挂、客舱装载、舱门状态和任务设备配置均可能影响安全。所有计算必须使用该架航空器适用且有效的批准数据、设备状态和正式程序。</w:t>
      </w:r>
    </w:p>
    <w:p>
      <w:pPr>
        <w:pStyle w:val="Heading2"/>
      </w:pPr>
      <w:r>
        <w:t>5.1 重量与平衡资料的作用</w:t>
      </w:r>
    </w:p>
    <w:p>
      <w:pPr>
        <w:ind w:firstLine="420"/>
      </w:pPr>
      <w:r>
        <w:rPr>
          <w:rFonts w:ascii="Times New Roman" w:hAnsi="Times New Roman" w:eastAsia="宋体"/>
          <w:sz w:val="24"/>
        </w:rPr>
        <w:t>重量与平衡资料是确保航空器在安全包线内运行的基础文件。该资料包含航空器的空重、重心范围、各座位/货舱的重量限制、燃油容量和密度等关键数据。所有重量与平衡计算必须使用该架航空器适用且有效的批准数据。</w:t>
      </w:r>
    </w:p>
    <w:p>
      <w:pPr>
        <w:pStyle w:val="Heading2"/>
      </w:pPr>
      <w:r>
        <w:t>5.2 数据收集与装载核验</w:t>
      </w:r>
    </w:p>
    <w:p>
      <w:pPr>
        <w:ind w:firstLine="420"/>
      </w:pPr>
      <w:r>
        <w:rPr>
          <w:rFonts w:ascii="Times New Roman" w:hAnsi="Times New Roman" w:eastAsia="宋体"/>
          <w:sz w:val="24"/>
        </w:rPr>
        <w:t>应完成以下数据收集和核验工作：</w:t>
      </w:r>
    </w:p>
    <w:p>
      <w:pPr>
        <w:pStyle w:val="ListBullet"/>
      </w:pPr>
      <w:r>
        <w:rPr>
          <w:rFonts w:ascii="Times New Roman" w:hAnsi="Times New Roman" w:eastAsia="宋体"/>
          <w:sz w:val="24"/>
        </w:rPr>
        <w:t>乘员、行李、货物、燃油和任务设备数据的收集：确认人员、行李、货物、任务设备及消耗品的实际重量与装载位置；不得凭估算替代规定的称重或计算方法。</w:t>
      </w:r>
    </w:p>
    <w:p>
      <w:pPr>
        <w:pStyle w:val="ListBullet"/>
      </w:pPr>
      <w:r>
        <w:rPr>
          <w:rFonts w:ascii="Times New Roman" w:hAnsi="Times New Roman" w:eastAsia="宋体"/>
          <w:sz w:val="24"/>
        </w:rPr>
        <w:t>装载位置与重心资料的核验：使用适用的重量与平衡资料核验起飞、任务阶段和着陆阶段的限制；载荷改变后重新计算。</w:t>
      </w:r>
    </w:p>
    <w:p>
      <w:pPr>
        <w:pStyle w:val="ListBullet"/>
      </w:pPr>
      <w:r>
        <w:rPr>
          <w:rFonts w:ascii="Times New Roman" w:hAnsi="Times New Roman" w:eastAsia="宋体"/>
          <w:sz w:val="24"/>
        </w:rPr>
        <w:t>性能计算所需输入数据的管理：性能计算应使用正确的航空器构型、环境条件、场地条件、风信息和适用限制，并由规定岗位复核。</w:t>
      </w:r>
    </w:p>
    <w:p>
      <w:pPr>
        <w:pStyle w:val="ListBullet"/>
      </w:pPr>
      <w:r>
        <w:rPr>
          <w:rFonts w:ascii="Times New Roman" w:hAnsi="Times New Roman" w:eastAsia="宋体"/>
          <w:sz w:val="24"/>
        </w:rPr>
        <w:t>温度、风、场地和其他环境条件变化的影响：考虑高温、高海拔、密度高度、降水、能见度、夜间视觉错觉及局地风等对性能和态势感知的影响。</w:t>
      </w:r>
    </w:p>
    <w:p>
      <w:pPr>
        <w:pStyle w:val="ListBullet"/>
      </w:pPr>
      <w:r>
        <w:rPr>
          <w:rFonts w:ascii="Times New Roman" w:hAnsi="Times New Roman" w:eastAsia="宋体"/>
          <w:sz w:val="24"/>
        </w:rPr>
        <w:t>数据版本和航空器构型的适用性核对：确认性能计算使用正确的航空器构型、环境、场地和风况输入，以及该架航空器适用的数据版本。</w:t>
      </w:r>
    </w:p>
    <w:p>
      <w:pPr>
        <w:pStyle w:val="Heading2"/>
      </w:pPr>
      <w:r>
        <w:t>5.3 独立复核与重新评估</w:t>
      </w:r>
    </w:p>
    <w:p>
      <w:pPr>
        <w:ind w:firstLine="420"/>
      </w:pPr>
      <w:r>
        <w:rPr>
          <w:rFonts w:ascii="Times New Roman" w:hAnsi="Times New Roman" w:eastAsia="宋体"/>
          <w:sz w:val="24"/>
        </w:rPr>
        <w:t>由运营人规定的人员完成必要的独立复核；装载、天气、场地或构型变化后重新评估。若性能余度不足、输入数据不可靠或条件超出数据适用范围，应调整载荷/任务/场地或取消任务。数据不完整、计算结果异常或性能裕度不足时的处置原则：不得凭估算继续运行，应重新收集数据或取消任务。</w:t>
      </w:r>
    </w:p>
    <w:p>
      <w:pPr>
        <w:pStyle w:val="Heading2"/>
      </w:pPr>
      <w:r>
        <w:t>5.4 外部吊挂与任务设备</w:t>
      </w:r>
    </w:p>
    <w:p>
      <w:pPr>
        <w:ind w:firstLine="420"/>
      </w:pPr>
      <w:r>
        <w:rPr>
          <w:rFonts w:ascii="Times New Roman" w:hAnsi="Times New Roman" w:eastAsia="宋体"/>
          <w:sz w:val="24"/>
        </w:rPr>
        <w:t>外部吊挂、绞车、医疗设备、摄像设备或其他改装/任务设备，须确认批准状态、安装状态、限制和人员训练要求。所有实际计算必须引用适用的批准数据。不得凭空生成 S-76B 的性能图表、重量限制、重心范围或起降参数。</w:t>
      </w:r>
    </w:p>
    <w:p>
      <w:pPr>
        <w:pStyle w:val="Heading1"/>
      </w:pPr>
      <w:r>
        <w:t>第六章  驾驶舱准备与机组简报</w:t>
      </w:r>
    </w:p>
    <w:p>
      <w:pPr>
        <w:ind w:firstLine="420"/>
      </w:pPr>
      <w:r>
        <w:rPr>
          <w:rFonts w:ascii="Times New Roman" w:hAnsi="Times New Roman" w:eastAsia="宋体"/>
          <w:sz w:val="24"/>
        </w:rPr>
        <w:t>驾驶舱准备与机组简报是确保飞行安全的关键环节。具体驾驶舱检查项目、开关位置、启动顺序和操纵动作，应引用适用的 S-76B 正式检查单或运营人 SOP，不得用自行编写的内容代替。</w:t>
      </w:r>
    </w:p>
    <w:p>
      <w:pPr>
        <w:pStyle w:val="Heading2"/>
      </w:pPr>
      <w:r>
        <w:t>6.1 驾驶舱准备工作的管理流程</w:t>
      </w:r>
    </w:p>
    <w:p>
      <w:pPr>
        <w:ind w:firstLine="420"/>
      </w:pPr>
      <w:r>
        <w:rPr>
          <w:rFonts w:ascii="Times New Roman" w:hAnsi="Times New Roman" w:eastAsia="宋体"/>
          <w:sz w:val="24"/>
        </w:rPr>
        <w:t>驾驶舱准备工作应包括：</w:t>
      </w:r>
    </w:p>
    <w:p>
      <w:pPr>
        <w:pStyle w:val="ListBullet"/>
      </w:pPr>
      <w:r>
        <w:rPr>
          <w:rFonts w:ascii="Times New Roman" w:hAnsi="Times New Roman" w:eastAsia="宋体"/>
          <w:sz w:val="24"/>
        </w:rPr>
        <w:t>按适用 S-76B 检查单完成驾驶舱预飞检查。</w:t>
      </w:r>
    </w:p>
    <w:p>
      <w:pPr>
        <w:pStyle w:val="ListBullet"/>
      </w:pPr>
      <w:r>
        <w:rPr>
          <w:rFonts w:ascii="Times New Roman" w:hAnsi="Times New Roman" w:eastAsia="宋体"/>
          <w:sz w:val="24"/>
        </w:rPr>
        <w:t>核实飞行手册、检查单、MEL 及补充文件为适用版本且可用。</w:t>
      </w:r>
    </w:p>
    <w:p>
      <w:pPr>
        <w:pStyle w:val="ListBullet"/>
      </w:pPr>
      <w:r>
        <w:rPr>
          <w:rFonts w:ascii="Times New Roman" w:hAnsi="Times New Roman" w:eastAsia="宋体"/>
          <w:sz w:val="24"/>
        </w:rPr>
        <w:t>确认通信频率、导航设置和航行资料已更新。</w:t>
      </w:r>
    </w:p>
    <w:p>
      <w:pPr>
        <w:pStyle w:val="ListBullet"/>
      </w:pPr>
      <w:r>
        <w:rPr>
          <w:rFonts w:ascii="Times New Roman" w:hAnsi="Times New Roman" w:eastAsia="宋体"/>
          <w:sz w:val="24"/>
        </w:rPr>
        <w:t>检查燃油量、燃油选择器和燃油泵设置。</w:t>
      </w:r>
    </w:p>
    <w:p>
      <w:pPr>
        <w:pStyle w:val="ListBullet"/>
      </w:pPr>
      <w:r>
        <w:rPr>
          <w:rFonts w:ascii="Times New Roman" w:hAnsi="Times New Roman" w:eastAsia="宋体"/>
          <w:sz w:val="24"/>
        </w:rPr>
        <w:t>确认仪表和系统指示正常。</w:t>
      </w:r>
    </w:p>
    <w:p>
      <w:pPr>
        <w:pStyle w:val="Heading2"/>
      </w:pPr>
      <w:r>
        <w:t>6.2 机组任务分工与通信</w:t>
      </w:r>
    </w:p>
    <w:p>
      <w:pPr>
        <w:ind w:firstLine="420"/>
      </w:pPr>
      <w:r>
        <w:rPr>
          <w:rFonts w:ascii="Times New Roman" w:hAnsi="Times New Roman" w:eastAsia="宋体"/>
          <w:sz w:val="24"/>
        </w:rPr>
        <w:t>起飞前明确机长、副驾驶/其他飞行员、机组成员、地面人员和任务专家的职责与汇报路径。使用闭环沟通：指令/信息发出后由接收者复诵或确认；对关键数值和限制，应以正式文件为准并交叉核对。建立挑战与回应机制：任何成员发现不安全条件均可提出停止或复核；机长应确认问题已被理解并处置。</w:t>
      </w:r>
    </w:p>
    <w:p>
      <w:pPr>
        <w:pStyle w:val="Heading2"/>
      </w:pPr>
      <w:r>
        <w:t>6.3 机组简报内容</w:t>
      </w:r>
    </w:p>
    <w:p>
      <w:pPr>
        <w:ind w:firstLine="420"/>
      </w:pPr>
      <w:r>
        <w:rPr>
          <w:rFonts w:ascii="Times New Roman" w:hAnsi="Times New Roman" w:eastAsia="宋体"/>
          <w:sz w:val="24"/>
        </w:rPr>
        <w:t>机组简报应至少涵盖以下主题：</w:t>
      </w:r>
    </w:p>
    <w:p>
      <w:pPr>
        <w:pStyle w:val="ListBullet"/>
      </w:pPr>
      <w:r>
        <w:rPr>
          <w:rFonts w:ascii="Times New Roman" w:hAnsi="Times New Roman" w:eastAsia="宋体"/>
          <w:sz w:val="24"/>
        </w:rPr>
        <w:t>任务目标与成功/终止标准。</w:t>
      </w:r>
    </w:p>
    <w:p>
      <w:pPr>
        <w:pStyle w:val="ListBullet"/>
      </w:pPr>
      <w:r>
        <w:rPr>
          <w:rFonts w:ascii="Times New Roman" w:hAnsi="Times New Roman" w:eastAsia="宋体"/>
          <w:sz w:val="24"/>
        </w:rPr>
        <w:t>天气与关键环境威胁。</w:t>
      </w:r>
    </w:p>
    <w:p>
      <w:pPr>
        <w:pStyle w:val="ListBullet"/>
      </w:pPr>
      <w:r>
        <w:rPr>
          <w:rFonts w:ascii="Times New Roman" w:hAnsi="Times New Roman" w:eastAsia="宋体"/>
          <w:sz w:val="24"/>
        </w:rPr>
        <w:t>航路、空域、通信和备选方案。</w:t>
      </w:r>
    </w:p>
    <w:p>
      <w:pPr>
        <w:pStyle w:val="ListBullet"/>
      </w:pPr>
      <w:r>
        <w:rPr>
          <w:rFonts w:ascii="Times New Roman" w:hAnsi="Times New Roman" w:eastAsia="宋体"/>
          <w:sz w:val="24"/>
        </w:rPr>
        <w:t>载荷、乘员安全与地面区域。</w:t>
      </w:r>
    </w:p>
    <w:p>
      <w:pPr>
        <w:pStyle w:val="ListBullet"/>
      </w:pPr>
      <w:r>
        <w:rPr>
          <w:rFonts w:ascii="Times New Roman" w:hAnsi="Times New Roman" w:eastAsia="宋体"/>
          <w:sz w:val="24"/>
        </w:rPr>
        <w:t>机组职责、标准用语与失联处置接口。</w:t>
      </w:r>
    </w:p>
    <w:p>
      <w:pPr>
        <w:pStyle w:val="ListBullet"/>
      </w:pPr>
      <w:r>
        <w:rPr>
          <w:rFonts w:ascii="Times New Roman" w:hAnsi="Times New Roman" w:eastAsia="宋体"/>
          <w:sz w:val="24"/>
        </w:rPr>
        <w:t>异常/紧急情况时的指挥、通报和后续行动。</w:t>
      </w:r>
    </w:p>
    <w:p>
      <w:pPr>
        <w:pStyle w:val="ListBullet"/>
      </w:pPr>
      <w:r>
        <w:rPr>
          <w:rFonts w:ascii="Times New Roman" w:hAnsi="Times New Roman" w:eastAsia="宋体"/>
          <w:sz w:val="24"/>
        </w:rPr>
        <w:t>关键风险提示。</w:t>
      </w:r>
    </w:p>
    <w:p>
      <w:pPr>
        <w:pStyle w:val="ListBullet"/>
      </w:pPr>
      <w:r>
        <w:rPr>
          <w:rFonts w:ascii="Times New Roman" w:hAnsi="Times New Roman" w:eastAsia="宋体"/>
          <w:sz w:val="24"/>
        </w:rPr>
        <w:t>天气和航路变化。</w:t>
      </w:r>
    </w:p>
    <w:p>
      <w:pPr>
        <w:pStyle w:val="ListBullet"/>
      </w:pPr>
      <w:r>
        <w:rPr>
          <w:rFonts w:ascii="Times New Roman" w:hAnsi="Times New Roman" w:eastAsia="宋体"/>
          <w:sz w:val="24"/>
        </w:rPr>
        <w:t>备选方案。</w:t>
      </w:r>
    </w:p>
    <w:p>
      <w:pPr>
        <w:pStyle w:val="ListBullet"/>
      </w:pPr>
      <w:r>
        <w:rPr>
          <w:rFonts w:ascii="Times New Roman" w:hAnsi="Times New Roman" w:eastAsia="宋体"/>
          <w:sz w:val="24"/>
        </w:rPr>
        <w:t>任务终止条件。</w:t>
      </w:r>
    </w:p>
    <w:p>
      <w:pPr>
        <w:pStyle w:val="ListBullet"/>
      </w:pPr>
      <w:r>
        <w:rPr>
          <w:rFonts w:ascii="Times New Roman" w:hAnsi="Times New Roman" w:eastAsia="宋体"/>
          <w:sz w:val="24"/>
        </w:rPr>
        <w:t>地面人员协作。</w:t>
      </w:r>
    </w:p>
    <w:p>
      <w:pPr>
        <w:pStyle w:val="ListBullet"/>
      </w:pPr>
      <w:r>
        <w:rPr>
          <w:rFonts w:ascii="Times New Roman" w:hAnsi="Times New Roman" w:eastAsia="宋体"/>
          <w:sz w:val="24"/>
        </w:rPr>
        <w:t>重要信息的复诵与确认。</w:t>
      </w:r>
    </w:p>
    <w:p>
      <w:pPr>
        <w:pStyle w:val="ListBullet"/>
      </w:pPr>
      <w:r>
        <w:rPr>
          <w:rFonts w:ascii="Times New Roman" w:hAnsi="Times New Roman" w:eastAsia="宋体"/>
          <w:sz w:val="24"/>
        </w:rPr>
        <w:t>未解决问题的处理。</w:t>
      </w:r>
    </w:p>
    <w:p>
      <w:pPr>
        <w:pStyle w:val="Heading1"/>
      </w:pPr>
      <w:r>
        <w:t>第七章  发动机启动及地面阶段的参考框架</w:t>
      </w:r>
    </w:p>
    <w:p>
      <w:pPr>
        <w:ind w:firstLine="420"/>
      </w:pPr>
      <w:r>
        <w:rPr>
          <w:rFonts w:ascii="Times New Roman" w:hAnsi="Times New Roman" w:eastAsia="宋体"/>
          <w:sz w:val="24"/>
        </w:rPr>
        <w:t>本章从工作组织和安全管理角度说明发动机启动及地面阶段的管理要求。注意：实际启动顺序、开关操作、发动机参数、启动限制、异常启动处置和关车程序，必须依据适用的 S-76B 飞行手册、检查单和运营人 SOP，不得根据其他机型推导。</w:t>
      </w:r>
    </w:p>
    <w:p>
      <w:pPr>
        <w:pStyle w:val="Heading2"/>
      </w:pPr>
      <w:r>
        <w:t>7.1 启动前的文件、授权和人员准备</w:t>
      </w:r>
    </w:p>
    <w:p>
      <w:pPr>
        <w:ind w:firstLine="420"/>
      </w:pPr>
      <w:r>
        <w:rPr>
          <w:rFonts w:ascii="Times New Roman" w:hAnsi="Times New Roman" w:eastAsia="宋体"/>
          <w:sz w:val="24"/>
        </w:rPr>
        <w:t>启动前应确认：飞行手册、检查单、MEL 及补充文件为适用版本且可用；适航文件和维修放行有效；机组成员具备执行任务的资格；地面保障人员和设备就位。</w:t>
      </w:r>
    </w:p>
    <w:p>
      <w:pPr>
        <w:pStyle w:val="Heading2"/>
      </w:pPr>
      <w:r>
        <w:t>7.2 启动前机组职责分工</w:t>
      </w:r>
    </w:p>
    <w:p>
      <w:pPr>
        <w:ind w:firstLine="420"/>
      </w:pPr>
      <w:r>
        <w:rPr>
          <w:rFonts w:ascii="Times New Roman" w:hAnsi="Times New Roman" w:eastAsia="宋体"/>
          <w:sz w:val="24"/>
        </w:rPr>
        <w:t>明确机长和其他飞行员在启动阶段的职责分工。通常由机长或指定飞行员执行启动检查单，另一名飞行员监控外部环境和通信。具体职责分工应依据运营人 SOP 确定。</w:t>
      </w:r>
    </w:p>
    <w:p>
      <w:pPr>
        <w:pStyle w:val="Heading2"/>
      </w:pPr>
      <w:r>
        <w:t>7.3 地面区域安全管理</w:t>
      </w:r>
    </w:p>
    <w:p>
      <w:pPr>
        <w:ind w:firstLine="420"/>
      </w:pPr>
      <w:r>
        <w:rPr>
          <w:rFonts w:ascii="Times New Roman" w:hAnsi="Times New Roman" w:eastAsia="宋体"/>
          <w:sz w:val="24"/>
        </w:rPr>
        <w:t>地面区域安全管理应包括：确认地面承载能力、地面坡度、地面障碍物、地面人员隔离区、尘土/松散物风险等。地面人员与驾驶舱之间应建立可靠的通信方式。</w:t>
      </w:r>
    </w:p>
    <w:p>
      <w:pPr>
        <w:pStyle w:val="Heading2"/>
      </w:pPr>
      <w:r>
        <w:t>7.4 系统状态监控与异常处理</w:t>
      </w:r>
    </w:p>
    <w:p>
      <w:pPr>
        <w:ind w:firstLine="420"/>
      </w:pPr>
      <w:r>
        <w:rPr>
          <w:rFonts w:ascii="Times New Roman" w:hAnsi="Times New Roman" w:eastAsia="宋体"/>
          <w:sz w:val="24"/>
        </w:rPr>
        <w:t>启动过程中应持续监控发动机参数、液压压力、电气系统等关键指示。出现异常指示或其他异常情况时的报告和程序调用：应立即按适用 S-76B 检查单处置，并向授权维修/运行岗位报告。地面运行期间的风险管理：持续关注天气变化、地面人员安全、周围障碍物和其他潜在风险。启动或地面程序未完成时的暂停、升级与记录要求：如启动失败或出现异常，应按程序记录并升级处理。</w:t>
      </w:r>
    </w:p>
    <w:p>
      <w:pPr>
        <w:pStyle w:val="Heading1"/>
      </w:pPr>
      <w:r>
        <w:t>第八章  起飞前准备与起飞阶段管理</w:t>
      </w:r>
    </w:p>
    <w:p>
      <w:pPr>
        <w:ind w:firstLine="420"/>
      </w:pPr>
      <w:r>
        <w:rPr>
          <w:rFonts w:ascii="Times New Roman" w:hAnsi="Times New Roman" w:eastAsia="宋体"/>
          <w:sz w:val="24"/>
        </w:rPr>
        <w:t>起飞前准备与起飞阶段管理是确保飞行安全的关键环节。具体起飞前操纵检查、起飞技术、操纵输入和性能限制必须引用适用的正式文件。</w:t>
      </w:r>
    </w:p>
    <w:p>
      <w:pPr>
        <w:pStyle w:val="Heading2"/>
      </w:pPr>
      <w:r>
        <w:t>8.1 起飞前最终确认</w:t>
      </w:r>
    </w:p>
    <w:p>
      <w:pPr>
        <w:ind w:firstLine="420"/>
      </w:pPr>
      <w:r>
        <w:rPr>
          <w:rFonts w:ascii="Times New Roman" w:hAnsi="Times New Roman" w:eastAsia="宋体"/>
          <w:sz w:val="24"/>
        </w:rPr>
        <w:t>起飞前应完成以下最终确认：</w:t>
      </w:r>
    </w:p>
    <w:p>
      <w:pPr>
        <w:pStyle w:val="ListBullet"/>
      </w:pPr>
      <w:r>
        <w:rPr>
          <w:rFonts w:ascii="Times New Roman" w:hAnsi="Times New Roman" w:eastAsia="宋体"/>
          <w:sz w:val="24"/>
        </w:rPr>
        <w:t>起飞前资料和授权的最终确认：确认所有飞行前准备文件完整有效。</w:t>
      </w:r>
    </w:p>
    <w:p>
      <w:pPr>
        <w:pStyle w:val="ListBullet"/>
      </w:pPr>
      <w:r>
        <w:rPr>
          <w:rFonts w:ascii="Times New Roman" w:hAnsi="Times New Roman" w:eastAsia="宋体"/>
          <w:sz w:val="24"/>
        </w:rPr>
        <w:t>天气、场地和障碍物复核：确认天气条件、起降场地条件和障碍物情况未发生不利变化。</w:t>
      </w:r>
    </w:p>
    <w:p>
      <w:pPr>
        <w:pStyle w:val="ListBullet"/>
      </w:pPr>
      <w:r>
        <w:rPr>
          <w:rFonts w:ascii="Times New Roman" w:hAnsi="Times New Roman" w:eastAsia="宋体"/>
          <w:sz w:val="24"/>
        </w:rPr>
        <w:t>重量、重心与性能文件复核：确认装载和性能数据仍然适用。</w:t>
      </w:r>
    </w:p>
    <w:p>
      <w:pPr>
        <w:pStyle w:val="ListBullet"/>
      </w:pPr>
      <w:r>
        <w:rPr>
          <w:rFonts w:ascii="Times New Roman" w:hAnsi="Times New Roman" w:eastAsia="宋体"/>
          <w:sz w:val="24"/>
        </w:rPr>
        <w:t>机组职责与通信确认：确认机组分工明确、通信方式可靠。</w:t>
      </w:r>
    </w:p>
    <w:p>
      <w:pPr>
        <w:pStyle w:val="ListBullet"/>
      </w:pPr>
      <w:r>
        <w:rPr>
          <w:rFonts w:ascii="Times New Roman" w:hAnsi="Times New Roman" w:eastAsia="宋体"/>
          <w:sz w:val="24"/>
        </w:rPr>
        <w:t>起飞前风险变化的重新评估：评估自简报以来是否有新的风险因素出现。</w:t>
      </w:r>
    </w:p>
    <w:p>
      <w:pPr>
        <w:pStyle w:val="Heading2"/>
      </w:pPr>
      <w:r>
        <w:t>8.2 决策条件</w:t>
      </w:r>
    </w:p>
    <w:p>
      <w:pPr>
        <w:ind w:firstLine="420"/>
      </w:pPr>
      <w:r>
        <w:rPr>
          <w:rFonts w:ascii="Times New Roman" w:hAnsi="Times New Roman" w:eastAsia="宋体"/>
          <w:sz w:val="24"/>
        </w:rPr>
        <w:t>任务继续、等待、取消或更改计划的决策条件：当实际条件与计划假设不符时，重新评估风险，不因已投入时间、客户压力或任务紧迫性继续推进。起飞后任务监控的职责交接：明确起飞后由谁负责导航监控、通信、天气监控等职责。</w:t>
      </w:r>
    </w:p>
    <w:p>
      <w:pPr>
        <w:pStyle w:val="Heading1"/>
      </w:pPr>
      <w:r>
        <w:t>第九章  飞行中管理</w:t>
      </w:r>
    </w:p>
    <w:p>
      <w:pPr>
        <w:ind w:firstLine="420"/>
      </w:pPr>
      <w:r>
        <w:rPr>
          <w:rFonts w:ascii="Times New Roman" w:hAnsi="Times New Roman" w:eastAsia="宋体"/>
          <w:sz w:val="24"/>
        </w:rPr>
        <w:t>飞行中管理是确保飞行安全的核心阶段。机长应持续监控飞行状态、环境条件和机组工作负荷，确保在安全包线内运行。不提供未经核实的 S-76B 操纵技术、飞行参数、限制值或故障处置指令。</w:t>
      </w:r>
    </w:p>
    <w:p>
      <w:pPr>
        <w:pStyle w:val="Heading2"/>
      </w:pPr>
      <w:r>
        <w:t>9.1 飞行职责与监控</w:t>
      </w:r>
    </w:p>
    <w:p>
      <w:pPr>
        <w:ind w:firstLine="420"/>
      </w:pPr>
      <w:r>
        <w:rPr>
          <w:rFonts w:ascii="Times New Roman" w:hAnsi="Times New Roman" w:eastAsia="宋体"/>
          <w:sz w:val="24"/>
        </w:rPr>
        <w:t>飞行中管理应包括：</w:t>
      </w:r>
    </w:p>
    <w:p>
      <w:pPr>
        <w:pStyle w:val="ListBullet"/>
      </w:pPr>
      <w:r>
        <w:rPr>
          <w:rFonts w:ascii="Times New Roman" w:hAnsi="Times New Roman" w:eastAsia="宋体"/>
          <w:sz w:val="24"/>
        </w:rPr>
        <w:t>机长与其他飞行员的职责：明确机长（PF/PM）和其他飞行员在飞行各阶段的职责分工。</w:t>
      </w:r>
    </w:p>
    <w:p>
      <w:pPr>
        <w:pStyle w:val="ListBullet"/>
      </w:pPr>
      <w:r>
        <w:rPr>
          <w:rFonts w:ascii="Times New Roman" w:hAnsi="Times New Roman" w:eastAsia="宋体"/>
          <w:sz w:val="24"/>
        </w:rPr>
        <w:t>飞行路径、天气、空域和航空器状态的持续监控：按照已批准的航路/任务计划和正式程序运行，并持续监控天气、空域、航空器状态、载荷/任务设备及机组工作负荷。</w:t>
      </w:r>
    </w:p>
    <w:p>
      <w:pPr>
        <w:pStyle w:val="ListBullet"/>
      </w:pPr>
      <w:r>
        <w:rPr>
          <w:rFonts w:ascii="Times New Roman" w:hAnsi="Times New Roman" w:eastAsia="宋体"/>
          <w:sz w:val="24"/>
        </w:rPr>
        <w:t>通信与导航信息的核验：定期核对通信频率、导航设置和航路信息。</w:t>
      </w:r>
    </w:p>
    <w:p>
      <w:pPr>
        <w:pStyle w:val="ListBullet"/>
      </w:pPr>
      <w:r>
        <w:rPr>
          <w:rFonts w:ascii="Times New Roman" w:hAnsi="Times New Roman" w:eastAsia="宋体"/>
          <w:sz w:val="24"/>
        </w:rPr>
        <w:t>任务设备及地面协作监控：监控任务设备工作状态和地面协作情况。</w:t>
      </w:r>
    </w:p>
    <w:p>
      <w:pPr>
        <w:pStyle w:val="ListBullet"/>
      </w:pPr>
      <w:r>
        <w:rPr>
          <w:rFonts w:ascii="Times New Roman" w:hAnsi="Times New Roman" w:eastAsia="宋体"/>
          <w:sz w:val="24"/>
        </w:rPr>
        <w:t>工作负荷管理：在高工作负荷阶段避免非必要对话；重要信息应简洁、及时、明确。</w:t>
      </w:r>
    </w:p>
    <w:p>
      <w:pPr>
        <w:pStyle w:val="Heading2"/>
      </w:pPr>
      <w:r>
        <w:t>9.2 重新评估与决策</w:t>
      </w:r>
    </w:p>
    <w:p>
      <w:pPr>
        <w:ind w:firstLine="420"/>
      </w:pPr>
      <w:r>
        <w:rPr>
          <w:rFonts w:ascii="Times New Roman" w:hAnsi="Times New Roman" w:eastAsia="宋体"/>
          <w:sz w:val="24"/>
        </w:rPr>
        <w:t>计划与实际条件不一致时的重新评估：当实际条件与计划假设不符时，重新评估风险，不因已投入时间、客户压力或任务紧迫性继续推进。天气恶化、通信异常和任务变化的管理：遇到不熟悉的场地、临时障碍、意外人员/车辆活动或通信中断，按正式程序采取保守行动。备选方案的持续可用性检查：持续评估备降场、备选航路和其他应急方案的可用性。返航、改航、延迟或取消任务的决策框架：机长应采用持续评估而非一次性放行思维。任务目标与安全条件冲突时，安全优先；必要时中止、改期或更换任务方案。</w:t>
      </w:r>
    </w:p>
    <w:p>
      <w:pPr>
        <w:pStyle w:val="Heading2"/>
      </w:pPr>
      <w:r>
        <w:t>9.3 飞行阶段之间的信息交接</w:t>
      </w:r>
    </w:p>
    <w:p>
      <w:pPr>
        <w:ind w:firstLine="420"/>
      </w:pPr>
      <w:r>
        <w:rPr>
          <w:rFonts w:ascii="Times New Roman" w:hAnsi="Times New Roman" w:eastAsia="宋体"/>
          <w:sz w:val="24"/>
        </w:rPr>
        <w:t>飞行阶段之间（如巡航转进场、巡航转备降等）应进行明确的信息交接，包括当前状态、已知风险、后续计划和通信安排。交接应完整、清晰，确保接收方充分理解当前情况和后续要求。</w:t>
      </w:r>
    </w:p>
    <w:p>
      <w:pPr>
        <w:pStyle w:val="Heading1"/>
      </w:pPr>
      <w:r>
        <w:t>第十章  进场、着陆与地面交接</w:t>
      </w:r>
    </w:p>
    <w:p>
      <w:pPr>
        <w:ind w:firstLine="420"/>
      </w:pPr>
      <w:r>
        <w:rPr>
          <w:rFonts w:ascii="Times New Roman" w:hAnsi="Times New Roman" w:eastAsia="宋体"/>
          <w:sz w:val="24"/>
        </w:rPr>
        <w:t>进场、着陆与地面交接是飞行安全的关键阶段。具体进场、悬停、着陆、地面移动及相关操纵程序必须依据适用的 S-76B 正式文件。</w:t>
      </w:r>
    </w:p>
    <w:p>
      <w:pPr>
        <w:pStyle w:val="Heading2"/>
      </w:pPr>
      <w:r>
        <w:t>10.1 进场前准备</w:t>
      </w:r>
    </w:p>
    <w:p>
      <w:pPr>
        <w:ind w:firstLine="420"/>
      </w:pPr>
      <w:r>
        <w:rPr>
          <w:rFonts w:ascii="Times New Roman" w:hAnsi="Times New Roman" w:eastAsia="宋体"/>
          <w:sz w:val="24"/>
        </w:rPr>
        <w:t>进场前应完成以下工作：</w:t>
      </w:r>
    </w:p>
    <w:p>
      <w:pPr>
        <w:pStyle w:val="ListBullet"/>
      </w:pPr>
      <w:r>
        <w:rPr>
          <w:rFonts w:ascii="Times New Roman" w:hAnsi="Times New Roman" w:eastAsia="宋体"/>
          <w:sz w:val="24"/>
        </w:rPr>
        <w:t>进场前的信息复核：重新确认天气、场地、障碍物、地面人员隔离和备选方案。</w:t>
      </w:r>
    </w:p>
    <w:p>
      <w:pPr>
        <w:pStyle w:val="ListBullet"/>
      </w:pPr>
      <w:r>
        <w:rPr>
          <w:rFonts w:ascii="Times New Roman" w:hAnsi="Times New Roman" w:eastAsia="宋体"/>
          <w:sz w:val="24"/>
        </w:rPr>
        <w:t>天气和场地条件变化的评估：评估自简报以来天气和场地条件是否发生不利变化。</w:t>
      </w:r>
    </w:p>
    <w:p>
      <w:pPr>
        <w:pStyle w:val="ListBullet"/>
      </w:pPr>
      <w:r>
        <w:rPr>
          <w:rFonts w:ascii="Times New Roman" w:hAnsi="Times New Roman" w:eastAsia="宋体"/>
          <w:sz w:val="24"/>
        </w:rPr>
        <w:t>障碍物与地面人员安全管理：确认着陆区域无障碍物和地面人员风险。</w:t>
      </w:r>
    </w:p>
    <w:p>
      <w:pPr>
        <w:pStyle w:val="ListBullet"/>
      </w:pPr>
      <w:r>
        <w:rPr>
          <w:rFonts w:ascii="Times New Roman" w:hAnsi="Times New Roman" w:eastAsia="宋体"/>
          <w:sz w:val="24"/>
        </w:rPr>
        <w:t>着陆场地可用性核实：确认着陆场地适合安全着陆。</w:t>
      </w:r>
    </w:p>
    <w:p>
      <w:pPr>
        <w:pStyle w:val="ListBullet"/>
      </w:pPr>
      <w:r>
        <w:rPr>
          <w:rFonts w:ascii="Times New Roman" w:hAnsi="Times New Roman" w:eastAsia="宋体"/>
          <w:sz w:val="24"/>
        </w:rPr>
        <w:t>备选方案和终止条件：确定备选着陆场地和任务终止条件。</w:t>
      </w:r>
    </w:p>
    <w:p>
      <w:pPr>
        <w:pStyle w:val="Heading2"/>
      </w:pPr>
      <w:r>
        <w:t>10.2 着陆后工作</w:t>
      </w:r>
    </w:p>
    <w:p>
      <w:pPr>
        <w:ind w:firstLine="420"/>
      </w:pPr>
      <w:r>
        <w:rPr>
          <w:rFonts w:ascii="Times New Roman" w:hAnsi="Times New Roman" w:eastAsia="宋体"/>
          <w:sz w:val="24"/>
        </w:rPr>
        <w:t>着陆后应完成以下工作：</w:t>
      </w:r>
    </w:p>
    <w:p>
      <w:pPr>
        <w:pStyle w:val="ListBullet"/>
      </w:pPr>
      <w:r>
        <w:rPr>
          <w:rFonts w:ascii="Times New Roman" w:hAnsi="Times New Roman" w:eastAsia="宋体"/>
          <w:sz w:val="24"/>
        </w:rPr>
        <w:t>地面人员协同：与地面人员协调人员、货物和设备的卸载安排。</w:t>
      </w:r>
    </w:p>
    <w:p>
      <w:pPr>
        <w:pStyle w:val="ListBullet"/>
      </w:pPr>
      <w:r>
        <w:rPr>
          <w:rFonts w:ascii="Times New Roman" w:hAnsi="Times New Roman" w:eastAsia="宋体"/>
          <w:sz w:val="24"/>
        </w:rPr>
        <w:t>着陆后的人员、货物和设备交接：确认所有人员安全撤离，货物和设备完好。</w:t>
      </w:r>
    </w:p>
    <w:p>
      <w:pPr>
        <w:pStyle w:val="ListBullet"/>
      </w:pPr>
      <w:r>
        <w:rPr>
          <w:rFonts w:ascii="Times New Roman" w:hAnsi="Times New Roman" w:eastAsia="宋体"/>
          <w:sz w:val="24"/>
        </w:rPr>
        <w:t>任务结束后的航空器状态确认：确认航空器处于安全停放状态。</w:t>
      </w:r>
    </w:p>
    <w:p>
      <w:pPr>
        <w:pStyle w:val="ListBullet"/>
      </w:pPr>
      <w:r>
        <w:rPr>
          <w:rFonts w:ascii="Times New Roman" w:hAnsi="Times New Roman" w:eastAsia="宋体"/>
          <w:sz w:val="24"/>
        </w:rPr>
        <w:t>后续记录与报告：按规定完成飞行记录、缺陷报告、事件/危险源报告和未结事项交接。</w:t>
      </w:r>
    </w:p>
    <w:p>
      <w:pPr>
        <w:pStyle w:val="Heading1"/>
      </w:pPr>
      <w:r>
        <w:t>第十一章  异常情况与紧急情况管理</w:t>
      </w:r>
    </w:p>
    <w:p>
      <w:pPr>
        <w:ind w:firstLine="420"/>
      </w:pPr>
      <w:r>
        <w:rPr>
          <w:rFonts w:ascii="Times New Roman" w:hAnsi="Times New Roman" w:eastAsia="宋体"/>
          <w:sz w:val="24"/>
        </w:rPr>
        <w:t>异常情况与紧急情况管理是机长手册的核心内容之一。关键限制：本手册不列出任何机型特定的紧急程序、记忆项目或操纵步骤。实际处置必须立即依照适用机型的正式检查单、飞行手册、训练标准及运营人应急程序。</w:t>
      </w:r>
    </w:p>
    <w:p>
      <w:pPr>
        <w:pStyle w:val="Heading2"/>
      </w:pPr>
      <w:r>
        <w:t>11.1 异常情况识别与协调</w:t>
      </w:r>
    </w:p>
    <w:p>
      <w:pPr>
        <w:ind w:firstLine="420"/>
      </w:pPr>
      <w:r>
        <w:rPr>
          <w:rFonts w:ascii="Times New Roman" w:hAnsi="Times New Roman" w:eastAsia="宋体"/>
          <w:sz w:val="24"/>
        </w:rPr>
        <w:t>异常情况管理应包括：</w:t>
      </w:r>
    </w:p>
    <w:p>
      <w:pPr>
        <w:pStyle w:val="ListBullet"/>
      </w:pPr>
      <w:r>
        <w:rPr>
          <w:rFonts w:ascii="Times New Roman" w:hAnsi="Times New Roman" w:eastAsia="宋体"/>
          <w:sz w:val="24"/>
        </w:rPr>
        <w:t>识别异常情况的重要性：机长和机组成员应始终保持对航空器状态、系统指示和环境条件的态势感知，及时发现异常征兆。</w:t>
      </w:r>
    </w:p>
    <w:p>
      <w:pPr>
        <w:pStyle w:val="ListBullet"/>
      </w:pPr>
      <w:r>
        <w:rPr>
          <w:rFonts w:ascii="Times New Roman" w:hAnsi="Times New Roman" w:eastAsia="宋体"/>
          <w:sz w:val="24"/>
        </w:rPr>
        <w:t>机长、其他飞行员和机组成员之间的协调：在安全可行时，分配通信、导航、清单执行和客舱/任务人员协调职责，避免单人过载。</w:t>
      </w:r>
    </w:p>
    <w:p>
      <w:pPr>
        <w:pStyle w:val="ListBullet"/>
      </w:pPr>
      <w:r>
        <w:rPr>
          <w:rFonts w:ascii="Times New Roman" w:hAnsi="Times New Roman" w:eastAsia="宋体"/>
          <w:sz w:val="24"/>
        </w:rPr>
        <w:t>检查单调用和任务分工：立即调用适用的 S-76B 检查单，按检查单程序处置异常情况。</w:t>
      </w:r>
    </w:p>
    <w:p>
      <w:pPr>
        <w:pStyle w:val="ListBullet"/>
      </w:pPr>
      <w:r>
        <w:rPr>
          <w:rFonts w:ascii="Times New Roman" w:hAnsi="Times New Roman" w:eastAsia="宋体"/>
          <w:sz w:val="24"/>
        </w:rPr>
        <w:t>与空中交通管制及运行控制的沟通：及时向 ATC 和运行控制通报异常情况，必要时宣布紧急状态。</w:t>
      </w:r>
    </w:p>
    <w:p>
      <w:pPr>
        <w:pStyle w:val="ListBullet"/>
      </w:pPr>
      <w:r>
        <w:rPr>
          <w:rFonts w:ascii="Times New Roman" w:hAnsi="Times New Roman" w:eastAsia="宋体"/>
          <w:sz w:val="24"/>
        </w:rPr>
        <w:t>求援、通报和事件记录：需要求援或宣布紧急/遇险状态时，按适用程序、空管要求和运营人政策执行。</w:t>
      </w:r>
    </w:p>
    <w:p>
      <w:pPr>
        <w:pStyle w:val="ListBullet"/>
      </w:pPr>
      <w:r>
        <w:rPr>
          <w:rFonts w:ascii="Times New Roman" w:hAnsi="Times New Roman" w:eastAsia="宋体"/>
          <w:sz w:val="24"/>
        </w:rPr>
        <w:t>落地后的人员安全、航空器保护和后续检查：落地后按程序保护人员、航空器和现场，通知运行控制及相关支持岗位，并保留必要记录。</w:t>
      </w:r>
    </w:p>
    <w:p>
      <w:pPr>
        <w:pStyle w:val="ListBullet"/>
      </w:pPr>
      <w:r>
        <w:rPr>
          <w:rFonts w:ascii="Times New Roman" w:hAnsi="Times New Roman" w:eastAsia="宋体"/>
          <w:sz w:val="24"/>
        </w:rPr>
        <w:t>维修与运行恢复授权的接口：事件后应按规定完成报告、维修检查、证据保全和运行恢复授权；不得擅自恢复运行。</w:t>
      </w:r>
    </w:p>
    <w:p>
      <w:pPr>
        <w:pStyle w:val="Heading2"/>
      </w:pPr>
      <w:r>
        <w:t>11.2 参考资料引用要求</w:t>
      </w:r>
    </w:p>
    <w:p>
      <w:pPr>
        <w:ind w:firstLine="420"/>
      </w:pPr>
      <w:r>
        <w:rPr>
          <w:rFonts w:ascii="Times New Roman" w:hAnsi="Times New Roman" w:eastAsia="宋体"/>
          <w:sz w:val="24"/>
        </w:rPr>
        <w:t>如果引用公开的正式程序，必须明确文件名称、版本、适用性和来源，并提醒使用者以其持有的现行受控文件为准。不得编造或拼接发动机失效、液压系统异常、传动系统故障、火警、电气故障或其他 S-76B 紧急程序。</w:t>
      </w:r>
    </w:p>
    <w:p>
      <w:pPr>
        <w:pStyle w:val="Heading1"/>
      </w:pPr>
      <w:r>
        <w:t>第十二章  特殊任务管理</w:t>
      </w:r>
    </w:p>
    <w:p>
      <w:pPr>
        <w:ind w:firstLine="420"/>
      </w:pPr>
      <w:r>
        <w:rPr>
          <w:rFonts w:ascii="Times New Roman" w:hAnsi="Times New Roman" w:eastAsia="宋体"/>
          <w:sz w:val="24"/>
        </w:rPr>
        <w:t>特殊任务管理涵盖需要专门运行批准、训练、设备、人员和风险控制的运行类型。本节分别介绍各类特殊任务的管理要点。涉及具体操作的部分，应以适用的运营人批准程序和训练要求为准。</w:t>
      </w:r>
    </w:p>
    <w:p>
      <w:pPr>
        <w:pStyle w:val="Heading2"/>
      </w:pPr>
      <w:r>
        <w:t>12.1 海上运行</w:t>
      </w:r>
    </w:p>
    <w:p>
      <w:pPr>
        <w:ind w:firstLine="420"/>
      </w:pPr>
      <w:r>
        <w:rPr>
          <w:rFonts w:ascii="Times New Roman" w:hAnsi="Times New Roman" w:eastAsia="宋体"/>
          <w:sz w:val="24"/>
        </w:rPr>
        <w:t>海上运行管理要点：</w:t>
      </w:r>
    </w:p>
    <w:p>
      <w:pPr>
        <w:pStyle w:val="ListBullet"/>
      </w:pPr>
      <w:r>
        <w:rPr>
          <w:rFonts w:ascii="Times New Roman" w:hAnsi="Times New Roman" w:eastAsia="宋体"/>
          <w:sz w:val="24"/>
        </w:rPr>
        <w:t>任务适用性确认：确认航空器、设备和人员满足海上运行要求。</w:t>
      </w:r>
    </w:p>
    <w:p>
      <w:pPr>
        <w:pStyle w:val="ListBullet"/>
      </w:pPr>
      <w:r>
        <w:rPr>
          <w:rFonts w:ascii="Times New Roman" w:hAnsi="Times New Roman" w:eastAsia="宋体"/>
          <w:sz w:val="24"/>
        </w:rPr>
        <w:t>人员和设备要求：确认机组具备海上运行训练和近期经历，配备救生衣、救生筏、EPIRB 等海上生存设备。</w:t>
      </w:r>
    </w:p>
    <w:p>
      <w:pPr>
        <w:pStyle w:val="ListBullet"/>
      </w:pPr>
      <w:r>
        <w:rPr>
          <w:rFonts w:ascii="Times New Roman" w:hAnsi="Times New Roman" w:eastAsia="宋体"/>
          <w:sz w:val="24"/>
        </w:rPr>
        <w:t>任务前风险评估：评估海况、天气、距岸距离、搜救能力等风险因素。</w:t>
      </w:r>
    </w:p>
    <w:p>
      <w:pPr>
        <w:pStyle w:val="ListBullet"/>
      </w:pPr>
      <w:r>
        <w:rPr>
          <w:rFonts w:ascii="Times New Roman" w:hAnsi="Times New Roman" w:eastAsia="宋体"/>
          <w:sz w:val="24"/>
        </w:rPr>
        <w:t>机组职责和通信：明确海上运行时的通信方案和应急联络方式。</w:t>
      </w:r>
    </w:p>
    <w:p>
      <w:pPr>
        <w:pStyle w:val="ListBullet"/>
      </w:pPr>
      <w:r>
        <w:rPr>
          <w:rFonts w:ascii="Times New Roman" w:hAnsi="Times New Roman" w:eastAsia="宋体"/>
          <w:sz w:val="24"/>
        </w:rPr>
        <w:t>主要危险源：海浪、船舶运动、海上迷向、落水、燃油污染等。</w:t>
      </w:r>
    </w:p>
    <w:p>
      <w:pPr>
        <w:pStyle w:val="ListBullet"/>
      </w:pPr>
      <w:r>
        <w:rPr>
          <w:rFonts w:ascii="Times New Roman" w:hAnsi="Times New Roman" w:eastAsia="宋体"/>
          <w:sz w:val="24"/>
        </w:rPr>
        <w:t>风险控制措施：保持与船舶的安全距离、建立水上迫降预案、确保生存设备可用。</w:t>
      </w:r>
    </w:p>
    <w:p>
      <w:pPr>
        <w:pStyle w:val="ListBullet"/>
      </w:pPr>
      <w:r>
        <w:rPr>
          <w:rFonts w:ascii="Times New Roman" w:hAnsi="Times New Roman" w:eastAsia="宋体"/>
          <w:sz w:val="24"/>
        </w:rPr>
        <w:t>任务中止条件：海况超出限制、天气恶化、设备故障影响海上安全等。</w:t>
      </w:r>
    </w:p>
    <w:p>
      <w:pPr>
        <w:pStyle w:val="ListBullet"/>
      </w:pPr>
      <w:r>
        <w:rPr>
          <w:rFonts w:ascii="Times New Roman" w:hAnsi="Times New Roman" w:eastAsia="宋体"/>
          <w:sz w:val="24"/>
        </w:rPr>
        <w:t>地面保障和应急协调：与船舶建立应急协调程序，确认搜救能力。</w:t>
      </w:r>
    </w:p>
    <w:p>
      <w:pPr>
        <w:pStyle w:val="ListBullet"/>
      </w:pPr>
      <w:r>
        <w:rPr>
          <w:rFonts w:ascii="Times New Roman" w:hAnsi="Times New Roman" w:eastAsia="宋体"/>
          <w:sz w:val="24"/>
        </w:rPr>
        <w:t>任务结束后的记录要求：记录海上运行特殊情况、设备状态和任何异常事件。</w:t>
      </w:r>
    </w:p>
    <w:p>
      <w:pPr>
        <w:pStyle w:val="Heading2"/>
      </w:pPr>
      <w:r>
        <w:t>12.2 医疗运输</w:t>
      </w:r>
    </w:p>
    <w:p>
      <w:pPr>
        <w:ind w:firstLine="420"/>
      </w:pPr>
      <w:r>
        <w:rPr>
          <w:rFonts w:ascii="Times New Roman" w:hAnsi="Times New Roman" w:eastAsia="宋体"/>
          <w:sz w:val="24"/>
        </w:rPr>
        <w:t>医疗运输管理要点：</w:t>
      </w:r>
    </w:p>
    <w:p>
      <w:pPr>
        <w:pStyle w:val="ListBullet"/>
      </w:pPr>
      <w:r>
        <w:rPr>
          <w:rFonts w:ascii="Times New Roman" w:hAnsi="Times New Roman" w:eastAsia="宋体"/>
          <w:sz w:val="24"/>
        </w:rPr>
        <w:t>任务适用性确认：确认航空器构型适合医疗运输任务（如配备医疗设备固定装置、电源等）。</w:t>
      </w:r>
    </w:p>
    <w:p>
      <w:pPr>
        <w:pStyle w:val="ListBullet"/>
      </w:pPr>
      <w:r>
        <w:rPr>
          <w:rFonts w:ascii="Times New Roman" w:hAnsi="Times New Roman" w:eastAsia="宋体"/>
          <w:sz w:val="24"/>
        </w:rPr>
        <w:t>人员和设备要求：确认医护人员资质、医疗设备完好可用、患者固定装置符合要求。</w:t>
      </w:r>
    </w:p>
    <w:p>
      <w:pPr>
        <w:pStyle w:val="ListBullet"/>
      </w:pPr>
      <w:r>
        <w:rPr>
          <w:rFonts w:ascii="Times New Roman" w:hAnsi="Times New Roman" w:eastAsia="宋体"/>
          <w:sz w:val="24"/>
        </w:rPr>
        <w:t>任务前风险评估：评估患者状况对飞行安全的影响、医院/地面协调要求。</w:t>
      </w:r>
    </w:p>
    <w:p>
      <w:pPr>
        <w:pStyle w:val="ListBullet"/>
      </w:pPr>
      <w:r>
        <w:rPr>
          <w:rFonts w:ascii="Times New Roman" w:hAnsi="Times New Roman" w:eastAsia="宋体"/>
          <w:sz w:val="24"/>
        </w:rPr>
        <w:t>机组职责和通信：明确医疗人员与飞行机组的协调方式。</w:t>
      </w:r>
    </w:p>
    <w:p>
      <w:pPr>
        <w:pStyle w:val="ListBullet"/>
      </w:pPr>
      <w:r>
        <w:rPr>
          <w:rFonts w:ascii="Times New Roman" w:hAnsi="Times New Roman" w:eastAsia="宋体"/>
          <w:sz w:val="24"/>
        </w:rPr>
        <w:t>主要危险源：患者状况变化、医疗设备故障、舱内固定失效等。</w:t>
      </w:r>
    </w:p>
    <w:p>
      <w:pPr>
        <w:pStyle w:val="ListBullet"/>
      </w:pPr>
      <w:r>
        <w:rPr>
          <w:rFonts w:ascii="Times New Roman" w:hAnsi="Times New Roman" w:eastAsia="宋体"/>
          <w:sz w:val="24"/>
        </w:rPr>
        <w:t>风险控制措施：确认医疗设备电源/氧气等适用要求、患者固定措施可靠。</w:t>
      </w:r>
    </w:p>
    <w:p>
      <w:pPr>
        <w:pStyle w:val="ListBullet"/>
      </w:pPr>
      <w:r>
        <w:rPr>
          <w:rFonts w:ascii="Times New Roman" w:hAnsi="Times New Roman" w:eastAsia="宋体"/>
          <w:sz w:val="24"/>
        </w:rPr>
        <w:t>任务中止条件：患者状况不稳定影响飞行安全、设备故障影响医疗功能等。</w:t>
      </w:r>
    </w:p>
    <w:p>
      <w:pPr>
        <w:pStyle w:val="ListBullet"/>
      </w:pPr>
      <w:r>
        <w:rPr>
          <w:rFonts w:ascii="Times New Roman" w:hAnsi="Times New Roman" w:eastAsia="宋体"/>
          <w:sz w:val="24"/>
        </w:rPr>
        <w:t>地面保障和应急协调：与医院/地面救护人员建立协调程序。</w:t>
      </w:r>
    </w:p>
    <w:p>
      <w:pPr>
        <w:pStyle w:val="ListBullet"/>
      </w:pPr>
      <w:r>
        <w:rPr>
          <w:rFonts w:ascii="Times New Roman" w:hAnsi="Times New Roman" w:eastAsia="宋体"/>
          <w:sz w:val="24"/>
        </w:rPr>
        <w:t>任务结束后的记录要求：记录医疗运输特殊情况、设备使用和任何异常事件。</w:t>
      </w:r>
    </w:p>
    <w:p>
      <w:pPr>
        <w:pStyle w:val="Heading2"/>
      </w:pPr>
      <w:r>
        <w:t>12.3 搜救任务</w:t>
      </w:r>
    </w:p>
    <w:p>
      <w:pPr>
        <w:ind w:firstLine="420"/>
      </w:pPr>
      <w:r>
        <w:rPr>
          <w:rFonts w:ascii="Times New Roman" w:hAnsi="Times New Roman" w:eastAsia="宋体"/>
          <w:sz w:val="24"/>
        </w:rPr>
        <w:t>搜救任务管理要点：</w:t>
      </w:r>
    </w:p>
    <w:p>
      <w:pPr>
        <w:pStyle w:val="ListBullet"/>
      </w:pPr>
      <w:r>
        <w:rPr>
          <w:rFonts w:ascii="Times New Roman" w:hAnsi="Times New Roman" w:eastAsia="宋体"/>
          <w:sz w:val="24"/>
        </w:rPr>
        <w:t>任务适用性确认：确认航空器、设备和人员满足搜救运行要求。</w:t>
      </w:r>
    </w:p>
    <w:p>
      <w:pPr>
        <w:pStyle w:val="ListBullet"/>
      </w:pPr>
      <w:r>
        <w:rPr>
          <w:rFonts w:ascii="Times New Roman" w:hAnsi="Times New Roman" w:eastAsia="宋体"/>
          <w:sz w:val="24"/>
        </w:rPr>
        <w:t>人员和设备要求：确认机组具备搜救训练和近期经历，配备搜救设备。</w:t>
      </w:r>
    </w:p>
    <w:p>
      <w:pPr>
        <w:pStyle w:val="ListBullet"/>
      </w:pPr>
      <w:r>
        <w:rPr>
          <w:rFonts w:ascii="Times New Roman" w:hAnsi="Times New Roman" w:eastAsia="宋体"/>
          <w:sz w:val="24"/>
        </w:rPr>
        <w:t>任务前风险评估：评估通信覆盖、定位与搜救安排、人员生存装备、备降/撤离方案、环境暴露和地面支援能力。</w:t>
      </w:r>
    </w:p>
    <w:p>
      <w:pPr>
        <w:pStyle w:val="ListBullet"/>
      </w:pPr>
      <w:r>
        <w:rPr>
          <w:rFonts w:ascii="Times New Roman" w:hAnsi="Times New Roman" w:eastAsia="宋体"/>
          <w:sz w:val="24"/>
        </w:rPr>
        <w:t>机组职责和通信：明确搜救任务中的指挥链和通信协议。</w:t>
      </w:r>
    </w:p>
    <w:p>
      <w:pPr>
        <w:pStyle w:val="ListBullet"/>
      </w:pPr>
      <w:r>
        <w:rPr>
          <w:rFonts w:ascii="Times New Roman" w:hAnsi="Times New Roman" w:eastAsia="宋体"/>
          <w:sz w:val="24"/>
        </w:rPr>
        <w:t>主要危险源：恶劣天气、偏远地区、通信盲区、地形障碍等。</w:t>
      </w:r>
    </w:p>
    <w:p>
      <w:pPr>
        <w:pStyle w:val="ListBullet"/>
      </w:pPr>
      <w:r>
        <w:rPr>
          <w:rFonts w:ascii="Times New Roman" w:hAnsi="Times New Roman" w:eastAsia="宋体"/>
          <w:sz w:val="24"/>
        </w:rPr>
        <w:t>风险控制措施：确保通信手段可靠、备降方案可行、生存装备充足。</w:t>
      </w:r>
    </w:p>
    <w:p>
      <w:pPr>
        <w:pStyle w:val="ListBullet"/>
      </w:pPr>
      <w:r>
        <w:rPr>
          <w:rFonts w:ascii="Times New Roman" w:hAnsi="Times New Roman" w:eastAsia="宋体"/>
          <w:sz w:val="24"/>
        </w:rPr>
        <w:t>任务中止条件：天气超出限制、设备故障影响搜救能力、人员安全受到威胁等。</w:t>
      </w:r>
    </w:p>
    <w:p>
      <w:pPr>
        <w:pStyle w:val="ListBullet"/>
      </w:pPr>
      <w:r>
        <w:rPr>
          <w:rFonts w:ascii="Times New Roman" w:hAnsi="Times New Roman" w:eastAsia="宋体"/>
          <w:sz w:val="24"/>
        </w:rPr>
        <w:t>地面保障和应急协调：与搜救协调中心（RCC）保持密切联系。</w:t>
      </w:r>
    </w:p>
    <w:p>
      <w:pPr>
        <w:pStyle w:val="ListBullet"/>
      </w:pPr>
      <w:r>
        <w:rPr>
          <w:rFonts w:ascii="Times New Roman" w:hAnsi="Times New Roman" w:eastAsia="宋体"/>
          <w:sz w:val="24"/>
        </w:rPr>
        <w:t>任务结束后的记录要求：记录搜救行动细节、发现情况和任何异常事件。</w:t>
      </w:r>
    </w:p>
    <w:p>
      <w:pPr>
        <w:pStyle w:val="Heading2"/>
      </w:pPr>
      <w:r>
        <w:t>12.4 夜间运行</w:t>
      </w:r>
    </w:p>
    <w:p>
      <w:pPr>
        <w:ind w:firstLine="420"/>
      </w:pPr>
      <w:r>
        <w:rPr>
          <w:rFonts w:ascii="Times New Roman" w:hAnsi="Times New Roman" w:eastAsia="宋体"/>
          <w:sz w:val="24"/>
        </w:rPr>
        <w:t>夜间运行管理要点：</w:t>
      </w:r>
    </w:p>
    <w:p>
      <w:pPr>
        <w:pStyle w:val="ListBullet"/>
      </w:pPr>
      <w:r>
        <w:rPr>
          <w:rFonts w:ascii="Times New Roman" w:hAnsi="Times New Roman" w:eastAsia="宋体"/>
          <w:sz w:val="24"/>
        </w:rPr>
        <w:t>任务适用性确认：确认运营人获准夜间运行，机组具备夜间运行资格。</w:t>
      </w:r>
    </w:p>
    <w:p>
      <w:pPr>
        <w:pStyle w:val="ListBullet"/>
      </w:pPr>
      <w:r>
        <w:rPr>
          <w:rFonts w:ascii="Times New Roman" w:hAnsi="Times New Roman" w:eastAsia="宋体"/>
          <w:sz w:val="24"/>
        </w:rPr>
        <w:t>人员和设备要求：确认机组具备夜间运行训练和近期经历，航空器夜间运行设备完好。</w:t>
      </w:r>
    </w:p>
    <w:p>
      <w:pPr>
        <w:pStyle w:val="ListBullet"/>
      </w:pPr>
      <w:r>
        <w:rPr>
          <w:rFonts w:ascii="Times New Roman" w:hAnsi="Times New Roman" w:eastAsia="宋体"/>
          <w:sz w:val="24"/>
        </w:rPr>
        <w:t>任务前风险评估：评估照明/视觉条件、障碍物资料、天气趋势及备选方案。</w:t>
      </w:r>
    </w:p>
    <w:p>
      <w:pPr>
        <w:pStyle w:val="ListBullet"/>
      </w:pPr>
      <w:r>
        <w:rPr>
          <w:rFonts w:ascii="Times New Roman" w:hAnsi="Times New Roman" w:eastAsia="宋体"/>
          <w:sz w:val="24"/>
        </w:rPr>
        <w:t>机组职责和通信：明确夜间运行时的特殊通信和协调要求。</w:t>
      </w:r>
    </w:p>
    <w:p>
      <w:pPr>
        <w:pStyle w:val="ListBullet"/>
      </w:pPr>
      <w:r>
        <w:rPr>
          <w:rFonts w:ascii="Times New Roman" w:hAnsi="Times New Roman" w:eastAsia="宋体"/>
          <w:sz w:val="24"/>
        </w:rPr>
        <w:t>主要危险源：夜间迷向、障碍物可见性降低、目视参考不足等。</w:t>
      </w:r>
    </w:p>
    <w:p>
      <w:pPr>
        <w:pStyle w:val="ListBullet"/>
      </w:pPr>
      <w:r>
        <w:rPr>
          <w:rFonts w:ascii="Times New Roman" w:hAnsi="Times New Roman" w:eastAsia="宋体"/>
          <w:sz w:val="24"/>
        </w:rPr>
        <w:t>风险控制措施：确保导航设备可靠、备降场可用、天气条件满足夜间运行要求。</w:t>
      </w:r>
    </w:p>
    <w:p>
      <w:pPr>
        <w:pStyle w:val="ListBullet"/>
      </w:pPr>
      <w:r>
        <w:rPr>
          <w:rFonts w:ascii="Times New Roman" w:hAnsi="Times New Roman" w:eastAsia="宋体"/>
          <w:sz w:val="24"/>
        </w:rPr>
        <w:t>任务中止条件：天气恶化、设备故障影响夜间运行安全等。</w:t>
      </w:r>
    </w:p>
    <w:p>
      <w:pPr>
        <w:pStyle w:val="ListBullet"/>
      </w:pPr>
      <w:r>
        <w:rPr>
          <w:rFonts w:ascii="Times New Roman" w:hAnsi="Times New Roman" w:eastAsia="宋体"/>
          <w:sz w:val="24"/>
        </w:rPr>
        <w:t>地面保障和应急协调：确认夜间地面保障能力。</w:t>
      </w:r>
    </w:p>
    <w:p>
      <w:pPr>
        <w:pStyle w:val="ListBullet"/>
      </w:pPr>
      <w:r>
        <w:rPr>
          <w:rFonts w:ascii="Times New Roman" w:hAnsi="Times New Roman" w:eastAsia="宋体"/>
          <w:sz w:val="24"/>
        </w:rPr>
        <w:t>任务结束后的记录要求：记录夜间运行特殊情况。</w:t>
      </w:r>
    </w:p>
    <w:p>
      <w:pPr>
        <w:pStyle w:val="Heading2"/>
      </w:pPr>
      <w:r>
        <w:t>12.5 复杂地形运行</w:t>
      </w:r>
    </w:p>
    <w:p>
      <w:pPr>
        <w:ind w:firstLine="420"/>
      </w:pPr>
      <w:r>
        <w:rPr>
          <w:rFonts w:ascii="Times New Roman" w:hAnsi="Times New Roman" w:eastAsia="宋体"/>
          <w:sz w:val="24"/>
        </w:rPr>
        <w:t>复杂地形运行管理要点：</w:t>
      </w:r>
    </w:p>
    <w:p>
      <w:pPr>
        <w:pStyle w:val="ListBullet"/>
      </w:pPr>
      <w:r>
        <w:rPr>
          <w:rFonts w:ascii="Times New Roman" w:hAnsi="Times New Roman" w:eastAsia="宋体"/>
          <w:sz w:val="24"/>
        </w:rPr>
        <w:t>任务适用性确认：确认机组具备复杂地形运行训练和近期经历。</w:t>
      </w:r>
    </w:p>
    <w:p>
      <w:pPr>
        <w:pStyle w:val="ListBullet"/>
      </w:pPr>
      <w:r>
        <w:rPr>
          <w:rFonts w:ascii="Times New Roman" w:hAnsi="Times New Roman" w:eastAsia="宋体"/>
          <w:sz w:val="24"/>
        </w:rPr>
        <w:t>人员和设备要求：确认机组熟悉该区域地形特征和障碍物分布。</w:t>
      </w:r>
    </w:p>
    <w:p>
      <w:pPr>
        <w:pStyle w:val="ListBullet"/>
      </w:pPr>
      <w:r>
        <w:rPr>
          <w:rFonts w:ascii="Times New Roman" w:hAnsi="Times New Roman" w:eastAsia="宋体"/>
          <w:sz w:val="24"/>
        </w:rPr>
        <w:t>任务前风险评估：评估地形高度、山谷风效应、障碍物分布、可用着陆场地等。</w:t>
      </w:r>
    </w:p>
    <w:p>
      <w:pPr>
        <w:pStyle w:val="ListBullet"/>
      </w:pPr>
      <w:r>
        <w:rPr>
          <w:rFonts w:ascii="Times New Roman" w:hAnsi="Times New Roman" w:eastAsia="宋体"/>
          <w:sz w:val="24"/>
        </w:rPr>
        <w:t>机组职责和通信：明确复杂地形运行时的分工和通信要求。</w:t>
      </w:r>
    </w:p>
    <w:p>
      <w:pPr>
        <w:pStyle w:val="ListBullet"/>
      </w:pPr>
      <w:r>
        <w:rPr>
          <w:rFonts w:ascii="Times New Roman" w:hAnsi="Times New Roman" w:eastAsia="宋体"/>
          <w:sz w:val="24"/>
        </w:rPr>
        <w:t>主要危险源：地形障碍、局地气流、山地波、能见度降低等。</w:t>
      </w:r>
    </w:p>
    <w:p>
      <w:pPr>
        <w:pStyle w:val="ListBullet"/>
      </w:pPr>
      <w:r>
        <w:rPr>
          <w:rFonts w:ascii="Times New Roman" w:hAnsi="Times New Roman" w:eastAsia="宋体"/>
          <w:sz w:val="24"/>
        </w:rPr>
        <w:t>风险控制措施：保持安全高度和距离、规划应急着陆场地、避免进入不利地形区域。</w:t>
      </w:r>
    </w:p>
    <w:p>
      <w:pPr>
        <w:pStyle w:val="ListBullet"/>
      </w:pPr>
      <w:r>
        <w:rPr>
          <w:rFonts w:ascii="Times New Roman" w:hAnsi="Times New Roman" w:eastAsia="宋体"/>
          <w:sz w:val="24"/>
        </w:rPr>
        <w:t>任务中止条件：天气恶化、能见度降低、设备故障影响地形规避能力等。</w:t>
      </w:r>
    </w:p>
    <w:p>
      <w:pPr>
        <w:pStyle w:val="ListBullet"/>
      </w:pPr>
      <w:r>
        <w:rPr>
          <w:rFonts w:ascii="Times New Roman" w:hAnsi="Times New Roman" w:eastAsia="宋体"/>
          <w:sz w:val="24"/>
        </w:rPr>
        <w:t>地面保障和应急协调：确认地面搜救能力和应急联络方式。</w:t>
      </w:r>
    </w:p>
    <w:p>
      <w:pPr>
        <w:pStyle w:val="ListBullet"/>
      </w:pPr>
      <w:r>
        <w:rPr>
          <w:rFonts w:ascii="Times New Roman" w:hAnsi="Times New Roman" w:eastAsia="宋体"/>
          <w:sz w:val="24"/>
        </w:rPr>
        <w:t>任务结束后的记录要求：记录复杂地形运行特殊情况。</w:t>
      </w:r>
    </w:p>
    <w:p>
      <w:pPr>
        <w:pStyle w:val="Heading2"/>
      </w:pPr>
      <w:r>
        <w:t>12.6 外部吊挂和其他空中作业</w:t>
      </w:r>
    </w:p>
    <w:p>
      <w:pPr>
        <w:ind w:firstLine="420"/>
      </w:pPr>
      <w:r>
        <w:rPr>
          <w:rFonts w:ascii="Times New Roman" w:hAnsi="Times New Roman" w:eastAsia="宋体"/>
          <w:sz w:val="24"/>
        </w:rPr>
        <w:t>外部吊挂和其他空中作业管理要点：</w:t>
      </w:r>
    </w:p>
    <w:p>
      <w:pPr>
        <w:pStyle w:val="ListBullet"/>
      </w:pPr>
      <w:r>
        <w:rPr>
          <w:rFonts w:ascii="Times New Roman" w:hAnsi="Times New Roman" w:eastAsia="宋体"/>
          <w:sz w:val="24"/>
        </w:rPr>
        <w:t>任务适用性确认：确认航空器获准执行外部吊挂运行，绞车等设备经批准可用。</w:t>
      </w:r>
    </w:p>
    <w:p>
      <w:pPr>
        <w:pStyle w:val="ListBullet"/>
      </w:pPr>
      <w:r>
        <w:rPr>
          <w:rFonts w:ascii="Times New Roman" w:hAnsi="Times New Roman" w:eastAsia="宋体"/>
          <w:sz w:val="24"/>
        </w:rPr>
        <w:t>人员和设备要求：确认机组具备外部吊挂/空中作业训练和近期经历，设备经批准可用。</w:t>
      </w:r>
    </w:p>
    <w:p>
      <w:pPr>
        <w:pStyle w:val="ListBullet"/>
      </w:pPr>
      <w:r>
        <w:rPr>
          <w:rFonts w:ascii="Times New Roman" w:hAnsi="Times New Roman" w:eastAsia="宋体"/>
          <w:sz w:val="24"/>
        </w:rPr>
        <w:t>任务前风险评估：评估载荷连接与释放责任、通信方案、地面隔离区、设备批准状态、载荷变化、紧急抛弃政策及任务中止条件。</w:t>
      </w:r>
    </w:p>
    <w:p>
      <w:pPr>
        <w:pStyle w:val="ListBullet"/>
      </w:pPr>
      <w:r>
        <w:rPr>
          <w:rFonts w:ascii="Times New Roman" w:hAnsi="Times New Roman" w:eastAsia="宋体"/>
          <w:sz w:val="24"/>
        </w:rPr>
        <w:t>机组职责和通信：明确吊挂操作员与飞行机组的通信协议和职责分工。</w:t>
      </w:r>
    </w:p>
    <w:p>
      <w:pPr>
        <w:pStyle w:val="ListBullet"/>
      </w:pPr>
      <w:r>
        <w:rPr>
          <w:rFonts w:ascii="Times New Roman" w:hAnsi="Times New Roman" w:eastAsia="宋体"/>
          <w:sz w:val="24"/>
        </w:rPr>
        <w:t>主要危险源：载荷摆动、绳索断裂、地面人员暴露、通信中断等。</w:t>
      </w:r>
    </w:p>
    <w:p>
      <w:pPr>
        <w:pStyle w:val="ListBullet"/>
      </w:pPr>
      <w:r>
        <w:rPr>
          <w:rFonts w:ascii="Times New Roman" w:hAnsi="Times New Roman" w:eastAsia="宋体"/>
          <w:sz w:val="24"/>
        </w:rPr>
        <w:t>风险控制措施：建立地面隔离区、确保通信可靠、制定紧急抛弃程序。</w:t>
      </w:r>
    </w:p>
    <w:p>
      <w:pPr>
        <w:pStyle w:val="ListBullet"/>
      </w:pPr>
      <w:r>
        <w:rPr>
          <w:rFonts w:ascii="Times New Roman" w:hAnsi="Times New Roman" w:eastAsia="宋体"/>
          <w:sz w:val="24"/>
        </w:rPr>
        <w:t>任务中止条件：天气恶化、设备故障、载荷异常、地面人员安全受威胁等。</w:t>
      </w:r>
    </w:p>
    <w:p>
      <w:pPr>
        <w:pStyle w:val="ListBullet"/>
      </w:pPr>
      <w:r>
        <w:rPr>
          <w:rFonts w:ascii="Times New Roman" w:hAnsi="Times New Roman" w:eastAsia="宋体"/>
          <w:sz w:val="24"/>
        </w:rPr>
        <w:t>地面保障和应急协调：确认地面人员培训和应急程序。</w:t>
      </w:r>
    </w:p>
    <w:p>
      <w:pPr>
        <w:pStyle w:val="ListBullet"/>
      </w:pPr>
      <w:r>
        <w:rPr>
          <w:rFonts w:ascii="Times New Roman" w:hAnsi="Times New Roman" w:eastAsia="宋体"/>
          <w:sz w:val="24"/>
        </w:rPr>
        <w:t>任务结束后的记录要求：记录空中作业特殊情况、设备使用和任何异常事件。</w:t>
      </w:r>
    </w:p>
    <w:p>
      <w:pPr>
        <w:pStyle w:val="Heading2"/>
      </w:pPr>
      <w:r>
        <w:t>12.7 训练任务</w:t>
      </w:r>
    </w:p>
    <w:p>
      <w:pPr>
        <w:ind w:firstLine="420"/>
      </w:pPr>
      <w:r>
        <w:rPr>
          <w:rFonts w:ascii="Times New Roman" w:hAnsi="Times New Roman" w:eastAsia="宋体"/>
          <w:sz w:val="24"/>
        </w:rPr>
        <w:t>训练任务管理要点：</w:t>
      </w:r>
    </w:p>
    <w:p>
      <w:pPr>
        <w:pStyle w:val="ListBullet"/>
      </w:pPr>
      <w:r>
        <w:rPr>
          <w:rFonts w:ascii="Times New Roman" w:hAnsi="Times New Roman" w:eastAsia="宋体"/>
          <w:sz w:val="24"/>
        </w:rPr>
        <w:t>任务适用性确认：确认训练大纲经批准，训练场地和条件符合要求。</w:t>
      </w:r>
    </w:p>
    <w:p>
      <w:pPr>
        <w:pStyle w:val="ListBullet"/>
      </w:pPr>
      <w:r>
        <w:rPr>
          <w:rFonts w:ascii="Times New Roman" w:hAnsi="Times New Roman" w:eastAsia="宋体"/>
          <w:sz w:val="24"/>
        </w:rPr>
        <w:t>人员和设备要求：确认教员/学员资格、训练设备可用。</w:t>
      </w:r>
    </w:p>
    <w:p>
      <w:pPr>
        <w:pStyle w:val="ListBullet"/>
      </w:pPr>
      <w:r>
        <w:rPr>
          <w:rFonts w:ascii="Times New Roman" w:hAnsi="Times New Roman" w:eastAsia="宋体"/>
          <w:sz w:val="24"/>
        </w:rPr>
        <w:t>任务前风险评估：评估训练科目风险、备用方案、紧急处置程序。</w:t>
      </w:r>
    </w:p>
    <w:p>
      <w:pPr>
        <w:pStyle w:val="ListBullet"/>
      </w:pPr>
      <w:r>
        <w:rPr>
          <w:rFonts w:ascii="Times New Roman" w:hAnsi="Times New Roman" w:eastAsia="宋体"/>
          <w:sz w:val="24"/>
        </w:rPr>
        <w:t>机组职责和通信：明确教员/学员职责分工、接管/中止标准。</w:t>
      </w:r>
    </w:p>
    <w:p>
      <w:pPr>
        <w:pStyle w:val="ListBullet"/>
      </w:pPr>
      <w:r>
        <w:rPr>
          <w:rFonts w:ascii="Times New Roman" w:hAnsi="Times New Roman" w:eastAsia="宋体"/>
          <w:sz w:val="24"/>
        </w:rPr>
        <w:t>主要危险源：学员操作不熟练、训练科目风险、设备故障等。</w:t>
      </w:r>
    </w:p>
    <w:p>
      <w:pPr>
        <w:pStyle w:val="ListBullet"/>
      </w:pPr>
      <w:r>
        <w:rPr>
          <w:rFonts w:ascii="Times New Roman" w:hAnsi="Times New Roman" w:eastAsia="宋体"/>
          <w:sz w:val="24"/>
        </w:rPr>
        <w:t>风险控制措施：确保教员具备接管能力、训练区域安全、应急程序明确。</w:t>
      </w:r>
    </w:p>
    <w:p>
      <w:pPr>
        <w:pStyle w:val="ListBullet"/>
      </w:pPr>
      <w:r>
        <w:rPr>
          <w:rFonts w:ascii="Times New Roman" w:hAnsi="Times New Roman" w:eastAsia="宋体"/>
          <w:sz w:val="24"/>
        </w:rPr>
        <w:t>任务中止条件：学员表现不安全、设备故障、天气恶化等。</w:t>
      </w:r>
    </w:p>
    <w:p>
      <w:pPr>
        <w:pStyle w:val="ListBullet"/>
      </w:pPr>
      <w:r>
        <w:rPr>
          <w:rFonts w:ascii="Times New Roman" w:hAnsi="Times New Roman" w:eastAsia="宋体"/>
          <w:sz w:val="24"/>
        </w:rPr>
        <w:t>地面保障和应急协调：确认地面保障和应急联络方式。</w:t>
      </w:r>
    </w:p>
    <w:p>
      <w:pPr>
        <w:pStyle w:val="ListBullet"/>
      </w:pPr>
      <w:r>
        <w:rPr>
          <w:rFonts w:ascii="Times New Roman" w:hAnsi="Times New Roman" w:eastAsia="宋体"/>
          <w:sz w:val="24"/>
        </w:rPr>
        <w:t>任务结束后的记录要求：记录训练成绩、学员表现和任何异常事件。</w:t>
      </w:r>
    </w:p>
    <w:p>
      <w:pPr>
        <w:pStyle w:val="Heading2"/>
      </w:pPr>
      <w:r>
        <w:t>12.8 高工作负荷或时间敏感任务</w:t>
      </w:r>
    </w:p>
    <w:p>
      <w:pPr>
        <w:ind w:firstLine="420"/>
      </w:pPr>
      <w:r>
        <w:rPr>
          <w:rFonts w:ascii="Times New Roman" w:hAnsi="Times New Roman" w:eastAsia="宋体"/>
          <w:sz w:val="24"/>
        </w:rPr>
        <w:t>高工作负荷或时间敏感任务管理要点：</w:t>
      </w:r>
    </w:p>
    <w:p>
      <w:pPr>
        <w:pStyle w:val="ListBullet"/>
      </w:pPr>
      <w:r>
        <w:rPr>
          <w:rFonts w:ascii="Times New Roman" w:hAnsi="Times New Roman" w:eastAsia="宋体"/>
          <w:sz w:val="24"/>
        </w:rPr>
        <w:t>任务适用性确认：确认任务性质、机组能力和航空器状态适合高工作负荷运行。</w:t>
      </w:r>
    </w:p>
    <w:p>
      <w:pPr>
        <w:pStyle w:val="ListBullet"/>
      </w:pPr>
      <w:r>
        <w:rPr>
          <w:rFonts w:ascii="Times New Roman" w:hAnsi="Times New Roman" w:eastAsia="宋体"/>
          <w:sz w:val="24"/>
        </w:rPr>
        <w:t>人员和设备要求：确认机组具备执行高工作负荷任务的训练和能力。</w:t>
      </w:r>
    </w:p>
    <w:p>
      <w:pPr>
        <w:pStyle w:val="ListBullet"/>
      </w:pPr>
      <w:r>
        <w:rPr>
          <w:rFonts w:ascii="Times New Roman" w:hAnsi="Times New Roman" w:eastAsia="宋体"/>
          <w:sz w:val="24"/>
        </w:rPr>
        <w:t>任务前风险评估：评估时间压力、工作负荷分布、疲劳风险、备用方案。</w:t>
      </w:r>
    </w:p>
    <w:p>
      <w:pPr>
        <w:pStyle w:val="ListBullet"/>
      </w:pPr>
      <w:r>
        <w:rPr>
          <w:rFonts w:ascii="Times New Roman" w:hAnsi="Times New Roman" w:eastAsia="宋体"/>
          <w:sz w:val="24"/>
        </w:rPr>
        <w:t>机组职责和通信：明确分工、简化通信、避免不必要的对话。</w:t>
      </w:r>
    </w:p>
    <w:p>
      <w:pPr>
        <w:pStyle w:val="ListBullet"/>
      </w:pPr>
      <w:r>
        <w:rPr>
          <w:rFonts w:ascii="Times New Roman" w:hAnsi="Times New Roman" w:eastAsia="宋体"/>
          <w:sz w:val="24"/>
        </w:rPr>
        <w:t>主要危险源：工作负荷过高导致遗漏、时间压力导致决策仓促、疲劳影响表现等。</w:t>
      </w:r>
    </w:p>
    <w:p>
      <w:pPr>
        <w:pStyle w:val="ListBullet"/>
      </w:pPr>
      <w:r>
        <w:rPr>
          <w:rFonts w:ascii="Times New Roman" w:hAnsi="Times New Roman" w:eastAsia="宋体"/>
          <w:sz w:val="24"/>
        </w:rPr>
        <w:t>风险控制措施：合理分配工作负荷、必要时请求支援或推迟任务、确保休息充足。</w:t>
      </w:r>
    </w:p>
    <w:p>
      <w:pPr>
        <w:pStyle w:val="ListBullet"/>
      </w:pPr>
      <w:r>
        <w:rPr>
          <w:rFonts w:ascii="Times New Roman" w:hAnsi="Times New Roman" w:eastAsia="宋体"/>
          <w:sz w:val="24"/>
        </w:rPr>
        <w:t>任务中止条件：工作负荷超出能力、时间压力影响安全、人员疲劳严重等。</w:t>
      </w:r>
    </w:p>
    <w:p>
      <w:pPr>
        <w:pStyle w:val="ListBullet"/>
      </w:pPr>
      <w:r>
        <w:rPr>
          <w:rFonts w:ascii="Times New Roman" w:hAnsi="Times New Roman" w:eastAsia="宋体"/>
          <w:sz w:val="24"/>
        </w:rPr>
        <w:t>地面保障和应急协调：确认地面支持和应急联络方式。</w:t>
      </w:r>
    </w:p>
    <w:p>
      <w:pPr>
        <w:pStyle w:val="ListBullet"/>
      </w:pPr>
      <w:r>
        <w:rPr>
          <w:rFonts w:ascii="Times New Roman" w:hAnsi="Times New Roman" w:eastAsia="宋体"/>
          <w:sz w:val="24"/>
        </w:rPr>
        <w:t>任务结束后的记录要求：记录高工作负荷任务特殊情况、人员状态和任何异常事件。</w:t>
      </w:r>
    </w:p>
    <w:p>
      <w:pPr>
        <w:pStyle w:val="Heading1"/>
      </w:pPr>
      <w:r>
        <w:t>第十三章  飞行后工作</w:t>
      </w:r>
    </w:p>
    <w:p>
      <w:pPr>
        <w:ind w:firstLine="420"/>
      </w:pPr>
      <w:r>
        <w:rPr>
          <w:rFonts w:ascii="Times New Roman" w:hAnsi="Times New Roman" w:eastAsia="宋体"/>
          <w:sz w:val="24"/>
        </w:rPr>
        <w:t>飞行后工作是确保运行安全闭环管理的重要环节。机长应确保任务结束后完成所有必要的记录、报告和交接工作。</w:t>
      </w:r>
    </w:p>
    <w:p>
      <w:pPr>
        <w:pStyle w:val="Heading2"/>
      </w:pPr>
      <w:r>
        <w:t>13.1 飞行后工作内容</w:t>
      </w:r>
    </w:p>
    <w:p>
      <w:pPr>
        <w:ind w:firstLine="420"/>
      </w:pPr>
      <w:r>
        <w:rPr>
          <w:rFonts w:ascii="Times New Roman" w:hAnsi="Times New Roman" w:eastAsia="宋体"/>
          <w:sz w:val="24"/>
        </w:rPr>
        <w:t>飞行后工作应包括：</w:t>
      </w:r>
    </w:p>
    <w:p>
      <w:pPr>
        <w:pStyle w:val="ListBullet"/>
      </w:pPr>
      <w:r>
        <w:rPr>
          <w:rFonts w:ascii="Times New Roman" w:hAnsi="Times New Roman" w:eastAsia="宋体"/>
          <w:sz w:val="24"/>
        </w:rPr>
        <w:t>任务结束后的航空器状态确认：确认航空器停放安全、系统关闭正确、系留措施到位。</w:t>
      </w:r>
    </w:p>
    <w:p>
      <w:pPr>
        <w:pStyle w:val="ListBullet"/>
      </w:pPr>
      <w:r>
        <w:rPr>
          <w:rFonts w:ascii="Times New Roman" w:hAnsi="Times New Roman" w:eastAsia="宋体"/>
          <w:sz w:val="24"/>
        </w:rPr>
        <w:t>飞行和任务记录：按规定完成飞行日志、任务记录等文件。</w:t>
      </w:r>
    </w:p>
    <w:p>
      <w:pPr>
        <w:pStyle w:val="ListBullet"/>
      </w:pPr>
      <w:r>
        <w:rPr>
          <w:rFonts w:ascii="Times New Roman" w:hAnsi="Times New Roman" w:eastAsia="宋体"/>
          <w:sz w:val="24"/>
        </w:rPr>
        <w:t>缺陷、异常与危险源报告：记录飞行中发现的任何缺陷、异常情况和危险源。</w:t>
      </w:r>
    </w:p>
    <w:p>
      <w:pPr>
        <w:pStyle w:val="ListBullet"/>
      </w:pPr>
      <w:r>
        <w:rPr>
          <w:rFonts w:ascii="Times New Roman" w:hAnsi="Times New Roman" w:eastAsia="宋体"/>
          <w:sz w:val="24"/>
        </w:rPr>
        <w:t>维修交接：向维修人员交接航空器技术状态和任何需要关注的问题。</w:t>
      </w:r>
    </w:p>
    <w:p>
      <w:pPr>
        <w:pStyle w:val="ListBullet"/>
      </w:pPr>
      <w:r>
        <w:rPr>
          <w:rFonts w:ascii="Times New Roman" w:hAnsi="Times New Roman" w:eastAsia="宋体"/>
          <w:sz w:val="24"/>
        </w:rPr>
        <w:t>航空器后续运行状态的确认：确认航空器是否适合继续运行或需要停飞维修。</w:t>
      </w:r>
    </w:p>
    <w:p>
      <w:pPr>
        <w:pStyle w:val="ListBullet"/>
      </w:pPr>
      <w:r>
        <w:rPr>
          <w:rFonts w:ascii="Times New Roman" w:hAnsi="Times New Roman" w:eastAsia="宋体"/>
          <w:sz w:val="24"/>
        </w:rPr>
        <w:t>未结事项的责任分配：明确未解决问题的责任人、处理时限和跟踪机制。</w:t>
      </w:r>
    </w:p>
    <w:p>
      <w:pPr>
        <w:pStyle w:val="ListBullet"/>
      </w:pPr>
      <w:r>
        <w:rPr>
          <w:rFonts w:ascii="Times New Roman" w:hAnsi="Times New Roman" w:eastAsia="宋体"/>
          <w:sz w:val="24"/>
        </w:rPr>
        <w:t>任务复盘：回顾任务执行过程，识别改进机会。</w:t>
      </w:r>
    </w:p>
    <w:p>
      <w:pPr>
        <w:pStyle w:val="ListBullet"/>
      </w:pPr>
      <w:r>
        <w:rPr>
          <w:rFonts w:ascii="Times New Roman" w:hAnsi="Times New Roman" w:eastAsia="宋体"/>
          <w:sz w:val="24"/>
        </w:rPr>
        <w:t>安全管理系统信息反馈：将安全相关信息反馈到运营人 SMS。</w:t>
      </w:r>
    </w:p>
    <w:p>
      <w:pPr>
        <w:pStyle w:val="ListBullet"/>
      </w:pPr>
      <w:r>
        <w:rPr>
          <w:rFonts w:ascii="Times New Roman" w:hAnsi="Times New Roman" w:eastAsia="宋体"/>
          <w:sz w:val="24"/>
        </w:rPr>
        <w:t>经验教训的归档与改进：将经验教训归档，用于改进后续运行。</w:t>
      </w:r>
    </w:p>
    <w:p>
      <w:pPr>
        <w:pStyle w:val="Heading1"/>
      </w:pPr>
      <w:r>
        <w:t>第十四章  机长决策与人为因素</w:t>
      </w:r>
    </w:p>
    <w:p>
      <w:pPr>
        <w:ind w:firstLine="420"/>
      </w:pPr>
      <w:r>
        <w:rPr>
          <w:rFonts w:ascii="Times New Roman" w:hAnsi="Times New Roman" w:eastAsia="宋体"/>
          <w:sz w:val="24"/>
        </w:rPr>
        <w:t>人为因素是影响航空安全的重要因素。本章结合直升机运行的实际管理场景，说明各人为因素主题的意义，并提出非机型操纵性的预防措施。</w:t>
      </w:r>
    </w:p>
    <w:p>
      <w:pPr>
        <w:pStyle w:val="Heading2"/>
      </w:pPr>
      <w:r>
        <w:t>14.1 情境意识</w:t>
      </w:r>
    </w:p>
    <w:p>
      <w:pPr>
        <w:ind w:firstLine="420"/>
      </w:pPr>
      <w:r>
        <w:rPr>
          <w:rFonts w:ascii="Times New Roman" w:hAnsi="Times New Roman" w:eastAsia="宋体"/>
          <w:sz w:val="24"/>
        </w:rPr>
        <w:t>情境意识是指对飞行运行中各种因素的准确感知和理解。预防措施：持续监控飞行状态、环境条件和系统指示；定期交叉检查仪表数据；保持对任务进展和剩余资源的评估；避免任务固着导致的情境意识丧失。</w:t>
      </w:r>
    </w:p>
    <w:p>
      <w:pPr>
        <w:pStyle w:val="Heading2"/>
      </w:pPr>
      <w:r>
        <w:t>14.2 工作负荷管理</w:t>
      </w:r>
    </w:p>
    <w:p>
      <w:pPr>
        <w:ind w:firstLine="420"/>
      </w:pPr>
      <w:r>
        <w:rPr>
          <w:rFonts w:ascii="Times New Roman" w:hAnsi="Times New Roman" w:eastAsia="宋体"/>
          <w:sz w:val="24"/>
        </w:rPr>
        <w:t>工作负荷管理是指合理分配和管理工作任务以确保安全运行。预防措施：在高工作负荷阶段简化非关键任务；合理分配机组分工；必要时请求 ATC 或运行控制支援；避免在关键飞行阶段（如起飞、着陆）进行非必要对话。</w:t>
      </w:r>
    </w:p>
    <w:p>
      <w:pPr>
        <w:pStyle w:val="Heading2"/>
      </w:pPr>
      <w:r>
        <w:t>14.3 疲劳风险</w:t>
      </w:r>
    </w:p>
    <w:p>
      <w:pPr>
        <w:ind w:firstLine="420"/>
      </w:pPr>
      <w:r>
        <w:rPr>
          <w:rFonts w:ascii="Times New Roman" w:hAnsi="Times New Roman" w:eastAsia="宋体"/>
          <w:sz w:val="24"/>
        </w:rPr>
        <w:t>疲劳风险是指疲劳对飞行安全的影响。预防措施：遵守适用的飞行/值勤时间限制和休息要求；计划中考虑任务延误、夜间工作、长时间待命、连续任务和高工作负荷对人员表现的影响；鼓励及时报告疲劳和健康风险；避免以商业压力或同伴压力压制安全信息。</w:t>
      </w:r>
    </w:p>
    <w:p>
      <w:pPr>
        <w:pStyle w:val="Heading2"/>
      </w:pPr>
      <w:r>
        <w:t>14.4 机组资源管理（CRM）</w:t>
      </w:r>
    </w:p>
    <w:p>
      <w:pPr>
        <w:ind w:firstLine="420"/>
      </w:pPr>
      <w:r>
        <w:rPr>
          <w:rFonts w:ascii="Times New Roman" w:hAnsi="Times New Roman" w:eastAsia="宋体"/>
          <w:sz w:val="24"/>
        </w:rPr>
        <w:t>机组资源管理（CRM）是指有效利用所有可用资源（人员、信息、设备）以确保飞行安全。预防措施：建立开放的沟通文化；鼓励机组成员提出安全疑虑；明确职责分工和汇报路径；使用闭环沟通确认关键信息。</w:t>
      </w:r>
    </w:p>
    <w:p>
      <w:pPr>
        <w:pStyle w:val="Heading2"/>
      </w:pPr>
      <w:r>
        <w:t>14.5 沟通与闭环确认</w:t>
      </w:r>
    </w:p>
    <w:p>
      <w:pPr>
        <w:ind w:firstLine="420"/>
      </w:pPr>
      <w:r>
        <w:rPr>
          <w:rFonts w:ascii="Times New Roman" w:hAnsi="Times New Roman" w:eastAsia="宋体"/>
          <w:sz w:val="24"/>
        </w:rPr>
        <w:t>沟通与闭环确认是确保信息准确传递的基础。预防措施：使用标准术语和简洁语言；关键指令和数值必须复诵确认；对未确认的信息不得假设；重要信息应书面记录。</w:t>
      </w:r>
    </w:p>
    <w:p>
      <w:pPr>
        <w:pStyle w:val="Heading2"/>
      </w:pPr>
      <w:r>
        <w:t>14.6 权威梯度</w:t>
      </w:r>
    </w:p>
    <w:p>
      <w:pPr>
        <w:ind w:firstLine="420"/>
      </w:pPr>
      <w:r>
        <w:rPr>
          <w:rFonts w:ascii="Times New Roman" w:hAnsi="Times New Roman" w:eastAsia="宋体"/>
          <w:sz w:val="24"/>
        </w:rPr>
        <w:t>权威梯度是指机组成员因等级差异而不愿提出异议的现象。预防措施：机长应主动鼓励质疑和讨论；建立"挑战-回应"机制；淡化等级差异，强调安全优先；对提出安全疑虑的成员给予积极反馈。</w:t>
      </w:r>
    </w:p>
    <w:p>
      <w:pPr>
        <w:pStyle w:val="Heading2"/>
      </w:pPr>
      <w:r>
        <w:t>14.7 计划固着</w:t>
      </w:r>
    </w:p>
    <w:p>
      <w:pPr>
        <w:ind w:firstLine="420"/>
      </w:pPr>
      <w:r>
        <w:rPr>
          <w:rFonts w:ascii="Times New Roman" w:hAnsi="Times New Roman" w:eastAsia="宋体"/>
          <w:sz w:val="24"/>
        </w:rPr>
        <w:t>计划固着是指因已投入准备或已向客户承诺而不愿改变计划的现象。预防措施：建立"安全优先"的文化；定期重新评估任务可行性；设定明确的终止标准；允许无惩罚的任务取消。</w:t>
      </w:r>
    </w:p>
    <w:p>
      <w:pPr>
        <w:pStyle w:val="Heading2"/>
      </w:pPr>
      <w:r>
        <w:t>14.8 正常化偏差</w:t>
      </w:r>
    </w:p>
    <w:p>
      <w:pPr>
        <w:ind w:firstLine="420"/>
      </w:pPr>
      <w:r>
        <w:rPr>
          <w:rFonts w:ascii="Times New Roman" w:hAnsi="Times New Roman" w:eastAsia="宋体"/>
          <w:sz w:val="24"/>
        </w:rPr>
        <w:t>正常化偏差是指将过去侥幸完成的不安全做法视为可接受的现象。预防措施：建立安全报告文化；定期开展安全培训；对近失事件进行分析学习；不因过去未发生事故就认为做法安全。</w:t>
      </w:r>
    </w:p>
    <w:p>
      <w:pPr>
        <w:pStyle w:val="Heading2"/>
      </w:pPr>
      <w:r>
        <w:t>14.9 时间压力和商业压力</w:t>
      </w:r>
    </w:p>
    <w:p>
      <w:pPr>
        <w:ind w:firstLine="420"/>
      </w:pPr>
      <w:r>
        <w:rPr>
          <w:rFonts w:ascii="Times New Roman" w:hAnsi="Times New Roman" w:eastAsia="宋体"/>
          <w:sz w:val="24"/>
        </w:rPr>
        <w:t>时间压力和商业压力是影响安全决策的重要因素。预防措施：在任务计划中预留安全裕度时间；明确机长拥有最终安全决策权；建立不受惩罚的任务取消机制；运营人管理层应明确支持安全优先的政策。</w:t>
      </w:r>
    </w:p>
    <w:p>
      <w:pPr>
        <w:pStyle w:val="Heading2"/>
      </w:pPr>
      <w:r>
        <w:t>14.10 安全文化与主动报告</w:t>
      </w:r>
    </w:p>
    <w:p>
      <w:pPr>
        <w:ind w:firstLine="420"/>
      </w:pPr>
      <w:r>
        <w:rPr>
          <w:rFonts w:ascii="Times New Roman" w:hAnsi="Times New Roman" w:eastAsia="宋体"/>
          <w:sz w:val="24"/>
        </w:rPr>
        <w:t>安全文化是运营人对待安全问题的整体态度和价值观。预防措施：建立非惩罚性安全报告文化；鼓励主动报告安全隐患和近失事件；定期分析安全数据并采取措施；将安全绩效纳入运营人考核体系；确保管理层对安全的公开承诺。</w:t>
      </w:r>
    </w:p>
    <w:p>
      <w:r>
        <w:br w:type="page"/>
      </w:r>
    </w:p>
    <w:p>
      <w:pPr>
        <w:pStyle w:val="Heading1"/>
      </w:pPr>
      <w:r>
        <w:t>附录A：任务接受表</w:t>
      </w:r>
    </w:p>
    <w:p>
      <w:r>
        <w:rPr>
          <w:rFonts w:ascii="Times New Roman" w:hAnsi="Times New Roman" w:eastAsia="宋体"/>
          <w:i/>
          <w:sz w:val="20"/>
        </w:rPr>
        <w:t>（本表为管理参考用途，不替代正式任务授权文件）</w:t>
      </w:r>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1"/>
              </w:rPr>
              <w:t>字段</w:t>
            </w:r>
          </w:p>
        </w:tc>
        <w:tc>
          <w:tcPr>
            <w:tcW w:type="dxa" w:w="5669"/>
          </w:tcPr>
          <w:p>
            <w:r>
              <w:rPr>
                <w:rFonts w:ascii="Times New Roman" w:hAnsi="Times New Roman" w:eastAsia="黑体"/>
                <w:b/>
                <w:sz w:val="21"/>
              </w:rPr>
              <w:t>内容</w:t>
            </w:r>
          </w:p>
        </w:tc>
      </w:tr>
      <w:tr>
        <w:tc>
          <w:tcPr>
            <w:tcW w:type="dxa" w:w="2551"/>
          </w:tcPr>
          <w:p>
            <w:r>
              <w:rPr>
                <w:rFonts w:ascii="Times New Roman" w:hAnsi="Times New Roman" w:eastAsia="黑体"/>
                <w:b/>
                <w:sz w:val="21"/>
              </w:rPr>
              <w:t>日期及任务编号</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任务目的</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航空器识别信息</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机组与人员资格</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任务授权</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天气和航行资料</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风险评估结果</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备选方案</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未决事项</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最终决定</w:t>
            </w:r>
          </w:p>
        </w:tc>
        <w:tc>
          <w:tcPr>
            <w:tcW w:type="dxa" w:w="5669"/>
          </w:tcPr>
          <w:p>
            <w:r>
              <w:rPr>
                <w:rFonts w:ascii="Times New Roman" w:hAnsi="Times New Roman" w:eastAsia="宋体"/>
                <w:sz w:val="21"/>
              </w:rPr>
            </w:r>
          </w:p>
        </w:tc>
      </w:tr>
    </w:tbl>
    <w:p>
      <w:r>
        <w:br w:type="page"/>
      </w:r>
    </w:p>
    <w:p>
      <w:pPr>
        <w:pStyle w:val="Heading1"/>
      </w:pPr>
      <w:r>
        <w:t>附录B：机长任务简报表</w:t>
      </w:r>
    </w:p>
    <w:p>
      <w:r>
        <w:rPr>
          <w:rFonts w:ascii="Times New Roman" w:hAnsi="Times New Roman" w:eastAsia="宋体"/>
          <w:i/>
          <w:sz w:val="20"/>
        </w:rPr>
        <w:t>（本表为管理参考用途，不替代正式机组简报记录）</w:t>
      </w:r>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1"/>
              </w:rPr>
              <w:t>项目</w:t>
            </w:r>
          </w:p>
        </w:tc>
        <w:tc>
          <w:tcPr>
            <w:tcW w:type="dxa" w:w="5669"/>
          </w:tcPr>
          <w:p>
            <w:r>
              <w:rPr>
                <w:rFonts w:ascii="Times New Roman" w:hAnsi="Times New Roman" w:eastAsia="黑体"/>
                <w:b/>
                <w:sz w:val="21"/>
              </w:rPr>
              <w:t>内容</w:t>
            </w:r>
          </w:p>
        </w:tc>
      </w:tr>
      <w:tr>
        <w:tc>
          <w:tcPr>
            <w:tcW w:type="dxa" w:w="2551"/>
          </w:tcPr>
          <w:p>
            <w:r>
              <w:rPr>
                <w:rFonts w:ascii="Times New Roman" w:hAnsi="Times New Roman" w:eastAsia="黑体"/>
                <w:b/>
                <w:sz w:val="21"/>
              </w:rPr>
              <w:t>任务目标</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机组分工</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天气与环境</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航路和空域</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载荷与性能文件</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主要危险源</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风险控制措施</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通信方式</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任务终止条件</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应急协调</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参与人员确认</w:t>
            </w:r>
          </w:p>
        </w:tc>
        <w:tc>
          <w:tcPr>
            <w:tcW w:type="dxa" w:w="5669"/>
          </w:tcPr>
          <w:p>
            <w:r>
              <w:rPr>
                <w:rFonts w:ascii="Times New Roman" w:hAnsi="Times New Roman" w:eastAsia="宋体"/>
                <w:sz w:val="21"/>
              </w:rPr>
            </w:r>
          </w:p>
        </w:tc>
      </w:tr>
    </w:tbl>
    <w:p>
      <w:r>
        <w:br w:type="page"/>
      </w:r>
    </w:p>
    <w:p>
      <w:pPr>
        <w:pStyle w:val="Heading1"/>
      </w:pPr>
      <w:r>
        <w:t>附录C：风险评估表</w:t>
      </w:r>
    </w:p>
    <w:p>
      <w:r>
        <w:rPr>
          <w:rFonts w:ascii="Times New Roman" w:hAnsi="Times New Roman" w:eastAsia="宋体"/>
          <w:i/>
          <w:sz w:val="20"/>
        </w:rPr>
        <w:t>（本表为管理参考用途，风险评估方法应使用运营人 SMS 认可的方法）</w:t>
      </w:r>
    </w:p>
    <w:tbl>
      <w:tblPr>
        <w:tblStyle w:val="TableGrid"/>
        <w:tblW w:type="auto" w:w="0"/>
        <w:jc w:val="center"/>
        <w:tblLook w:firstColumn="1" w:firstRow="1" w:lastColumn="0" w:lastRow="0" w:noHBand="0" w:noVBand="1" w:val="04A0"/>
      </w:tblPr>
      <w:tblGrid>
        <w:gridCol w:w="1186"/>
        <w:gridCol w:w="1186"/>
        <w:gridCol w:w="1186"/>
        <w:gridCol w:w="1186"/>
        <w:gridCol w:w="1186"/>
        <w:gridCol w:w="1186"/>
        <w:gridCol w:w="1186"/>
      </w:tblGrid>
      <w:tr>
        <w:tc>
          <w:tcPr>
            <w:tcW w:type="dxa" w:w="1186"/>
          </w:tcPr>
          <w:p>
            <w:pPr>
              <w:jc w:val="center"/>
            </w:pPr>
            <w:r>
              <w:rPr>
                <w:rFonts w:ascii="Times New Roman" w:hAnsi="Times New Roman" w:eastAsia="黑体"/>
                <w:b/>
                <w:sz w:val="18"/>
              </w:rPr>
              <w:t>危险源</w:t>
            </w:r>
          </w:p>
        </w:tc>
        <w:tc>
          <w:tcPr>
            <w:tcW w:type="dxa" w:w="1186"/>
          </w:tcPr>
          <w:p>
            <w:pPr>
              <w:jc w:val="center"/>
            </w:pPr>
            <w:r>
              <w:rPr>
                <w:rFonts w:ascii="Times New Roman" w:hAnsi="Times New Roman" w:eastAsia="黑体"/>
                <w:b/>
                <w:sz w:val="18"/>
              </w:rPr>
              <w:t>可能后果</w:t>
            </w:r>
          </w:p>
        </w:tc>
        <w:tc>
          <w:tcPr>
            <w:tcW w:type="dxa" w:w="1186"/>
          </w:tcPr>
          <w:p>
            <w:pPr>
              <w:jc w:val="center"/>
            </w:pPr>
            <w:r>
              <w:rPr>
                <w:rFonts w:ascii="Times New Roman" w:hAnsi="Times New Roman" w:eastAsia="黑体"/>
                <w:b/>
                <w:sz w:val="18"/>
              </w:rPr>
              <w:t>初始风险</w:t>
            </w:r>
          </w:p>
        </w:tc>
        <w:tc>
          <w:tcPr>
            <w:tcW w:type="dxa" w:w="1186"/>
          </w:tcPr>
          <w:p>
            <w:pPr>
              <w:jc w:val="center"/>
            </w:pPr>
            <w:r>
              <w:rPr>
                <w:rFonts w:ascii="Times New Roman" w:hAnsi="Times New Roman" w:eastAsia="黑体"/>
                <w:b/>
                <w:sz w:val="18"/>
              </w:rPr>
              <w:t>现有防护</w:t>
            </w:r>
          </w:p>
        </w:tc>
        <w:tc>
          <w:tcPr>
            <w:tcW w:type="dxa" w:w="1186"/>
          </w:tcPr>
          <w:p>
            <w:pPr>
              <w:jc w:val="center"/>
            </w:pPr>
            <w:r>
              <w:rPr>
                <w:rFonts w:ascii="Times New Roman" w:hAnsi="Times New Roman" w:eastAsia="黑体"/>
                <w:b/>
                <w:sz w:val="18"/>
              </w:rPr>
              <w:t>补充措施</w:t>
            </w:r>
          </w:p>
        </w:tc>
        <w:tc>
          <w:tcPr>
            <w:tcW w:type="dxa" w:w="1186"/>
          </w:tcPr>
          <w:p>
            <w:pPr>
              <w:jc w:val="center"/>
            </w:pPr>
            <w:r>
              <w:rPr>
                <w:rFonts w:ascii="Times New Roman" w:hAnsi="Times New Roman" w:eastAsia="黑体"/>
                <w:b/>
                <w:sz w:val="18"/>
              </w:rPr>
              <w:t>剩余风险</w:t>
            </w:r>
          </w:p>
        </w:tc>
        <w:tc>
          <w:tcPr>
            <w:tcW w:type="dxa" w:w="1186"/>
          </w:tcPr>
          <w:p>
            <w:pPr>
              <w:jc w:val="center"/>
            </w:pPr>
            <w:r>
              <w:rPr>
                <w:rFonts w:ascii="Times New Roman" w:hAnsi="Times New Roman" w:eastAsia="黑体"/>
                <w:b/>
                <w:sz w:val="18"/>
              </w:rPr>
              <w:t>责任人/复核时点</w:t>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bl>
    <w:p>
      <w:r>
        <w:br w:type="page"/>
      </w:r>
    </w:p>
    <w:p>
      <w:pPr>
        <w:pStyle w:val="Heading1"/>
      </w:pPr>
      <w:r>
        <w:t>附录D：航空器文件核验表</w:t>
      </w:r>
    </w:p>
    <w:p>
      <w:r>
        <w:rPr>
          <w:rFonts w:ascii="Times New Roman" w:hAnsi="Times New Roman" w:eastAsia="宋体"/>
          <w:i/>
          <w:sz w:val="20"/>
        </w:rPr>
        <w:t>（本表为管理参考用途，不替代正式放行程序）</w:t>
      </w:r>
    </w:p>
    <w:tbl>
      <w:tblPr>
        <w:tblStyle w:val="TableGrid"/>
        <w:tblW w:type="auto" w:w="0"/>
        <w:jc w:val="center"/>
        <w:tblLook w:firstColumn="1" w:firstRow="1" w:lastColumn="0" w:lastRow="0" w:noHBand="0" w:noVBand="1" w:val="04A0"/>
      </w:tblPr>
      <w:tblGrid>
        <w:gridCol w:w="2767"/>
        <w:gridCol w:w="2767"/>
        <w:gridCol w:w="2767"/>
      </w:tblGrid>
      <w:tr>
        <w:tc>
          <w:tcPr>
            <w:tcW w:type="dxa" w:w="2835"/>
          </w:tcPr>
          <w:p>
            <w:r>
              <w:rPr>
                <w:rFonts w:ascii="Times New Roman" w:hAnsi="Times New Roman" w:eastAsia="黑体"/>
                <w:b/>
                <w:sz w:val="21"/>
              </w:rPr>
              <w:t>核验项目</w:t>
            </w:r>
          </w:p>
        </w:tc>
        <w:tc>
          <w:tcPr>
            <w:tcW w:type="dxa" w:w="1984"/>
          </w:tcPr>
          <w:p>
            <w:r>
              <w:rPr>
                <w:rFonts w:ascii="Times New Roman" w:hAnsi="Times New Roman" w:eastAsia="黑体"/>
                <w:b/>
                <w:sz w:val="21"/>
              </w:rPr>
              <w:t>状态</w:t>
            </w:r>
          </w:p>
        </w:tc>
        <w:tc>
          <w:tcPr>
            <w:tcW w:type="dxa" w:w="2835"/>
          </w:tcPr>
          <w:p>
            <w:r>
              <w:rPr>
                <w:rFonts w:ascii="Times New Roman" w:hAnsi="Times New Roman" w:eastAsia="黑体"/>
                <w:b/>
                <w:sz w:val="21"/>
              </w:rPr>
              <w:t>备注</w:t>
            </w:r>
          </w:p>
        </w:tc>
      </w:tr>
      <w:tr>
        <w:tc>
          <w:tcPr>
            <w:tcW w:type="dxa" w:w="2835"/>
          </w:tcPr>
          <w:p>
            <w:r>
              <w:rPr>
                <w:rFonts w:ascii="Times New Roman" w:hAnsi="Times New Roman" w:eastAsia="黑体"/>
                <w:b/>
                <w:sz w:val="21"/>
              </w:rPr>
              <w:t>飞行手册版本</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检查单版本</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维修放行状态</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技术记录</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未结缺陷</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MEL 适用性</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改装及补充文件</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构型差异</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核验人员</w:t>
            </w:r>
          </w:p>
        </w:tc>
        <w:tc>
          <w:tcPr>
            <w:tcW w:type="dxa" w:w="1984"/>
          </w:tcPr>
          <w:p>
            <w:r>
              <w:rPr>
                <w:sz w:val="21"/>
              </w:rPr>
            </w:r>
          </w:p>
        </w:tc>
        <w:tc>
          <w:tcPr>
            <w:tcW w:type="dxa" w:w="2835"/>
          </w:tcPr>
          <w:p>
            <w:r>
              <w:rPr>
                <w:sz w:val="21"/>
              </w:rPr>
            </w:r>
          </w:p>
        </w:tc>
      </w:tr>
      <w:tr>
        <w:tc>
          <w:tcPr>
            <w:tcW w:type="dxa" w:w="2835"/>
          </w:tcPr>
          <w:p>
            <w:r>
              <w:rPr>
                <w:rFonts w:ascii="Times New Roman" w:hAnsi="Times New Roman" w:eastAsia="黑体"/>
                <w:b/>
                <w:sz w:val="21"/>
              </w:rPr>
              <w:t>核验时间</w:t>
            </w:r>
          </w:p>
        </w:tc>
        <w:tc>
          <w:tcPr>
            <w:tcW w:type="dxa" w:w="1984"/>
          </w:tcPr>
          <w:p>
            <w:r>
              <w:rPr>
                <w:sz w:val="21"/>
              </w:rPr>
            </w:r>
          </w:p>
        </w:tc>
        <w:tc>
          <w:tcPr>
            <w:tcW w:type="dxa" w:w="2835"/>
          </w:tcPr>
          <w:p>
            <w:r>
              <w:rPr>
                <w:sz w:val="21"/>
              </w:rPr>
            </w:r>
          </w:p>
        </w:tc>
      </w:tr>
    </w:tbl>
    <w:p>
      <w:r>
        <w:br w:type="page"/>
      </w:r>
    </w:p>
    <w:p>
      <w:pPr>
        <w:pStyle w:val="Heading1"/>
      </w:pPr>
      <w:r>
        <w:t>附录E：运行阶段管理表</w:t>
      </w:r>
    </w:p>
    <w:p>
      <w:r>
        <w:rPr>
          <w:rFonts w:ascii="Times New Roman" w:hAnsi="Times New Roman" w:eastAsia="宋体"/>
          <w:i/>
          <w:sz w:val="20"/>
        </w:rPr>
        <w:t>（本表为管理参考用途，不得冒充正式飞行操纵检查单）</w:t>
      </w:r>
    </w:p>
    <w:tbl>
      <w:tblPr>
        <w:tblStyle w:val="TableGrid"/>
        <w:tblW w:type="auto" w:w="0"/>
        <w:jc w:val="center"/>
        <w:tblLook w:firstColumn="1" w:firstRow="1" w:lastColumn="0" w:lastRow="0" w:noHBand="0" w:noVBand="1" w:val="04A0"/>
      </w:tblPr>
      <w:tblGrid>
        <w:gridCol w:w="1186"/>
        <w:gridCol w:w="1186"/>
        <w:gridCol w:w="1186"/>
        <w:gridCol w:w="1186"/>
        <w:gridCol w:w="1186"/>
        <w:gridCol w:w="1186"/>
        <w:gridCol w:w="1186"/>
      </w:tblGrid>
      <w:tr>
        <w:tc>
          <w:tcPr>
            <w:tcW w:type="dxa" w:w="1186"/>
          </w:tcPr>
          <w:p>
            <w:r>
              <w:rPr>
                <w:rFonts w:ascii="Times New Roman" w:hAnsi="Times New Roman" w:eastAsia="黑体"/>
                <w:b/>
                <w:sz w:val="18"/>
              </w:rPr>
              <w:t>运行阶段</w:t>
            </w:r>
          </w:p>
        </w:tc>
        <w:tc>
          <w:tcPr>
            <w:tcW w:type="dxa" w:w="1186"/>
          </w:tcPr>
          <w:p>
            <w:r>
              <w:rPr>
                <w:rFonts w:ascii="Times New Roman" w:hAnsi="Times New Roman" w:eastAsia="黑体"/>
                <w:b/>
                <w:sz w:val="18"/>
              </w:rPr>
              <w:t>管理目标</w:t>
            </w:r>
          </w:p>
        </w:tc>
        <w:tc>
          <w:tcPr>
            <w:tcW w:type="dxa" w:w="1186"/>
          </w:tcPr>
          <w:p>
            <w:r>
              <w:rPr>
                <w:rFonts w:ascii="Times New Roman" w:hAnsi="Times New Roman" w:eastAsia="黑体"/>
                <w:b/>
                <w:sz w:val="18"/>
              </w:rPr>
              <w:t>需要核验的项目</w:t>
            </w:r>
          </w:p>
        </w:tc>
        <w:tc>
          <w:tcPr>
            <w:tcW w:type="dxa" w:w="1186"/>
          </w:tcPr>
          <w:p>
            <w:r>
              <w:rPr>
                <w:rFonts w:ascii="Times New Roman" w:hAnsi="Times New Roman" w:eastAsia="黑体"/>
                <w:b/>
                <w:sz w:val="18"/>
              </w:rPr>
              <w:t>责任岗位</w:t>
            </w:r>
          </w:p>
        </w:tc>
        <w:tc>
          <w:tcPr>
            <w:tcW w:type="dxa" w:w="1186"/>
          </w:tcPr>
          <w:p>
            <w:r>
              <w:rPr>
                <w:rFonts w:ascii="Times New Roman" w:hAnsi="Times New Roman" w:eastAsia="黑体"/>
                <w:b/>
                <w:sz w:val="18"/>
              </w:rPr>
              <w:t>依据文件</w:t>
            </w:r>
          </w:p>
        </w:tc>
        <w:tc>
          <w:tcPr>
            <w:tcW w:type="dxa" w:w="1186"/>
          </w:tcPr>
          <w:p>
            <w:r>
              <w:rPr>
                <w:rFonts w:ascii="Times New Roman" w:hAnsi="Times New Roman" w:eastAsia="黑体"/>
                <w:b/>
                <w:sz w:val="18"/>
              </w:rPr>
              <w:t>完成状态</w:t>
            </w:r>
          </w:p>
        </w:tc>
        <w:tc>
          <w:tcPr>
            <w:tcW w:type="dxa" w:w="1186"/>
          </w:tcPr>
          <w:p>
            <w:r>
              <w:rPr>
                <w:rFonts w:ascii="Times New Roman" w:hAnsi="Times New Roman" w:eastAsia="黑体"/>
                <w:b/>
                <w:sz w:val="18"/>
              </w:rPr>
              <w:t>未解决问题/后续行动</w:t>
            </w:r>
          </w:p>
        </w:tc>
      </w:tr>
      <w:tr>
        <w:tc>
          <w:tcPr>
            <w:tcW w:type="dxa" w:w="1186"/>
          </w:tcPr>
          <w:p>
            <w:r>
              <w:rPr>
                <w:rFonts w:ascii="Times New Roman" w:hAnsi="Times New Roman" w:eastAsia="黑体"/>
                <w:b/>
                <w:sz w:val="18"/>
              </w:rPr>
              <w:t>任务接受</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飞行前准备</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地面阶段</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起飞前</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飞行中</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进场着陆</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r>
        <w:tc>
          <w:tcPr>
            <w:tcW w:type="dxa" w:w="1186"/>
          </w:tcPr>
          <w:p>
            <w:r>
              <w:rPr>
                <w:rFonts w:ascii="Times New Roman" w:hAnsi="Times New Roman" w:eastAsia="黑体"/>
                <w:b/>
                <w:sz w:val="18"/>
              </w:rPr>
              <w:t>飞行后</w:t>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c>
          <w:tcPr>
            <w:tcW w:type="dxa" w:w="1186"/>
          </w:tcPr>
          <w:p>
            <w:r>
              <w:rPr>
                <w:rFonts w:ascii="Times New Roman" w:hAnsi="Times New Roman" w:eastAsia="宋体"/>
                <w:sz w:val="18"/>
              </w:rPr>
            </w:r>
          </w:p>
        </w:tc>
      </w:tr>
    </w:tbl>
    <w:p>
      <w:r>
        <w:br w:type="page"/>
      </w:r>
    </w:p>
    <w:p>
      <w:pPr>
        <w:pStyle w:val="Heading1"/>
      </w:pPr>
      <w:r>
        <w:t>附录F：异常事件报告表</w:t>
      </w:r>
    </w:p>
    <w:p>
      <w:r>
        <w:rPr>
          <w:rFonts w:ascii="Times New Roman" w:hAnsi="Times New Roman" w:eastAsia="宋体"/>
          <w:i/>
          <w:sz w:val="20"/>
        </w:rPr>
        <w:t>（本表为管理参考用途，正式事件报告应使用运营人规定的格式）</w:t>
      </w:r>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1"/>
              </w:rPr>
              <w:t>字段</w:t>
            </w:r>
          </w:p>
        </w:tc>
        <w:tc>
          <w:tcPr>
            <w:tcW w:type="dxa" w:w="5669"/>
          </w:tcPr>
          <w:p>
            <w:r>
              <w:rPr>
                <w:rFonts w:ascii="Times New Roman" w:hAnsi="Times New Roman" w:eastAsia="黑体"/>
                <w:b/>
                <w:sz w:val="21"/>
              </w:rPr>
              <w:t>内容</w:t>
            </w:r>
          </w:p>
        </w:tc>
      </w:tr>
      <w:tr>
        <w:tc>
          <w:tcPr>
            <w:tcW w:type="dxa" w:w="2551"/>
          </w:tcPr>
          <w:p>
            <w:r>
              <w:rPr>
                <w:rFonts w:ascii="Times New Roman" w:hAnsi="Times New Roman" w:eastAsia="黑体"/>
                <w:b/>
                <w:sz w:val="21"/>
              </w:rPr>
              <w:t>事件日期和时间</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航空器识别信息</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任务阶段</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环境条件</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事件经过</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已采取的措施</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通知对象</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航空器当前状态</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后续检查与处理</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报告人和审核人</w:t>
            </w:r>
          </w:p>
        </w:tc>
        <w:tc>
          <w:tcPr>
            <w:tcW w:type="dxa" w:w="5669"/>
          </w:tcPr>
          <w:p>
            <w:r>
              <w:rPr>
                <w:rFonts w:ascii="Times New Roman" w:hAnsi="Times New Roman" w:eastAsia="宋体"/>
                <w:sz w:val="21"/>
              </w:rPr>
            </w:r>
          </w:p>
        </w:tc>
      </w:tr>
    </w:tbl>
    <w:p>
      <w:r>
        <w:br w:type="page"/>
      </w:r>
    </w:p>
    <w:p>
      <w:pPr>
        <w:pStyle w:val="Heading1"/>
      </w:pPr>
      <w:r>
        <w:t>附录G：飞行后复盘表</w:t>
      </w:r>
    </w:p>
    <w:p>
      <w:r>
        <w:rPr>
          <w:rFonts w:ascii="Times New Roman" w:hAnsi="Times New Roman" w:eastAsia="宋体"/>
          <w:i/>
          <w:sz w:val="20"/>
        </w:rPr>
        <w:t>（本表为管理参考用途）</w:t>
      </w:r>
    </w:p>
    <w:tbl>
      <w:tblPr>
        <w:tblStyle w:val="TableGrid"/>
        <w:tblW w:type="auto" w:w="0"/>
        <w:jc w:val="center"/>
        <w:tblLook w:firstColumn="1" w:firstRow="1" w:lastColumn="0" w:lastRow="0" w:noHBand="0" w:noVBand="1" w:val="04A0"/>
      </w:tblPr>
      <w:tblGrid>
        <w:gridCol w:w="4150"/>
        <w:gridCol w:w="4150"/>
      </w:tblGrid>
      <w:tr>
        <w:tc>
          <w:tcPr>
            <w:tcW w:type="dxa" w:w="2551"/>
          </w:tcPr>
          <w:p>
            <w:r>
              <w:rPr>
                <w:rFonts w:ascii="Times New Roman" w:hAnsi="Times New Roman" w:eastAsia="黑体"/>
                <w:b/>
                <w:sz w:val="21"/>
              </w:rPr>
              <w:t>项目</w:t>
            </w:r>
          </w:p>
        </w:tc>
        <w:tc>
          <w:tcPr>
            <w:tcW w:type="dxa" w:w="5669"/>
          </w:tcPr>
          <w:p>
            <w:r>
              <w:rPr>
                <w:rFonts w:ascii="Times New Roman" w:hAnsi="Times New Roman" w:eastAsia="黑体"/>
                <w:b/>
                <w:sz w:val="21"/>
              </w:rPr>
              <w:t>内容</w:t>
            </w:r>
          </w:p>
        </w:tc>
      </w:tr>
      <w:tr>
        <w:tc>
          <w:tcPr>
            <w:tcW w:type="dxa" w:w="2551"/>
          </w:tcPr>
          <w:p>
            <w:r>
              <w:rPr>
                <w:rFonts w:ascii="Times New Roman" w:hAnsi="Times New Roman" w:eastAsia="黑体"/>
                <w:b/>
                <w:sz w:val="21"/>
              </w:rPr>
              <w:t>计划与实际情况的差异</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风险控制措施的有效性</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机组协作情况</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航空器及任务设备问题</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发生的延误或任务变更</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经验教训</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后续改进事项</w:t>
            </w:r>
          </w:p>
        </w:tc>
        <w:tc>
          <w:tcPr>
            <w:tcW w:type="dxa" w:w="5669"/>
          </w:tcPr>
          <w:p>
            <w:r>
              <w:rPr>
                <w:rFonts w:ascii="Times New Roman" w:hAnsi="Times New Roman" w:eastAsia="宋体"/>
                <w:sz w:val="21"/>
              </w:rPr>
            </w:r>
          </w:p>
        </w:tc>
      </w:tr>
      <w:tr>
        <w:tc>
          <w:tcPr>
            <w:tcW w:type="dxa" w:w="2551"/>
          </w:tcPr>
          <w:p>
            <w:r>
              <w:rPr>
                <w:rFonts w:ascii="Times New Roman" w:hAnsi="Times New Roman" w:eastAsia="黑体"/>
                <w:b/>
                <w:sz w:val="21"/>
              </w:rPr>
              <w:t>责任人和完成时限</w:t>
            </w:r>
          </w:p>
        </w:tc>
        <w:tc>
          <w:tcPr>
            <w:tcW w:type="dxa" w:w="5669"/>
          </w:tcPr>
          <w:p>
            <w:r>
              <w:rPr>
                <w:rFonts w:ascii="Times New Roman" w:hAnsi="Times New Roman" w:eastAsia="宋体"/>
                <w:sz w:val="21"/>
              </w:rPr>
            </w:r>
          </w:p>
        </w:tc>
      </w:tr>
    </w:tbl>
    <w:p>
      <w:r>
        <w:br w:type="page"/>
      </w:r>
    </w:p>
    <w:p>
      <w:pPr>
        <w:pStyle w:val="Heading1"/>
      </w:pPr>
      <w:r>
        <w:t>附录H：参考资料清单</w:t>
      </w:r>
    </w:p>
    <w:p>
      <w:r>
        <w:rPr>
          <w:rFonts w:ascii="Times New Roman" w:hAnsi="Times New Roman" w:eastAsia="宋体"/>
          <w:sz w:val="20"/>
        </w:rPr>
        <w:t>（以下为用于文件定位和初步核验的参考资料入口，不能据此认定某份文件适用于所有 S-76B 航空器。正式发布前须由使用单位核实每份资料的现行有效性、适用性和版本状态。）</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3118"/>
          </w:tcPr>
          <w:p>
            <w:r>
              <w:rPr>
                <w:rFonts w:ascii="Times New Roman" w:hAnsi="Times New Roman" w:eastAsia="黑体"/>
                <w:b/>
                <w:sz w:val="21"/>
              </w:rPr>
              <w:t>文件标题</w:t>
            </w:r>
          </w:p>
        </w:tc>
        <w:tc>
          <w:tcPr>
            <w:tcW w:type="dxa" w:w="1984"/>
          </w:tcPr>
          <w:p>
            <w:r>
              <w:rPr>
                <w:rFonts w:ascii="Times New Roman" w:hAnsi="Times New Roman" w:eastAsia="黑体"/>
                <w:b/>
                <w:sz w:val="21"/>
              </w:rPr>
              <w:t>发布机构</w:t>
            </w:r>
          </w:p>
        </w:tc>
        <w:tc>
          <w:tcPr>
            <w:tcW w:type="dxa" w:w="2268"/>
          </w:tcPr>
          <w:p>
            <w:r>
              <w:rPr>
                <w:rFonts w:ascii="Times New Roman" w:hAnsi="Times New Roman" w:eastAsia="黑体"/>
                <w:b/>
                <w:sz w:val="21"/>
              </w:rPr>
              <w:t>文件编号/来源</w:t>
            </w:r>
          </w:p>
        </w:tc>
        <w:tc>
          <w:tcPr>
            <w:tcW w:type="dxa" w:w="1984"/>
          </w:tcPr>
          <w:p>
            <w:r>
              <w:rPr>
                <w:rFonts w:ascii="Times New Roman" w:hAnsi="Times New Roman" w:eastAsia="黑体"/>
                <w:b/>
                <w:sz w:val="21"/>
              </w:rPr>
              <w:t>核验日期/使用限制</w:t>
            </w:r>
          </w:p>
        </w:tc>
      </w:tr>
      <w:tr>
        <w:tc>
          <w:tcPr>
            <w:tcW w:type="dxa" w:w="3118"/>
          </w:tcPr>
          <w:p>
            <w:r>
              <w:rPr>
                <w:rFonts w:ascii="Times New Roman" w:hAnsi="Times New Roman" w:eastAsia="宋体"/>
                <w:sz w:val="21"/>
              </w:rPr>
              <w:t>FAA Type Certificate Data Sheet H1NE</w:t>
            </w:r>
          </w:p>
        </w:tc>
        <w:tc>
          <w:tcPr>
            <w:tcW w:type="dxa" w:w="1984"/>
          </w:tcPr>
          <w:p>
            <w:r>
              <w:rPr>
                <w:rFonts w:ascii="Times New Roman" w:hAnsi="Times New Roman" w:eastAsia="宋体"/>
                <w:sz w:val="21"/>
              </w:rPr>
              <w:t>FAA</w:t>
            </w:r>
          </w:p>
        </w:tc>
        <w:tc>
          <w:tcPr>
            <w:tcW w:type="dxa" w:w="2268"/>
          </w:tcPr>
          <w:p>
            <w:r>
              <w:rPr>
                <w:rFonts w:ascii="Times New Roman" w:hAnsi="Times New Roman" w:eastAsia="宋体"/>
                <w:sz w:val="21"/>
              </w:rPr>
              <w:t>TCDS H1NE</w:t>
            </w:r>
          </w:p>
        </w:tc>
        <w:tc>
          <w:tcPr>
            <w:tcW w:type="dxa" w:w="1984"/>
          </w:tcPr>
          <w:p>
            <w:r>
              <w:rPr>
                <w:rFonts w:ascii="Times New Roman" w:hAnsi="Times New Roman" w:eastAsia="宋体"/>
                <w:sz w:val="21"/>
              </w:rPr>
              <w:t>待运营人核验适用版本</w:t>
            </w:r>
          </w:p>
        </w:tc>
      </w:tr>
      <w:tr>
        <w:tc>
          <w:tcPr>
            <w:tcW w:type="dxa" w:w="3118"/>
          </w:tcPr>
          <w:p>
            <w:r>
              <w:rPr>
                <w:rFonts w:ascii="Times New Roman" w:hAnsi="Times New Roman" w:eastAsia="宋体"/>
                <w:sz w:val="21"/>
              </w:rPr>
              <w:t>Type Acceptance Report - Sikorsky S-76 Series</w:t>
            </w:r>
          </w:p>
        </w:tc>
        <w:tc>
          <w:tcPr>
            <w:tcW w:type="dxa" w:w="1984"/>
          </w:tcPr>
          <w:p>
            <w:r>
              <w:rPr>
                <w:rFonts w:ascii="Times New Roman" w:hAnsi="Times New Roman" w:eastAsia="宋体"/>
                <w:sz w:val="21"/>
              </w:rPr>
              <w:t>New Zealand CAA</w:t>
            </w:r>
          </w:p>
        </w:tc>
        <w:tc>
          <w:tcPr>
            <w:tcW w:type="dxa" w:w="2268"/>
          </w:tcPr>
          <w:p>
            <w:r>
              <w:rPr>
                <w:rFonts w:ascii="Times New Roman" w:hAnsi="Times New Roman" w:eastAsia="宋体"/>
                <w:sz w:val="21"/>
              </w:rPr>
              <w:t>TAR 97/07 Rev.2</w:t>
            </w:r>
          </w:p>
        </w:tc>
        <w:tc>
          <w:tcPr>
            <w:tcW w:type="dxa" w:w="1984"/>
          </w:tcPr>
          <w:p>
            <w:r>
              <w:rPr>
                <w:rFonts w:ascii="Times New Roman" w:hAnsi="Times New Roman" w:eastAsia="宋体"/>
                <w:sz w:val="21"/>
              </w:rPr>
              <w:t>待核验适用性</w:t>
            </w:r>
          </w:p>
        </w:tc>
      </w:tr>
      <w:tr>
        <w:tc>
          <w:tcPr>
            <w:tcW w:type="dxa" w:w="3118"/>
          </w:tcPr>
          <w:p>
            <w:r>
              <w:rPr>
                <w:rFonts w:ascii="Times New Roman" w:hAnsi="Times New Roman" w:eastAsia="宋体"/>
                <w:sz w:val="21"/>
              </w:rPr>
              <w:t>EASA Type Certificate Data Sheet</w:t>
            </w:r>
          </w:p>
        </w:tc>
        <w:tc>
          <w:tcPr>
            <w:tcW w:type="dxa" w:w="1984"/>
          </w:tcPr>
          <w:p>
            <w:r>
              <w:rPr>
                <w:rFonts w:ascii="Times New Roman" w:hAnsi="Times New Roman" w:eastAsia="宋体"/>
                <w:sz w:val="21"/>
              </w:rPr>
              <w:t>EASA</w:t>
            </w:r>
          </w:p>
        </w:tc>
        <w:tc>
          <w:tcPr>
            <w:tcW w:type="dxa" w:w="2268"/>
          </w:tcPr>
          <w:p>
            <w:r>
              <w:rPr>
                <w:rFonts w:ascii="Times New Roman" w:hAnsi="Times New Roman" w:eastAsia="宋体"/>
                <w:sz w:val="21"/>
              </w:rPr>
              <w:t>EASA.IM.R.113</w:t>
            </w:r>
          </w:p>
        </w:tc>
        <w:tc>
          <w:tcPr>
            <w:tcW w:type="dxa" w:w="1984"/>
          </w:tcPr>
          <w:p>
            <w:r>
              <w:rPr>
                <w:rFonts w:ascii="Times New Roman" w:hAnsi="Times New Roman" w:eastAsia="宋体"/>
                <w:sz w:val="21"/>
              </w:rPr>
              <w:t>待核验适用版本</w:t>
            </w:r>
          </w:p>
        </w:tc>
      </w:tr>
      <w:tr>
        <w:tc>
          <w:tcPr>
            <w:tcW w:type="dxa" w:w="3118"/>
          </w:tcPr>
          <w:p>
            <w:r>
              <w:rPr>
                <w:rFonts w:ascii="Times New Roman" w:hAnsi="Times New Roman" w:eastAsia="宋体"/>
                <w:sz w:val="21"/>
              </w:rPr>
              <w:t>FAA Rotorcraft Flight Manual - Sikorsky Model S-76B</w:t>
            </w:r>
          </w:p>
        </w:tc>
        <w:tc>
          <w:tcPr>
            <w:tcW w:type="dxa" w:w="1984"/>
          </w:tcPr>
          <w:p>
            <w:r>
              <w:rPr>
                <w:rFonts w:ascii="Times New Roman" w:hAnsi="Times New Roman" w:eastAsia="宋体"/>
                <w:sz w:val="21"/>
              </w:rPr>
              <w:t>Sikorsky/FAA</w:t>
            </w:r>
          </w:p>
        </w:tc>
        <w:tc>
          <w:tcPr>
            <w:tcW w:type="dxa" w:w="2268"/>
          </w:tcPr>
          <w:p>
            <w:r>
              <w:rPr>
                <w:rFonts w:ascii="Times New Roman" w:hAnsi="Times New Roman" w:eastAsia="宋体"/>
                <w:sz w:val="21"/>
              </w:rPr>
              <w:t>Publication SA 4047-76B-1</w:t>
            </w:r>
          </w:p>
        </w:tc>
        <w:tc>
          <w:tcPr>
            <w:tcW w:type="dxa" w:w="1984"/>
          </w:tcPr>
          <w:p>
            <w:r>
              <w:rPr>
                <w:rFonts w:ascii="Times New Roman" w:hAnsi="Times New Roman" w:eastAsia="宋体"/>
                <w:sz w:val="21"/>
              </w:rPr>
              <w:t>待运营人核验适用版本</w:t>
            </w:r>
          </w:p>
        </w:tc>
      </w:tr>
      <w:tr>
        <w:tc>
          <w:tcPr>
            <w:tcW w:type="dxa" w:w="3118"/>
          </w:tcPr>
          <w:p>
            <w:r>
              <w:rPr>
                <w:rFonts w:ascii="Times New Roman" w:hAnsi="Times New Roman" w:eastAsia="宋体"/>
                <w:sz w:val="21"/>
              </w:rPr>
              <w:t>S-76B Maintenance Manual</w:t>
            </w:r>
          </w:p>
        </w:tc>
        <w:tc>
          <w:tcPr>
            <w:tcW w:type="dxa" w:w="1984"/>
          </w:tcPr>
          <w:p>
            <w:r>
              <w:rPr>
                <w:rFonts w:ascii="Times New Roman" w:hAnsi="Times New Roman" w:eastAsia="宋体"/>
                <w:sz w:val="21"/>
              </w:rPr>
              <w:t>Sikorsky</w:t>
            </w:r>
          </w:p>
        </w:tc>
        <w:tc>
          <w:tcPr>
            <w:tcW w:type="dxa" w:w="2268"/>
          </w:tcPr>
          <w:p>
            <w:r>
              <w:rPr>
                <w:rFonts w:ascii="Times New Roman" w:hAnsi="Times New Roman" w:eastAsia="宋体"/>
                <w:sz w:val="21"/>
              </w:rPr>
              <w:t>Publication SA 4047-76B-2</w:t>
            </w:r>
          </w:p>
        </w:tc>
        <w:tc>
          <w:tcPr>
            <w:tcW w:type="dxa" w:w="1984"/>
          </w:tcPr>
          <w:p>
            <w:r>
              <w:rPr>
                <w:rFonts w:ascii="Times New Roman" w:hAnsi="Times New Roman" w:eastAsia="宋体"/>
                <w:sz w:val="21"/>
              </w:rPr>
              <w:t>待运营人核验适用版本</w:t>
            </w:r>
          </w:p>
        </w:tc>
      </w:tr>
      <w:tr>
        <w:tc>
          <w:tcPr>
            <w:tcW w:type="dxa" w:w="3118"/>
          </w:tcPr>
          <w:p>
            <w:r>
              <w:rPr>
                <w:rFonts w:ascii="Times New Roman" w:hAnsi="Times New Roman" w:eastAsia="宋体"/>
                <w:sz w:val="21"/>
              </w:rPr>
              <w:t>S-76B Illustrated Parts Catalogue</w:t>
            </w:r>
          </w:p>
        </w:tc>
        <w:tc>
          <w:tcPr>
            <w:tcW w:type="dxa" w:w="1984"/>
          </w:tcPr>
          <w:p>
            <w:r>
              <w:rPr>
                <w:rFonts w:ascii="Times New Roman" w:hAnsi="Times New Roman" w:eastAsia="宋体"/>
                <w:sz w:val="21"/>
              </w:rPr>
              <w:t>Sikorsky</w:t>
            </w:r>
          </w:p>
        </w:tc>
        <w:tc>
          <w:tcPr>
            <w:tcW w:type="dxa" w:w="2268"/>
          </w:tcPr>
          <w:p>
            <w:r>
              <w:rPr>
                <w:rFonts w:ascii="Times New Roman" w:hAnsi="Times New Roman" w:eastAsia="宋体"/>
                <w:sz w:val="21"/>
              </w:rPr>
              <w:t>Publication SA 4047-76B-4</w:t>
            </w:r>
          </w:p>
        </w:tc>
        <w:tc>
          <w:tcPr>
            <w:tcW w:type="dxa" w:w="1984"/>
          </w:tcPr>
          <w:p>
            <w:r>
              <w:rPr>
                <w:rFonts w:ascii="Times New Roman" w:hAnsi="Times New Roman" w:eastAsia="宋体"/>
                <w:sz w:val="21"/>
              </w:rPr>
              <w:t>待运营人核验适用版本</w:t>
            </w:r>
          </w:p>
        </w:tc>
      </w:tr>
      <w:tr>
        <w:tc>
          <w:tcPr>
            <w:tcW w:type="dxa" w:w="3118"/>
          </w:tcPr>
          <w:p>
            <w:r>
              <w:rPr>
                <w:rFonts w:ascii="Times New Roman" w:hAnsi="Times New Roman" w:eastAsia="宋体"/>
                <w:sz w:val="21"/>
              </w:rPr>
              <w:t>S-76B Airworthiness Limitations</w:t>
            </w:r>
          </w:p>
        </w:tc>
        <w:tc>
          <w:tcPr>
            <w:tcW w:type="dxa" w:w="1984"/>
          </w:tcPr>
          <w:p>
            <w:r>
              <w:rPr>
                <w:rFonts w:ascii="Times New Roman" w:hAnsi="Times New Roman" w:eastAsia="宋体"/>
                <w:sz w:val="21"/>
              </w:rPr>
              <w:t>Sikorsky</w:t>
            </w:r>
          </w:p>
        </w:tc>
        <w:tc>
          <w:tcPr>
            <w:tcW w:type="dxa" w:w="2268"/>
          </w:tcPr>
          <w:p>
            <w:r>
              <w:rPr>
                <w:rFonts w:ascii="Times New Roman" w:hAnsi="Times New Roman" w:eastAsia="宋体"/>
                <w:sz w:val="21"/>
              </w:rPr>
              <w:t>SA 4047-76B-2-1</w:t>
            </w:r>
          </w:p>
        </w:tc>
        <w:tc>
          <w:tcPr>
            <w:tcW w:type="dxa" w:w="1984"/>
          </w:tcPr>
          <w:p>
            <w:r>
              <w:rPr>
                <w:rFonts w:ascii="Times New Roman" w:hAnsi="Times New Roman" w:eastAsia="宋体"/>
                <w:sz w:val="21"/>
              </w:rPr>
              <w:t>待运营人核验适用版本</w:t>
            </w:r>
          </w:p>
        </w:tc>
      </w:tr>
    </w:tbl>
    <w:p>
      <w:r>
        <w:br w:type="page"/>
      </w:r>
    </w:p>
    <w:p>
      <w:pPr>
        <w:pStyle w:val="Heading1"/>
      </w:pPr>
      <w:r>
        <w:t>修订记录表</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417"/>
          </w:tcPr>
          <w:p>
            <w:r>
              <w:rPr>
                <w:rFonts w:ascii="Times New Roman" w:hAnsi="Times New Roman" w:eastAsia="黑体"/>
                <w:b/>
                <w:sz w:val="21"/>
              </w:rPr>
              <w:t>修订编号</w:t>
            </w:r>
          </w:p>
        </w:tc>
        <w:tc>
          <w:tcPr>
            <w:tcW w:type="dxa" w:w="1417"/>
          </w:tcPr>
          <w:p>
            <w:r>
              <w:rPr>
                <w:rFonts w:ascii="Times New Roman" w:hAnsi="Times New Roman" w:eastAsia="黑体"/>
                <w:b/>
                <w:sz w:val="21"/>
              </w:rPr>
              <w:t>修订日期</w:t>
            </w:r>
          </w:p>
        </w:tc>
        <w:tc>
          <w:tcPr>
            <w:tcW w:type="dxa" w:w="2835"/>
          </w:tcPr>
          <w:p>
            <w:r>
              <w:rPr>
                <w:rFonts w:ascii="Times New Roman" w:hAnsi="Times New Roman" w:eastAsia="黑体"/>
                <w:b/>
                <w:sz w:val="21"/>
              </w:rPr>
              <w:t>修订内容摘要</w:t>
            </w:r>
          </w:p>
        </w:tc>
        <w:tc>
          <w:tcPr>
            <w:tcW w:type="dxa" w:w="1417"/>
          </w:tcPr>
          <w:p>
            <w:r>
              <w:rPr>
                <w:rFonts w:ascii="Times New Roman" w:hAnsi="Times New Roman" w:eastAsia="黑体"/>
                <w:b/>
                <w:sz w:val="21"/>
              </w:rPr>
              <w:t>修订人</w:t>
            </w:r>
          </w:p>
        </w:tc>
        <w:tc>
          <w:tcPr>
            <w:tcW w:type="dxa" w:w="1417"/>
          </w:tcPr>
          <w:p>
            <w:r>
              <w:rPr>
                <w:rFonts w:ascii="Times New Roman" w:hAnsi="Times New Roman" w:eastAsia="黑体"/>
                <w:b/>
                <w:sz w:val="21"/>
              </w:rPr>
              <w:t>审核人</w:t>
            </w:r>
          </w:p>
        </w:tc>
      </w:tr>
      <w:tr>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2835"/>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r>
      <w:tr>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2835"/>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r>
      <w:tr>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2835"/>
          </w:tcPr>
          <w:p>
            <w:r>
              <w:rPr>
                <w:rFonts w:ascii="Times New Roman" w:hAnsi="Times New Roman" w:eastAsia="宋体"/>
                <w:sz w:val="21"/>
              </w:rPr>
            </w:r>
          </w:p>
        </w:tc>
        <w:tc>
          <w:tcPr>
            <w:tcW w:type="dxa" w:w="1417"/>
          </w:tcPr>
          <w:p>
            <w:r>
              <w:rPr>
                <w:rFonts w:ascii="Times New Roman" w:hAnsi="Times New Roman" w:eastAsia="宋体"/>
                <w:sz w:val="21"/>
              </w:rPr>
            </w:r>
          </w:p>
        </w:tc>
        <w:tc>
          <w:tcPr>
            <w:tcW w:type="dxa" w:w="1417"/>
          </w:tcPr>
          <w:p>
            <w:r>
              <w:rPr>
                <w:rFonts w:ascii="Times New Roman" w:hAnsi="Times New Roman" w:eastAsia="宋体"/>
                <w:sz w:val="21"/>
              </w:rPr>
            </w:r>
          </w:p>
        </w:tc>
      </w:tr>
    </w:tbl>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第 </w:t>
    </w:r>
    <w:r>
      <w:fldChar w:fldCharType="begin"/>
    </w:r>
    <w:r>
      <w:instrText xml:space="preserve"> PAGE </w:instrText>
    </w:r>
    <w:r>
      <w:fldChar w:fldCharType="end"/>
    </w:r>
    <w:r>
      <w:rPr>
        <w:rFonts w:ascii="Times New Roman" w:hAnsi="Times New Roman"/>
        <w:sz w:val="18"/>
      </w:rPr>
      <w:t xml:space="preserve"> 页 / 共 </w:t>
    </w:r>
    <w:r>
      <w:fldChar w:fldCharType="begin"/>
    </w:r>
    <w:r>
      <w:instrText xml:space="preserve"> NUMPAGES </w:instrText>
    </w:r>
    <w:r>
      <w:fldChar w:fldCharType="end"/>
    </w:r>
    <w:r>
      <w:rPr>
        <w:rFonts w:ascii="Times New Roman" w:hAnsi="Times New Roman"/>
        <w:sz w:val="18"/>
      </w:rPr>
      <w:t xml:space="preserve"> 页</w:t>
    </w:r>
  </w:p>
  <w:p>
    <w:pPr>
      <w:jc w:val="center"/>
    </w:pPr>
    <w:r>
      <w:rPr>
        <w:rFonts w:ascii="Times New Roman" w:hAnsi="Times New Roman" w:eastAsia="宋体"/>
        <w:sz w:val="16"/>
      </w:rPr>
      <w:t>【非受控文件 / 参考资料 / 待运营人审查】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eastAsia="宋体"/>
        <w:sz w:val="18"/>
      </w:rPr>
      <w:t>西科斯基 Sikorsky S-76B 直升机机长手册</w:t>
    </w:r>
    <w:r>
      <w:rPr>
        <w:rFonts w:ascii="Times New Roman" w:hAnsi="Times New Roman"/>
        <w:sz w:val="18"/>
      </w:rPr>
      <w:t xml:space="preserve">  |  </w:t>
    </w:r>
    <w:r>
      <w:rPr>
        <w:rFonts w:ascii="Times New Roman" w:hAnsi="Times New Roman" w:eastAsia="宋体"/>
        <w:sz w:val="18"/>
      </w:rPr>
      <w:t>版本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60" w:after="6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