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白酒行业上市公司财务对比分析</w:t>
      </w:r>
    </w:p>
    <w:p>
      <w:pPr>
        <w:spacing w:after="60"/>
        <w:jc w:val="center"/>
      </w:pPr>
      <w:r>
        <w:rPr>
          <w:rFonts w:ascii="Arial" w:eastAsia="Microsoft YaHei" w:hAnsi="Arial"/>
          <w:color w:val="595959"/>
          <w:sz w:val="20"/>
          <w:szCs w:val="20"/>
        </w:rPr>
        <w:t xml:space="preserve">贵州茅台（600519）· 五粮液（000858）· 泸州老窖（000568）｜2015—2024 年报数据</w:t>
      </w:r>
    </w:p>
    <w:p>
      <w:pPr>
        <w:pBdr>
          <w:bottom w:val="single" w:color="1F3864" w:sz="6" w:space="4"/>
        </w:pBdr>
        <w:spacing w:after="240"/>
      </w:pPr>
    </w:p>
    <w:p>
      <w:pPr>
        <w:pStyle w:val="Heading2"/>
        <w:spacing w:after="60" w:before="160"/>
      </w:pPr>
      <w:r>
        <w:rPr>
          <w:rFonts w:ascii="Arial" w:eastAsia="Microsoft YaHei" w:hAnsi="Arial"/>
          <w:b/>
          <w:bCs/>
          <w:sz w:val="25"/>
          <w:szCs w:val="25"/>
        </w:rPr>
        <w:t xml:space="preserve">一、核心结论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1. 盈利能力：茅台稳居第一，老窖改善幅度最大。 </w:t>
      </w:r>
      <w:r>
        <w:rPr>
          <w:rFonts w:ascii="Arial" w:eastAsia="Microsoft YaHei" w:hAnsi="Arial"/>
          <w:sz w:val="20"/>
          <w:szCs w:val="20"/>
        </w:rPr>
        <w:t xml:space="preserve">2024 年三家净利率分别为 49.52%、35.72%、43.19%。九年间茅台仅提升 3.17 个百分点，泸州老窖则从 21.34% 升至 43.19%，提升 21.85 个百分点，并于 2020 年反超五粮液。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2. 成长性：行业由普涨转为分化，增速中枢持续下移。 </w:t>
      </w:r>
      <w:r>
        <w:rPr>
          <w:rFonts w:ascii="Arial" w:eastAsia="Microsoft YaHei" w:hAnsi="Arial"/>
          <w:sz w:val="20"/>
          <w:szCs w:val="20"/>
        </w:rPr>
        <w:t xml:space="preserve">2017 年茅台营收增速达 52.07%，是行业复苏的高点；2024 年三家增速已降至 15.66%、7.09%、3.19%。增量市场结束，存量竞争下的品牌力差异被放大。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3. 股东回报：茅台 ROE 领先且稳定，五粮液资产效率是短板。 </w:t>
      </w:r>
      <w:r>
        <w:rPr>
          <w:rFonts w:ascii="Arial" w:eastAsia="Microsoft YaHei" w:hAnsi="Arial"/>
          <w:sz w:val="20"/>
          <w:szCs w:val="20"/>
        </w:rPr>
        <w:t xml:space="preserve">2024 年 ROE 为 38.43%、24.24%、30.35%。杜邦分解显示茅台的领先来自“高净利率 + 高周转”的经营效率，而非加杠杆；五粮液三项因子均不占优。</w:t>
      </w:r>
    </w:p>
    <w:p>
      <w:pPr>
        <w:pStyle w:val="Heading2"/>
        <w:spacing w:after="60" w:before="160"/>
      </w:pPr>
      <w:r>
        <w:rPr>
          <w:rFonts w:ascii="Arial" w:eastAsia="Microsoft YaHei" w:hAnsi="Arial"/>
          <w:b/>
          <w:bCs/>
          <w:sz w:val="25"/>
          <w:szCs w:val="25"/>
        </w:rPr>
        <w:t xml:space="preserve">二、分析说明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数据取自新浪财经公开财报接口（akshare），覆盖三家公司 2015—2024 年年报，共 30 个年度观测值。净利率 = 归母净利润 ÷ 营业总收入；ROE = 归母净利润 ÷ 平均归母股东权益（期初与期末均值）；总资产周转率 = 营业总收入 ÷ 总资产；权益乘数 = 总资产 ÷ 归母权益。选择十年窗口，是为避开 2013—2014 年行业深度调整期对趋势判断的干扰。</w:t>
      </w:r>
    </w:p>
    <w:p>
      <w:pPr>
        <w:spacing w:after="60" w:before="40"/>
        <w:jc w:val="center"/>
      </w:pPr>
      <w:r>
        <w:rPr>
          <w:rFonts w:ascii="Arial" w:eastAsia="Microsoft YaHei" w:hAnsi="Arial"/>
          <w:color w:val="595959"/>
          <w:sz w:val="18"/>
          <w:szCs w:val="18"/>
        </w:rPr>
        <w:t xml:space="preserve">表 1　2024 年三家白酒企业核心指标对比（金额单位：亿元）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600"/>
        <w:gridCol w:w="1300"/>
        <w:gridCol w:w="1300"/>
        <w:gridCol w:w="1826"/>
      </w:tblGrid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公司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营业收入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归母净利润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净利率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营收增速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ROE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贵州茅台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1741.44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862.28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49.52%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15.66%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38.43%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五粮液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891.75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318.53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35.72%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7.09%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24.24%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泸州老窖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311.96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134.73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43.19%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3.19%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30.35%</w:t>
            </w:r>
          </w:p>
        </w:tc>
      </w:tr>
    </w:tbl>
    <w:p>
      <w:pPr>
        <w:spacing w:after="0"/>
      </w:pP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样本概况：</w:t>
      </w:r>
      <w:r>
        <w:rPr>
          <w:rFonts w:ascii="Arial" w:eastAsia="Microsoft YaHei" w:hAnsi="Arial"/>
          <w:sz w:val="20"/>
          <w:szCs w:val="20"/>
        </w:rPr>
        <w:t xml:space="preserve">三家公司均为高端白酒代表企业，2024 年合计实现营业收入 2,945.15 亿元、归母净利润 1,315.54 亿元，合计净利率 44.67%，在 A 股食品饮料板块中体量与盈利水平均居前列。三者分别代表酱香型龙头、浓香型龙头与高端浓香次龙头，产品结构、渠道模式与区域布局差异明显，具备横向可比性。</w:t>
      </w:r>
    </w:p>
    <w:p>
      <w:pPr>
        <w:pStyle w:val="Heading2"/>
        <w:pageBreakBefore/>
        <w:spacing w:after="60" w:before="160"/>
      </w:pPr>
      <w:r>
        <w:rPr>
          <w:rFonts w:ascii="Arial" w:eastAsia="Microsoft YaHei" w:hAnsi="Arial"/>
          <w:b/>
          <w:bCs/>
          <w:sz w:val="25"/>
          <w:szCs w:val="25"/>
        </w:rPr>
        <w:t xml:space="preserve">三、盈利能力：净利率对比</w:t>
      </w:r>
    </w:p>
    <w:p>
      <w:pPr>
        <w:spacing w:after="0"/>
        <w:jc w:val="center"/>
      </w:pPr>
      <w:r>
        <w:drawing>
          <wp:inline distT="0" distB="0" distL="0" distR="0">
            <wp:extent cx="3714750" cy="1771650"/>
            <wp:effectExtent t="0" r="0" b="0" l="0"/>
            <wp:docPr id="1" name="图1_净利率对比.png" descr="财务对比图" title="图1_净利率对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rFonts w:ascii="Arial" w:eastAsia="Microsoft YaHei" w:hAnsi="Arial"/>
          <w:color w:val="595959"/>
          <w:sz w:val="18"/>
          <w:szCs w:val="18"/>
        </w:rPr>
        <w:t xml:space="preserve">图 1　三家白酒企业净利率对比（2015—2024）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数据呈现：</w:t>
      </w:r>
      <w:r>
        <w:rPr>
          <w:rFonts w:ascii="Arial" w:eastAsia="Microsoft YaHei" w:hAnsi="Arial"/>
          <w:sz w:val="20"/>
          <w:szCs w:val="20"/>
        </w:rPr>
        <w:t xml:space="preserve">茅台净利率从 2015 年 46.35% 升至 2024 年 49.52%，全程在 41%—50% 区间运行，波动极小；五粮液由 28.51% 升至 35.72%；泸州老窖由 21.34% 升至 43.19%，增幅最大。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横向对比：</w:t>
      </w:r>
      <w:r>
        <w:rPr>
          <w:rFonts w:ascii="Arial" w:eastAsia="Microsoft YaHei" w:hAnsi="Arial"/>
          <w:sz w:val="20"/>
          <w:szCs w:val="20"/>
        </w:rPr>
        <w:t xml:space="preserve">茅台始终领先第二名 5 个百分点以上；老窖起点最低，但斜率最陡，2020 年以 36.06% 反超五粮液的 34.81%，此后差距持续扩大。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归因分析：</w:t>
      </w:r>
      <w:r>
        <w:rPr>
          <w:rFonts w:ascii="Arial" w:eastAsia="Microsoft YaHei" w:hAnsi="Arial"/>
          <w:sz w:val="20"/>
          <w:szCs w:val="20"/>
        </w:rPr>
        <w:t xml:space="preserve">净利率差异的本质是定价权差异。茅台凭借高端酱香的稀缺性与提价能力，长期维持极高的毛利率；老窖 2015 年处于渠道调整低基数，2016 年后国窖 1573 放量、产品结构上移带来利润弹性；五粮液受系列酒占比与渠道费用投放影响，改善相对温和。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判断：</w:t>
      </w:r>
      <w:r>
        <w:rPr>
          <w:rFonts w:ascii="Arial" w:eastAsia="Microsoft YaHei" w:hAnsi="Arial"/>
          <w:sz w:val="20"/>
          <w:szCs w:val="20"/>
        </w:rPr>
        <w:t xml:space="preserve">老窖的净利率已逼近茅台，说明其高端化路径有效；但净利率抬升伴随营收增速放缓，需警惕“以价换量”空间收窄后的持续性。</w:t>
      </w:r>
    </w:p>
    <w:p>
      <w:pPr>
        <w:pStyle w:val="Heading2"/>
        <w:spacing w:after="60" w:before="160"/>
      </w:pPr>
      <w:r>
        <w:rPr>
          <w:rFonts w:ascii="Arial" w:eastAsia="Microsoft YaHei" w:hAnsi="Arial"/>
          <w:b/>
          <w:bCs/>
          <w:sz w:val="25"/>
          <w:szCs w:val="25"/>
        </w:rPr>
        <w:t xml:space="preserve">四、成长性：营收增速对比</w:t>
      </w:r>
    </w:p>
    <w:p>
      <w:pPr>
        <w:spacing w:after="0"/>
        <w:jc w:val="center"/>
      </w:pPr>
      <w:r>
        <w:drawing>
          <wp:inline distT="0" distB="0" distL="0" distR="0">
            <wp:extent cx="3714750" cy="1771650"/>
            <wp:effectExtent t="0" r="0" b="0" l="0"/>
            <wp:docPr id="2" name="图2_营收增速对比.png" descr="财务对比图" title="图2_营收增速对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rFonts w:ascii="Arial" w:eastAsia="Microsoft YaHei" w:hAnsi="Arial"/>
          <w:color w:val="595959"/>
          <w:sz w:val="18"/>
          <w:szCs w:val="18"/>
        </w:rPr>
        <w:t xml:space="preserve">图 2　三家白酒企业营收增速对比（2015—2024）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数据呈现：</w:t>
      </w:r>
      <w:r>
        <w:rPr>
          <w:rFonts w:ascii="Arial" w:eastAsia="Microsoft YaHei" w:hAnsi="Arial"/>
          <w:sz w:val="20"/>
          <w:szCs w:val="20"/>
        </w:rPr>
        <w:t xml:space="preserve">2015—2016 年三家增速普遍偏低（茅台 3.82%、20.06%）；2017—2018 年集体反弹，茅台达到 52.07%；2020 年后逐年下台阶，2024 年降至 15.66%、7.09%、3.19%。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横向对比：</w:t>
      </w:r>
      <w:r>
        <w:rPr>
          <w:rFonts w:ascii="Arial" w:eastAsia="Microsoft YaHei" w:hAnsi="Arial"/>
          <w:sz w:val="20"/>
          <w:szCs w:val="20"/>
        </w:rPr>
        <w:t xml:space="preserve">茅台的增速高点更高、回落更慢，2020—2024 年仍保持两位数增长；老窖 2020 年增速仅 5.28%，为三家最低，说明其对渠道与政策变化更敏感。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归因分析：</w:t>
      </w:r>
      <w:r>
        <w:rPr>
          <w:rFonts w:ascii="Arial" w:eastAsia="Microsoft YaHei" w:hAnsi="Arial"/>
          <w:sz w:val="20"/>
          <w:szCs w:val="20"/>
        </w:rPr>
        <w:t xml:space="preserve">2013—2016 年行业受限制三公消费与去库存冲击，基数偏低；2017 年后商务与大众消费接棒，行业进入补库存周期；2020 年后需求走弱、渠道库存高企，酒企转为主动控货稳价。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判断：</w:t>
      </w:r>
      <w:r>
        <w:rPr>
          <w:rFonts w:ascii="Arial" w:eastAsia="Microsoft YaHei" w:hAnsi="Arial"/>
          <w:sz w:val="20"/>
          <w:szCs w:val="20"/>
        </w:rPr>
        <w:t xml:space="preserve">行业已由增量扩张转入存量竞争，增速中枢长期下移，分化将取决于品牌力与渠道掌控力。</w:t>
      </w:r>
    </w:p>
    <w:p>
      <w:pPr>
        <w:pStyle w:val="Heading2"/>
        <w:pageBreakBefore/>
        <w:spacing w:after="60" w:before="160"/>
      </w:pPr>
      <w:r>
        <w:rPr>
          <w:rFonts w:ascii="Arial" w:eastAsia="Microsoft YaHei" w:hAnsi="Arial"/>
          <w:b/>
          <w:bCs/>
          <w:sz w:val="25"/>
          <w:szCs w:val="25"/>
        </w:rPr>
        <w:t xml:space="preserve">五、股东回报：ROE 与杜邦分解</w:t>
      </w:r>
    </w:p>
    <w:p>
      <w:pPr>
        <w:spacing w:after="0"/>
        <w:jc w:val="center"/>
      </w:pPr>
      <w:r>
        <w:drawing>
          <wp:inline distT="0" distB="0" distL="0" distR="0">
            <wp:extent cx="3714750" cy="1771650"/>
            <wp:effectExtent t="0" r="0" b="0" l="0"/>
            <wp:docPr id="3" name="图3_ROE对比.png" descr="财务对比图" title="图3_ROE对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rFonts w:ascii="Arial" w:eastAsia="Microsoft YaHei" w:hAnsi="Arial"/>
          <w:color w:val="595959"/>
          <w:sz w:val="18"/>
          <w:szCs w:val="18"/>
        </w:rPr>
        <w:t xml:space="preserve">图 3　三家白酒企业 ROE 对比（2015—2024）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数据呈现：</w:t>
      </w:r>
      <w:r>
        <w:rPr>
          <w:rFonts w:ascii="Arial" w:eastAsia="Microsoft YaHei" w:hAnsi="Arial"/>
          <w:sz w:val="20"/>
          <w:szCs w:val="20"/>
        </w:rPr>
        <w:t xml:space="preserve">茅台 ROE 由 26.42% 升至 38.43%，九年间仅在 2016 年出现回落；五粮液由 14.93% 升至 24.24%；老窖由 14.74% 升至 30.35%，2019 年后反超五粮液。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横向对比：</w:t>
      </w:r>
      <w:r>
        <w:rPr>
          <w:rFonts w:ascii="Arial" w:eastAsia="Microsoft YaHei" w:hAnsi="Arial"/>
          <w:sz w:val="20"/>
          <w:szCs w:val="20"/>
        </w:rPr>
        <w:t xml:space="preserve">2015—2016 年五粮液与老窖的 ROE 几乎重合于 15% 一线，2019 年起分化；茅台全程高出第二名 10 个百分点以上。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归因分析：</w:t>
      </w:r>
      <w:r>
        <w:rPr>
          <w:rFonts w:ascii="Arial" w:eastAsia="Microsoft YaHei" w:hAnsi="Arial"/>
          <w:sz w:val="20"/>
          <w:szCs w:val="20"/>
        </w:rPr>
        <w:t xml:space="preserve">以 2024 年杜邦分解观察：茅台净利率 49.52%、总资产周转率 0.583，均为三家最高，权益乘数仅 1.28、为最低，说明其 ROE 来自经营效率而非杠杆；老窖净利率 43.19% 居中、权益乘数 1.44 最高，但周转率 0.457 最低，ROE 部分依赖负债与较长的存货沉淀周期；五粮液净利率、周转率均最低，仅靠杠杆支撑，因此 ROE 垫底。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判断：</w:t>
      </w:r>
      <w:r>
        <w:rPr>
          <w:rFonts w:ascii="Arial" w:eastAsia="Microsoft YaHei" w:hAnsi="Arial"/>
          <w:sz w:val="20"/>
          <w:szCs w:val="20"/>
        </w:rPr>
        <w:t xml:space="preserve">茅台的 ROE 质量最高——低杠杆下的高回报，可持续性最强；老窖需关注杠杆水平与存货占用；五粮液的短板在资产使用效率，改善空间取决于产品结构与渠道改革。</w:t>
      </w:r>
    </w:p>
    <w:p>
      <w:pPr>
        <w:pStyle w:val="Heading2"/>
        <w:spacing w:after="60" w:before="160"/>
      </w:pPr>
      <w:r>
        <w:rPr>
          <w:rFonts w:ascii="Arial" w:eastAsia="Microsoft YaHei" w:hAnsi="Arial"/>
          <w:b/>
          <w:bCs/>
          <w:sz w:val="25"/>
          <w:szCs w:val="25"/>
        </w:rPr>
        <w:t xml:space="preserve">六、综合结论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综合盈利质量、成长性与股东回报三个维度，三家公司的排序为：贵州茅台优于泸州老窖，泸州老窖优于五粮液。茅台在净利率与 ROE 上形成难以复制的护城河；老窖是十年间改善弹性最大的标的，但周转与杠杆结构仍需观察；五粮液规模位居第二，盈利能力与资产效率却明显落后，属于“规模占优、效率欠佳”的典型。</w:t>
      </w:r>
    </w:p>
    <w:p>
      <w:pPr>
        <w:pStyle w:val="Heading2"/>
        <w:spacing w:after="60" w:before="160"/>
      </w:pPr>
      <w:r>
        <w:rPr>
          <w:rFonts w:ascii="Arial" w:eastAsia="Microsoft YaHei" w:hAnsi="Arial"/>
          <w:b/>
          <w:bCs/>
          <w:sz w:val="25"/>
          <w:szCs w:val="25"/>
        </w:rPr>
        <w:t xml:space="preserve">七、风险提示与数据说明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需求风险：</w:t>
      </w:r>
      <w:r>
        <w:rPr>
          <w:rFonts w:ascii="Arial" w:eastAsia="Microsoft YaHei" w:hAnsi="Arial"/>
          <w:sz w:val="20"/>
          <w:szCs w:val="20"/>
        </w:rPr>
        <w:t xml:space="preserve">宏观消费走弱与商务宴请收缩，高端白酒量价承压，行业增速中枢可能继续下移。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渠道风险：</w:t>
      </w:r>
      <w:r>
        <w:rPr>
          <w:rFonts w:ascii="Arial" w:eastAsia="Microsoft YaHei" w:hAnsi="Arial"/>
          <w:sz w:val="20"/>
          <w:szCs w:val="20"/>
        </w:rPr>
        <w:t xml:space="preserve">渠道库存高企与批价倒挂若持续，将反向侵蚀厂商报表收入与利润。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政策风险：</w:t>
      </w:r>
      <w:r>
        <w:rPr>
          <w:rFonts w:ascii="Arial" w:eastAsia="Microsoft YaHei" w:hAnsi="Arial"/>
          <w:sz w:val="20"/>
          <w:szCs w:val="20"/>
        </w:rPr>
        <w:t xml:space="preserve">消费税征收环节改革、限制公务用酒等政策存在不确定性，对高毛利品类影响更为直接。</w:t>
      </w:r>
    </w:p>
    <w:p>
      <w:pPr>
        <w:spacing w:after="60" w:line="250"/>
        <w:ind w:firstLine="420"/>
        <w:jc w:val="both"/>
      </w:pPr>
      <w:r>
        <w:rPr>
          <w:rFonts w:ascii="Arial" w:eastAsia="Microsoft YaHei" w:hAnsi="Arial"/>
          <w:b/>
          <w:bCs/>
          <w:sz w:val="20"/>
          <w:szCs w:val="20"/>
        </w:rPr>
        <w:t xml:space="preserve">数据说明：</w:t>
      </w:r>
      <w:r>
        <w:rPr>
          <w:rFonts w:ascii="Arial" w:eastAsia="Microsoft YaHei" w:hAnsi="Arial"/>
          <w:sz w:val="20"/>
          <w:szCs w:val="20"/>
        </w:rPr>
        <w:t xml:space="preserve">数据来源于新浪财经公开财报接口（akshare 抓取），窗口为 2015—2024 年年报。经核查，2025 年年报中五粮液营业收入由 891.75 亿元降至 405.29 亿元、同比 -54.55%，与同业走势严重背离，判断为数据源异常，故未纳入图表分析。本报告为个人学习作品，所有结论仅基于公开财务数据，不构成任何投资建议。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08080"/>
        <w:sz w:val="18"/>
        <w:szCs w:val="18"/>
      </w:rPr>
      <w:t xml:space="preserve">— </w:t>
    </w:r>
    <w:r>
      <w:rPr>
        <w:rFonts w:ascii="Arial" w:eastAsia="Microsoft YaHei" w:hAnsi="Arial"/>
        <w:color w:val="808080"/>
        <w:sz w:val="18"/>
        <w:szCs w:val="18"/>
      </w:rPr>
      <w:fldChar w:fldCharType="begin"/>
    </w:r>
    <w:r>
      <w:rPr>
        <w:rFonts w:ascii="Arial" w:eastAsia="Microsoft YaHei" w:hAnsi="Arial"/>
        <w:color w:val="808080"/>
        <w:sz w:val="18"/>
        <w:szCs w:val="18"/>
      </w:rPr>
      <w:instrText xml:space="preserve">PAGE</w:instrText>
    </w:r>
    <w:r>
      <w:rPr>
        <w:rFonts w:ascii="Arial" w:eastAsia="Microsoft YaHei" w:hAnsi="Arial"/>
        <w:color w:val="808080"/>
        <w:sz w:val="18"/>
        <w:szCs w:val="18"/>
      </w:rPr>
      <w:fldChar w:fldCharType="separate"/>
    </w:r>
    <w:r>
      <w:rPr>
        <w:rFonts w:ascii="Arial" w:eastAsia="Microsoft YaHei" w:hAnsi="Arial"/>
        <w:color w:val="808080"/>
        <w:sz w:val="18"/>
        <w:szCs w:val="18"/>
      </w:rPr>
      <w:fldChar w:fldCharType="end"/>
    </w:r>
    <w:r>
      <w:rPr>
        <w:rFonts w:ascii="Arial" w:eastAsia="Microsoft YaHei" w:hAnsi="Arial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c4242151d9fe7b72554544170d39a99eabe932.png"/><Relationship Id="rId9" Type="http://schemas.openxmlformats.org/officeDocument/2006/relationships/image" Target="media/59d8d40063492ad90fad80682c6dcf561cfcaefc.png"/><Relationship Id="rId10" Type="http://schemas.openxmlformats.org/officeDocument/2006/relationships/image" Target="media/fc3c34bff831dbeec0bdd4b453def59fe9edf03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2646</Words>
  <Characters>2646</Characters>
  <Application>Microsoft Office Word</Application>
  <DocSecurity>0</DocSecurity>
  <Lines>69</Lines>
  <Paragraphs>64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白酒行业财务分析报告</dc:title>
  <dc:creator/>
  <cp:lastModifiedBy/>
  <cp:revision>1</cp:revision>
  <dcterms:created xsi:type="dcterms:W3CDTF">2026-10-25T04:25:42Z</dcterms:created>
  <dcterms:modified xsi:type="dcterms:W3CDTF">2026-10-25T04:25:42Z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