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1453DD" w14:textId="77777777" w:rsidR="00955880" w:rsidRDefault="00955880" w:rsidP="00955880">
      <w:pPr>
        <w:pBdr>
          <w:bottom w:val="single" w:sz="6" w:space="1" w:color="auto"/>
        </w:pBdr>
        <w:rPr>
          <w:b/>
          <w:sz w:val="24"/>
          <w:szCs w:val="24"/>
        </w:rPr>
      </w:pPr>
      <w:r w:rsidRPr="008F4C64">
        <w:rPr>
          <w:b/>
          <w:sz w:val="24"/>
          <w:szCs w:val="24"/>
        </w:rPr>
        <w:t>1. Introduction</w:t>
      </w:r>
    </w:p>
    <w:p w14:paraId="5426D1E8" w14:textId="041A991F" w:rsidR="00B25081" w:rsidRDefault="00955880" w:rsidP="00405D73">
      <w:r w:rsidRPr="003E72F4">
        <w:t xml:space="preserve">The purpose of this document is to </w:t>
      </w:r>
      <w:r w:rsidR="00755B12">
        <w:t>analyze customers’ reviews of Kindle app from Apple App Store</w:t>
      </w:r>
      <w:r w:rsidR="001F371B">
        <w:t xml:space="preserve"> (US)</w:t>
      </w:r>
      <w:r w:rsidR="00755B12">
        <w:t xml:space="preserve"> and Google Play Store </w:t>
      </w:r>
      <w:r w:rsidR="001F371B">
        <w:t xml:space="preserve">(English, not US) </w:t>
      </w:r>
      <w:r w:rsidR="00755B12">
        <w:t>for the past 1 year (5/1/18~5/30/19).</w:t>
      </w:r>
      <w:r w:rsidR="001F371B">
        <w:t xml:space="preserve"> In total, there were 18,632 reviews (with ratings) at average rating of 4.5 for iOS, and 21,048 reviews (with ratings) at average rating of 3.8 for Android.</w:t>
      </w:r>
    </w:p>
    <w:p w14:paraId="57C7C15E" w14:textId="2BCAEF59" w:rsidR="00405D73" w:rsidRDefault="00405D73" w:rsidP="001F371B">
      <w:pPr>
        <w:pStyle w:val="ListParagraph"/>
        <w:numPr>
          <w:ilvl w:val="0"/>
          <w:numId w:val="25"/>
        </w:numPr>
        <w:spacing w:before="120"/>
      </w:pPr>
      <w:r>
        <w:t>N</w:t>
      </w:r>
      <w:r w:rsidR="00C211D6">
        <w:t>ote that “Review” is different from “Rating”, as in “Rating” is stars (1~5) given by a customer without comments, whereas “Review” requires a customer to enter in their text feedback about the respective app in each platform (iOS or Android), and they tend to have much lower average number of stars given than the average stars given in “Rating”, partly the reason being is more of ‘negative’ perceptions drive more motivation for customers to go out of their ways and leave a review than satisfied customers.</w:t>
      </w:r>
    </w:p>
    <w:p w14:paraId="234D03EC" w14:textId="77777777" w:rsidR="00B25081" w:rsidRDefault="00B25081" w:rsidP="00B25081">
      <w:pPr>
        <w:pStyle w:val="ListParagraph"/>
      </w:pPr>
    </w:p>
    <w:p w14:paraId="09BEF309" w14:textId="0EA1DC05" w:rsidR="00ED067B" w:rsidRDefault="00405D73">
      <w:r>
        <w:t xml:space="preserve">While overall store-facing ratings from App Store rating (4.8) and Play Store rating (4.2) have been fairly stable for some time now, mostly due to the large number of past ratings given, if we were to focus on the newly posted reviews for the past 1 year, average ratings(with reviews) have decreased </w:t>
      </w:r>
      <w:r w:rsidR="00B25081">
        <w:t>~</w:t>
      </w:r>
      <w:r>
        <w:t xml:space="preserve">14% (3 months rolling average) </w:t>
      </w:r>
      <w:r w:rsidR="00B25081">
        <w:t>from 5/1/18 (4.63) to 5/30/19 (3.99).</w:t>
      </w:r>
    </w:p>
    <w:p w14:paraId="72825B18" w14:textId="0DED992A" w:rsidR="00B25081" w:rsidRDefault="00B25081"/>
    <w:p w14:paraId="6F199408" w14:textId="2348FB55" w:rsidR="00B25081" w:rsidRDefault="00B25081">
      <w:r>
        <w:t>This decreasing trend is problematic because of the following reasons:</w:t>
      </w:r>
    </w:p>
    <w:p w14:paraId="41DEAFFD" w14:textId="69C911E7" w:rsidR="00B25081" w:rsidRDefault="00B25081" w:rsidP="00B25081">
      <w:pPr>
        <w:pStyle w:val="ListParagraph"/>
        <w:numPr>
          <w:ilvl w:val="0"/>
          <w:numId w:val="26"/>
        </w:numPr>
      </w:pPr>
      <w:r>
        <w:t>To some extent, we can generalize the feedback given by reviews as reflections of how rest of iOS and Android users are feeling about Kindle apps</w:t>
      </w:r>
    </w:p>
    <w:p w14:paraId="61C0C2CD" w14:textId="288843CD" w:rsidR="00B25081" w:rsidRDefault="00B25081" w:rsidP="00B25081">
      <w:pPr>
        <w:pStyle w:val="ListParagraph"/>
        <w:numPr>
          <w:ilvl w:val="0"/>
          <w:numId w:val="26"/>
        </w:numPr>
      </w:pPr>
      <w:r>
        <w:t>Reviews’ ratings</w:t>
      </w:r>
      <w:r w:rsidR="00123FBD">
        <w:t xml:space="preserve">, while they do not seem to be showing much meaningful correlation with overall reading engagement metrics </w:t>
      </w:r>
      <w:r>
        <w:t>for the respective surfaces</w:t>
      </w:r>
      <w:r w:rsidR="00123FBD">
        <w:t>, they do seem to have moderately strong correlation with New to Kindle customers’ reading engagement metrics</w:t>
      </w:r>
    </w:p>
    <w:p w14:paraId="7E0F68EE" w14:textId="0E9DCAF7" w:rsidR="00123FBD" w:rsidRDefault="00123FBD" w:rsidP="00123FBD"/>
    <w:tbl>
      <w:tblPr>
        <w:tblW w:w="8744" w:type="dxa"/>
        <w:jc w:val="center"/>
        <w:tblLook w:val="04A0" w:firstRow="1" w:lastRow="0" w:firstColumn="1" w:lastColumn="0" w:noHBand="0" w:noVBand="1"/>
      </w:tblPr>
      <w:tblGrid>
        <w:gridCol w:w="6215"/>
        <w:gridCol w:w="2529"/>
      </w:tblGrid>
      <w:tr w:rsidR="00123FBD" w:rsidRPr="00123FBD" w14:paraId="14DE3017" w14:textId="77777777" w:rsidTr="00123FBD">
        <w:trPr>
          <w:trHeight w:val="287"/>
          <w:jc w:val="center"/>
        </w:trPr>
        <w:tc>
          <w:tcPr>
            <w:tcW w:w="6215"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38D699A" w14:textId="1361F292" w:rsidR="00123FBD" w:rsidRPr="00123FBD" w:rsidRDefault="006C0988" w:rsidP="00123FBD">
            <w:pPr>
              <w:rPr>
                <w:b/>
                <w:bCs/>
                <w:color w:val="000000"/>
                <w:sz w:val="22"/>
                <w:szCs w:val="22"/>
                <w:lang w:eastAsia="ko-KR"/>
              </w:rPr>
            </w:pPr>
            <w:r>
              <w:rPr>
                <w:b/>
                <w:bCs/>
                <w:color w:val="000000"/>
                <w:sz w:val="22"/>
                <w:szCs w:val="22"/>
                <w:lang w:eastAsia="ko-KR"/>
              </w:rPr>
              <w:t>Var 1</w:t>
            </w:r>
            <w:r w:rsidR="00123FBD" w:rsidRPr="00123FBD">
              <w:rPr>
                <w:b/>
                <w:bCs/>
                <w:color w:val="000000"/>
                <w:sz w:val="22"/>
                <w:szCs w:val="22"/>
                <w:lang w:eastAsia="ko-KR"/>
              </w:rPr>
              <w:t xml:space="preserve"> &amp; </w:t>
            </w:r>
            <w:r>
              <w:rPr>
                <w:b/>
                <w:bCs/>
                <w:color w:val="000000"/>
                <w:sz w:val="22"/>
                <w:szCs w:val="22"/>
                <w:lang w:eastAsia="ko-KR"/>
              </w:rPr>
              <w:t>Var 2</w:t>
            </w:r>
          </w:p>
        </w:tc>
        <w:tc>
          <w:tcPr>
            <w:tcW w:w="2529" w:type="dxa"/>
            <w:tcBorders>
              <w:top w:val="single" w:sz="8" w:space="0" w:color="auto"/>
              <w:left w:val="nil"/>
              <w:bottom w:val="single" w:sz="8" w:space="0" w:color="auto"/>
              <w:right w:val="single" w:sz="8" w:space="0" w:color="auto"/>
            </w:tcBorders>
            <w:shd w:val="clear" w:color="auto" w:fill="auto"/>
            <w:vAlign w:val="bottom"/>
            <w:hideMark/>
          </w:tcPr>
          <w:p w14:paraId="231918EE" w14:textId="77777777" w:rsidR="00123FBD" w:rsidRPr="00123FBD" w:rsidRDefault="00123FBD" w:rsidP="00123FBD">
            <w:pPr>
              <w:rPr>
                <w:b/>
                <w:bCs/>
                <w:color w:val="000000"/>
                <w:sz w:val="22"/>
                <w:szCs w:val="22"/>
                <w:lang w:eastAsia="ko-KR"/>
              </w:rPr>
            </w:pPr>
            <w:r w:rsidRPr="00123FBD">
              <w:rPr>
                <w:b/>
                <w:bCs/>
                <w:color w:val="000000"/>
                <w:sz w:val="22"/>
                <w:szCs w:val="22"/>
                <w:lang w:eastAsia="ko-KR"/>
              </w:rPr>
              <w:t>Correlation Score (Pearson's)</w:t>
            </w:r>
          </w:p>
        </w:tc>
      </w:tr>
      <w:tr w:rsidR="00123FBD" w:rsidRPr="00123FBD" w14:paraId="1380800E" w14:textId="77777777" w:rsidTr="00123FBD">
        <w:trPr>
          <w:trHeight w:val="255"/>
          <w:jc w:val="center"/>
        </w:trPr>
        <w:tc>
          <w:tcPr>
            <w:tcW w:w="6215" w:type="dxa"/>
            <w:tcBorders>
              <w:top w:val="nil"/>
              <w:left w:val="single" w:sz="8" w:space="0" w:color="auto"/>
              <w:bottom w:val="single" w:sz="4" w:space="0" w:color="auto"/>
              <w:right w:val="single" w:sz="8" w:space="0" w:color="auto"/>
            </w:tcBorders>
            <w:shd w:val="clear" w:color="auto" w:fill="auto"/>
            <w:vAlign w:val="bottom"/>
            <w:hideMark/>
          </w:tcPr>
          <w:p w14:paraId="2AE79CBA" w14:textId="77777777" w:rsidR="00123FBD" w:rsidRPr="00123FBD" w:rsidRDefault="00123FBD" w:rsidP="00123FBD">
            <w:pPr>
              <w:rPr>
                <w:color w:val="000000"/>
                <w:sz w:val="22"/>
                <w:szCs w:val="22"/>
                <w:lang w:eastAsia="ko-KR"/>
              </w:rPr>
            </w:pPr>
            <w:r w:rsidRPr="00123FBD">
              <w:rPr>
                <w:color w:val="000000"/>
                <w:sz w:val="22"/>
                <w:szCs w:val="22"/>
                <w:lang w:eastAsia="ko-KR"/>
              </w:rPr>
              <w:t>iOS weekly rating &amp; number of unique NTK customers reading</w:t>
            </w:r>
          </w:p>
        </w:tc>
        <w:tc>
          <w:tcPr>
            <w:tcW w:w="2529" w:type="dxa"/>
            <w:tcBorders>
              <w:top w:val="nil"/>
              <w:left w:val="nil"/>
              <w:bottom w:val="single" w:sz="4" w:space="0" w:color="auto"/>
              <w:right w:val="single" w:sz="8" w:space="0" w:color="auto"/>
            </w:tcBorders>
            <w:shd w:val="clear" w:color="auto" w:fill="auto"/>
            <w:noWrap/>
            <w:vAlign w:val="center"/>
            <w:hideMark/>
          </w:tcPr>
          <w:p w14:paraId="12745228" w14:textId="77777777" w:rsidR="00123FBD" w:rsidRPr="00123FBD" w:rsidRDefault="00123FBD" w:rsidP="00123FBD">
            <w:pPr>
              <w:jc w:val="center"/>
              <w:rPr>
                <w:color w:val="000000"/>
                <w:sz w:val="22"/>
                <w:szCs w:val="22"/>
                <w:lang w:eastAsia="ko-KR"/>
              </w:rPr>
            </w:pPr>
            <w:r w:rsidRPr="00123FBD">
              <w:rPr>
                <w:color w:val="000000"/>
                <w:sz w:val="22"/>
                <w:szCs w:val="22"/>
                <w:lang w:eastAsia="ko-KR"/>
              </w:rPr>
              <w:t xml:space="preserve">                              0.14 </w:t>
            </w:r>
          </w:p>
        </w:tc>
      </w:tr>
      <w:tr w:rsidR="00123FBD" w:rsidRPr="00123FBD" w14:paraId="18502297" w14:textId="77777777" w:rsidTr="00123FBD">
        <w:trPr>
          <w:trHeight w:val="255"/>
          <w:jc w:val="center"/>
        </w:trPr>
        <w:tc>
          <w:tcPr>
            <w:tcW w:w="6215" w:type="dxa"/>
            <w:tcBorders>
              <w:top w:val="nil"/>
              <w:left w:val="single" w:sz="8" w:space="0" w:color="auto"/>
              <w:bottom w:val="single" w:sz="4" w:space="0" w:color="auto"/>
              <w:right w:val="single" w:sz="8" w:space="0" w:color="auto"/>
            </w:tcBorders>
            <w:shd w:val="clear" w:color="auto" w:fill="auto"/>
            <w:vAlign w:val="bottom"/>
            <w:hideMark/>
          </w:tcPr>
          <w:p w14:paraId="43BD636A" w14:textId="77777777" w:rsidR="00123FBD" w:rsidRPr="00123FBD" w:rsidRDefault="00123FBD" w:rsidP="00123FBD">
            <w:pPr>
              <w:rPr>
                <w:color w:val="000000"/>
                <w:sz w:val="22"/>
                <w:szCs w:val="22"/>
                <w:lang w:eastAsia="ko-KR"/>
              </w:rPr>
            </w:pPr>
            <w:r w:rsidRPr="00123FBD">
              <w:rPr>
                <w:color w:val="000000"/>
                <w:sz w:val="22"/>
                <w:szCs w:val="22"/>
                <w:lang w:eastAsia="ko-KR"/>
              </w:rPr>
              <w:t>iOS weekly rating &amp; number of NTK customers reading</w:t>
            </w:r>
          </w:p>
        </w:tc>
        <w:tc>
          <w:tcPr>
            <w:tcW w:w="2529" w:type="dxa"/>
            <w:tcBorders>
              <w:top w:val="nil"/>
              <w:left w:val="nil"/>
              <w:bottom w:val="single" w:sz="4" w:space="0" w:color="auto"/>
              <w:right w:val="single" w:sz="8" w:space="0" w:color="auto"/>
            </w:tcBorders>
            <w:shd w:val="clear" w:color="auto" w:fill="auto"/>
            <w:noWrap/>
            <w:vAlign w:val="center"/>
            <w:hideMark/>
          </w:tcPr>
          <w:p w14:paraId="539BBA8A" w14:textId="77777777" w:rsidR="00123FBD" w:rsidRPr="00123FBD" w:rsidRDefault="00123FBD" w:rsidP="00123FBD">
            <w:pPr>
              <w:jc w:val="center"/>
              <w:rPr>
                <w:color w:val="000000"/>
                <w:sz w:val="22"/>
                <w:szCs w:val="22"/>
                <w:lang w:eastAsia="ko-KR"/>
              </w:rPr>
            </w:pPr>
            <w:r w:rsidRPr="00123FBD">
              <w:rPr>
                <w:color w:val="000000"/>
                <w:sz w:val="22"/>
                <w:szCs w:val="22"/>
                <w:lang w:eastAsia="ko-KR"/>
              </w:rPr>
              <w:t xml:space="preserve">                              0.24 </w:t>
            </w:r>
          </w:p>
        </w:tc>
      </w:tr>
      <w:tr w:rsidR="00123FBD" w:rsidRPr="00123FBD" w14:paraId="738B4CC7" w14:textId="77777777" w:rsidTr="00123FBD">
        <w:trPr>
          <w:trHeight w:val="255"/>
          <w:jc w:val="center"/>
        </w:trPr>
        <w:tc>
          <w:tcPr>
            <w:tcW w:w="6215" w:type="dxa"/>
            <w:tcBorders>
              <w:top w:val="nil"/>
              <w:left w:val="single" w:sz="8" w:space="0" w:color="auto"/>
              <w:bottom w:val="single" w:sz="4" w:space="0" w:color="auto"/>
              <w:right w:val="single" w:sz="8" w:space="0" w:color="auto"/>
            </w:tcBorders>
            <w:shd w:val="clear" w:color="auto" w:fill="auto"/>
            <w:vAlign w:val="bottom"/>
            <w:hideMark/>
          </w:tcPr>
          <w:p w14:paraId="554BC841" w14:textId="77777777" w:rsidR="00123FBD" w:rsidRPr="00123FBD" w:rsidRDefault="00123FBD" w:rsidP="00123FBD">
            <w:pPr>
              <w:rPr>
                <w:color w:val="000000"/>
                <w:sz w:val="22"/>
                <w:szCs w:val="22"/>
                <w:lang w:eastAsia="ko-KR"/>
              </w:rPr>
            </w:pPr>
            <w:r w:rsidRPr="00123FBD">
              <w:rPr>
                <w:color w:val="000000"/>
                <w:sz w:val="22"/>
                <w:szCs w:val="22"/>
                <w:lang w:eastAsia="ko-KR"/>
              </w:rPr>
              <w:t>Android weekly rating &amp; number of unique NTK customers reading</w:t>
            </w:r>
          </w:p>
        </w:tc>
        <w:tc>
          <w:tcPr>
            <w:tcW w:w="2529" w:type="dxa"/>
            <w:tcBorders>
              <w:top w:val="nil"/>
              <w:left w:val="nil"/>
              <w:bottom w:val="single" w:sz="4" w:space="0" w:color="auto"/>
              <w:right w:val="single" w:sz="8" w:space="0" w:color="auto"/>
            </w:tcBorders>
            <w:shd w:val="clear" w:color="auto" w:fill="auto"/>
            <w:noWrap/>
            <w:vAlign w:val="center"/>
            <w:hideMark/>
          </w:tcPr>
          <w:p w14:paraId="574E57CE" w14:textId="77777777" w:rsidR="00123FBD" w:rsidRPr="00123FBD" w:rsidRDefault="00123FBD" w:rsidP="00123FBD">
            <w:pPr>
              <w:jc w:val="center"/>
              <w:rPr>
                <w:color w:val="000000"/>
                <w:sz w:val="22"/>
                <w:szCs w:val="22"/>
                <w:lang w:eastAsia="ko-KR"/>
              </w:rPr>
            </w:pPr>
            <w:r w:rsidRPr="00123FBD">
              <w:rPr>
                <w:color w:val="000000"/>
                <w:sz w:val="22"/>
                <w:szCs w:val="22"/>
                <w:lang w:eastAsia="ko-KR"/>
              </w:rPr>
              <w:t xml:space="preserve">                              0.12 </w:t>
            </w:r>
          </w:p>
        </w:tc>
      </w:tr>
      <w:tr w:rsidR="00123FBD" w:rsidRPr="00123FBD" w14:paraId="5574F311" w14:textId="77777777" w:rsidTr="00123FBD">
        <w:trPr>
          <w:trHeight w:val="255"/>
          <w:jc w:val="center"/>
        </w:trPr>
        <w:tc>
          <w:tcPr>
            <w:tcW w:w="6215" w:type="dxa"/>
            <w:tcBorders>
              <w:top w:val="nil"/>
              <w:left w:val="single" w:sz="8" w:space="0" w:color="auto"/>
              <w:bottom w:val="single" w:sz="8" w:space="0" w:color="auto"/>
              <w:right w:val="single" w:sz="8" w:space="0" w:color="auto"/>
            </w:tcBorders>
            <w:shd w:val="clear" w:color="auto" w:fill="auto"/>
            <w:vAlign w:val="bottom"/>
            <w:hideMark/>
          </w:tcPr>
          <w:p w14:paraId="420D716B" w14:textId="77777777" w:rsidR="00123FBD" w:rsidRPr="00123FBD" w:rsidRDefault="00123FBD" w:rsidP="00123FBD">
            <w:pPr>
              <w:rPr>
                <w:color w:val="000000"/>
                <w:sz w:val="22"/>
                <w:szCs w:val="22"/>
                <w:lang w:eastAsia="ko-KR"/>
              </w:rPr>
            </w:pPr>
            <w:r w:rsidRPr="00123FBD">
              <w:rPr>
                <w:color w:val="000000"/>
                <w:sz w:val="22"/>
                <w:szCs w:val="22"/>
                <w:lang w:eastAsia="ko-KR"/>
              </w:rPr>
              <w:t>Android weekly rating &amp; number of NTK customers reading</w:t>
            </w:r>
          </w:p>
        </w:tc>
        <w:tc>
          <w:tcPr>
            <w:tcW w:w="2529" w:type="dxa"/>
            <w:tcBorders>
              <w:top w:val="nil"/>
              <w:left w:val="nil"/>
              <w:bottom w:val="single" w:sz="8" w:space="0" w:color="auto"/>
              <w:right w:val="single" w:sz="8" w:space="0" w:color="auto"/>
            </w:tcBorders>
            <w:shd w:val="clear" w:color="auto" w:fill="auto"/>
            <w:noWrap/>
            <w:vAlign w:val="center"/>
            <w:hideMark/>
          </w:tcPr>
          <w:p w14:paraId="18C4EAEB" w14:textId="77777777" w:rsidR="00123FBD" w:rsidRPr="00123FBD" w:rsidRDefault="00123FBD" w:rsidP="00123FBD">
            <w:pPr>
              <w:jc w:val="center"/>
              <w:rPr>
                <w:color w:val="000000"/>
                <w:sz w:val="22"/>
                <w:szCs w:val="22"/>
                <w:lang w:eastAsia="ko-KR"/>
              </w:rPr>
            </w:pPr>
            <w:r w:rsidRPr="00123FBD">
              <w:rPr>
                <w:color w:val="000000"/>
                <w:sz w:val="22"/>
                <w:szCs w:val="22"/>
                <w:lang w:eastAsia="ko-KR"/>
              </w:rPr>
              <w:t xml:space="preserve">                              0.12 </w:t>
            </w:r>
          </w:p>
        </w:tc>
      </w:tr>
    </w:tbl>
    <w:p w14:paraId="579BE4F6" w14:textId="77777777" w:rsidR="00B25081" w:rsidRDefault="00B25081"/>
    <w:p w14:paraId="70875258" w14:textId="363F95D3" w:rsidR="004C6461" w:rsidRPr="004C6461" w:rsidRDefault="00955880" w:rsidP="004C6461">
      <w:pPr>
        <w:pBdr>
          <w:bottom w:val="single" w:sz="6" w:space="1" w:color="auto"/>
        </w:pBdr>
        <w:rPr>
          <w:b/>
          <w:sz w:val="24"/>
          <w:szCs w:val="24"/>
        </w:rPr>
      </w:pPr>
      <w:r>
        <w:rPr>
          <w:b/>
          <w:sz w:val="24"/>
          <w:szCs w:val="24"/>
        </w:rPr>
        <w:t>2</w:t>
      </w:r>
      <w:r w:rsidRPr="008F4C64">
        <w:rPr>
          <w:b/>
          <w:sz w:val="24"/>
          <w:szCs w:val="24"/>
        </w:rPr>
        <w:t xml:space="preserve">. </w:t>
      </w:r>
      <w:r w:rsidR="004C6461">
        <w:rPr>
          <w:b/>
          <w:sz w:val="24"/>
          <w:szCs w:val="24"/>
        </w:rPr>
        <w:t>Methods</w:t>
      </w:r>
    </w:p>
    <w:p w14:paraId="44FF0D10" w14:textId="48FD07AA" w:rsidR="004C6461" w:rsidRDefault="004C6461" w:rsidP="00955880">
      <w:pPr>
        <w:rPr>
          <w:bCs/>
        </w:rPr>
      </w:pPr>
      <w:r>
        <w:rPr>
          <w:bCs/>
        </w:rPr>
        <w:t>App Annie provides easy-to-use interface where app review data for Kindle-for-iOS and Kindle-for-Android can be downloaded at daily level, containing ratings (1~5) and texts of customer reviews.</w:t>
      </w:r>
    </w:p>
    <w:p w14:paraId="2E1BE664" w14:textId="0173DCC2" w:rsidR="004C6461" w:rsidRDefault="004C6461" w:rsidP="00955880">
      <w:pPr>
        <w:rPr>
          <w:bCs/>
        </w:rPr>
      </w:pPr>
    </w:p>
    <w:p w14:paraId="54E8BF37" w14:textId="219B12B1" w:rsidR="004C6461" w:rsidRDefault="004C6461" w:rsidP="00955880">
      <w:pPr>
        <w:rPr>
          <w:bCs/>
        </w:rPr>
      </w:pPr>
      <w:r>
        <w:rPr>
          <w:bCs/>
        </w:rPr>
        <w:t xml:space="preserve">Using review text data, removed commonly occurring stop-words such as (I, me, on, </w:t>
      </w:r>
      <w:r w:rsidR="00DB3794">
        <w:rPr>
          <w:bCs/>
        </w:rPr>
        <w:t>is, being, etc.</w:t>
      </w:r>
      <w:r>
        <w:rPr>
          <w:bCs/>
        </w:rPr>
        <w:t>)</w:t>
      </w:r>
      <w:r w:rsidR="00DB3794">
        <w:rPr>
          <w:bCs/>
        </w:rPr>
        <w:t>, and created filtered lists of words</w:t>
      </w:r>
      <w:r w:rsidR="00576AD1">
        <w:rPr>
          <w:bCs/>
        </w:rPr>
        <w:t xml:space="preserve"> as well as normalizing different variations of same words, for example grouping words like “crash”, “crashes”, “crashing”, “crashed” into “crash”</w:t>
      </w:r>
      <w:r w:rsidR="00DB3794">
        <w:rPr>
          <w:bCs/>
        </w:rPr>
        <w:t>. Some of the most frequently used words from each platform were the followings:</w:t>
      </w:r>
    </w:p>
    <w:p w14:paraId="72DBC6E9" w14:textId="77777777" w:rsidR="00DB3794" w:rsidRDefault="00DB3794" w:rsidP="00DB3794">
      <w:pPr>
        <w:pStyle w:val="ListParagraph"/>
        <w:numPr>
          <w:ilvl w:val="0"/>
          <w:numId w:val="25"/>
        </w:numPr>
        <w:rPr>
          <w:bCs/>
        </w:rPr>
      </w:pPr>
      <w:r>
        <w:rPr>
          <w:bCs/>
        </w:rPr>
        <w:t>iOS</w:t>
      </w:r>
    </w:p>
    <w:p w14:paraId="74BBEF42" w14:textId="50351017" w:rsidR="00DB3794" w:rsidRDefault="00DB3794" w:rsidP="00DB3794">
      <w:pPr>
        <w:pStyle w:val="ListParagraph"/>
        <w:numPr>
          <w:ilvl w:val="1"/>
          <w:numId w:val="25"/>
        </w:numPr>
        <w:rPr>
          <w:bCs/>
        </w:rPr>
      </w:pPr>
      <w:r>
        <w:rPr>
          <w:bCs/>
        </w:rPr>
        <w:t xml:space="preserve">“Library”: 1,948 times, “purchase/buy”: 1,699 times, </w:t>
      </w:r>
      <w:r>
        <w:rPr>
          <w:bCs/>
        </w:rPr>
        <w:t xml:space="preserve">“download”: </w:t>
      </w:r>
      <w:r>
        <w:rPr>
          <w:bCs/>
        </w:rPr>
        <w:t>1,198 times, “sync”: 863 times, “font”: 644 times</w:t>
      </w:r>
    </w:p>
    <w:p w14:paraId="1EB7293C" w14:textId="71EA2398" w:rsidR="00DB3794" w:rsidRDefault="00DB3794" w:rsidP="00DB3794">
      <w:pPr>
        <w:pStyle w:val="ListParagraph"/>
        <w:numPr>
          <w:ilvl w:val="0"/>
          <w:numId w:val="25"/>
        </w:numPr>
        <w:rPr>
          <w:bCs/>
        </w:rPr>
      </w:pPr>
      <w:r>
        <w:rPr>
          <w:bCs/>
        </w:rPr>
        <w:t>Android</w:t>
      </w:r>
    </w:p>
    <w:p w14:paraId="7D5BF41B" w14:textId="26710139" w:rsidR="004C6461" w:rsidRPr="00433DD7" w:rsidRDefault="00DB3794" w:rsidP="00433DD7">
      <w:pPr>
        <w:pStyle w:val="ListParagraph"/>
        <w:numPr>
          <w:ilvl w:val="1"/>
          <w:numId w:val="25"/>
        </w:numPr>
        <w:rPr>
          <w:bCs/>
        </w:rPr>
      </w:pPr>
      <w:r w:rsidRPr="00433DD7">
        <w:rPr>
          <w:bCs/>
        </w:rPr>
        <w:t xml:space="preserve">“Download”: 1,331 times, “library”: 430 times, </w:t>
      </w:r>
      <w:r w:rsidR="00433DD7" w:rsidRPr="00433DD7">
        <w:rPr>
          <w:bCs/>
        </w:rPr>
        <w:t>“crash/bug/glitch”</w:t>
      </w:r>
      <w:r w:rsidR="00433DD7" w:rsidRPr="00433DD7">
        <w:rPr>
          <w:bCs/>
        </w:rPr>
        <w:t xml:space="preserve">: 425 times, </w:t>
      </w:r>
      <w:r w:rsidRPr="00433DD7">
        <w:rPr>
          <w:bCs/>
        </w:rPr>
        <w:t xml:space="preserve">“fix”: 410 times, </w:t>
      </w:r>
      <w:r w:rsidR="00433DD7" w:rsidRPr="00433DD7">
        <w:rPr>
          <w:bCs/>
        </w:rPr>
        <w:t xml:space="preserve">“uninstall”: 194 </w:t>
      </w:r>
      <w:r w:rsidR="00433DD7" w:rsidRPr="00433DD7">
        <w:rPr>
          <w:bCs/>
          <w:sz w:val="16"/>
          <w:szCs w:val="16"/>
        </w:rPr>
        <w:t>times</w:t>
      </w:r>
    </w:p>
    <w:p w14:paraId="53FC1DFE" w14:textId="77777777" w:rsidR="00576AD1" w:rsidRDefault="00576AD1" w:rsidP="00955880"/>
    <w:p w14:paraId="187E145F" w14:textId="40D66D4D" w:rsidR="00576AD1" w:rsidRDefault="00576AD1" w:rsidP="00955880">
      <w:r>
        <w:t xml:space="preserve">Also have manually gone through most frequently occurring </w:t>
      </w:r>
      <w:r w:rsidR="00E319DC">
        <w:t>words and</w:t>
      </w:r>
      <w:r>
        <w:t xml:space="preserve"> </w:t>
      </w:r>
      <w:r w:rsidR="00E319DC">
        <w:t>created a list of key words that are closely related to different Kindle features or customer experiences to specifically trying to understand sentiment shifts along these key Kindle terms.</w:t>
      </w:r>
    </w:p>
    <w:p w14:paraId="1D693BD8" w14:textId="3B7AAA00" w:rsidR="00E319DC" w:rsidRDefault="00E319DC" w:rsidP="00E319DC">
      <w:pPr>
        <w:pStyle w:val="ListParagraph"/>
        <w:numPr>
          <w:ilvl w:val="0"/>
          <w:numId w:val="25"/>
        </w:numPr>
      </w:pPr>
      <w:r>
        <w:t xml:space="preserve">The entire list of </w:t>
      </w:r>
      <w:proofErr w:type="gramStart"/>
      <w:r>
        <w:t>Kindle</w:t>
      </w:r>
      <w:proofErr w:type="gramEnd"/>
      <w:r>
        <w:t xml:space="preserve"> key-words can be found in Appendix 2.1</w:t>
      </w:r>
    </w:p>
    <w:p w14:paraId="2B216D12" w14:textId="3388BA59" w:rsidR="00576AD1" w:rsidRDefault="00576AD1" w:rsidP="00955880"/>
    <w:p w14:paraId="1797E195" w14:textId="77777777" w:rsidR="00576AD1" w:rsidRPr="003E72F4" w:rsidRDefault="00576AD1" w:rsidP="00955880"/>
    <w:p w14:paraId="261750E3" w14:textId="0F4C0655" w:rsidR="00963E72" w:rsidRPr="00072384" w:rsidRDefault="00963E72" w:rsidP="00963E72">
      <w:pPr>
        <w:pBdr>
          <w:bottom w:val="single" w:sz="6" w:space="1" w:color="auto"/>
        </w:pBdr>
        <w:rPr>
          <w:b/>
          <w:sz w:val="24"/>
          <w:szCs w:val="24"/>
        </w:rPr>
      </w:pPr>
      <w:r>
        <w:rPr>
          <w:b/>
          <w:sz w:val="24"/>
          <w:szCs w:val="24"/>
        </w:rPr>
        <w:t>3</w:t>
      </w:r>
      <w:r w:rsidRPr="00072384">
        <w:rPr>
          <w:b/>
          <w:sz w:val="24"/>
          <w:szCs w:val="24"/>
        </w:rPr>
        <w:t xml:space="preserve">. </w:t>
      </w:r>
      <w:r w:rsidR="00CF2BF6">
        <w:rPr>
          <w:b/>
          <w:sz w:val="24"/>
          <w:szCs w:val="24"/>
        </w:rPr>
        <w:t>General</w:t>
      </w:r>
      <w:r w:rsidR="00534C31">
        <w:rPr>
          <w:b/>
          <w:sz w:val="24"/>
          <w:szCs w:val="24"/>
        </w:rPr>
        <w:t xml:space="preserve"> Demographic Makeup</w:t>
      </w:r>
    </w:p>
    <w:p w14:paraId="04801D50" w14:textId="0EA912EF" w:rsidR="00906741" w:rsidRPr="00FE051D" w:rsidRDefault="00906741">
      <w:pPr>
        <w:rPr>
          <w:color w:val="000000" w:themeColor="text1"/>
        </w:rPr>
      </w:pPr>
      <w:r w:rsidRPr="00FE051D">
        <w:rPr>
          <w:color w:val="000000" w:themeColor="text1"/>
        </w:rPr>
        <w:t xml:space="preserve">Before </w:t>
      </w:r>
      <w:r w:rsidR="00FE051D">
        <w:rPr>
          <w:color w:val="000000" w:themeColor="text1"/>
        </w:rPr>
        <w:t>diving</w:t>
      </w:r>
      <w:r w:rsidRPr="00FE051D">
        <w:rPr>
          <w:color w:val="000000" w:themeColor="text1"/>
        </w:rPr>
        <w:t xml:space="preserve"> into </w:t>
      </w:r>
      <w:r w:rsidR="00CF2BF6">
        <w:rPr>
          <w:color w:val="000000" w:themeColor="text1"/>
        </w:rPr>
        <w:t>broader</w:t>
      </w:r>
      <w:r w:rsidRPr="00FE051D">
        <w:rPr>
          <w:color w:val="000000" w:themeColor="text1"/>
        </w:rPr>
        <w:t xml:space="preserve"> analysis, here are </w:t>
      </w:r>
      <w:r w:rsidR="00FE051D" w:rsidRPr="00FE051D">
        <w:rPr>
          <w:color w:val="000000" w:themeColor="text1"/>
        </w:rPr>
        <w:t xml:space="preserve">the basic </w:t>
      </w:r>
      <w:r w:rsidR="00FE051D">
        <w:rPr>
          <w:color w:val="000000" w:themeColor="text1"/>
        </w:rPr>
        <w:t xml:space="preserve">findings about Kindle customers. For a detailed breakdown of these traits, </w:t>
      </w:r>
      <w:r w:rsidR="002148B9">
        <w:rPr>
          <w:color w:val="000000" w:themeColor="text1"/>
        </w:rPr>
        <w:t xml:space="preserve">read </w:t>
      </w:r>
      <w:r w:rsidR="00283A90">
        <w:rPr>
          <w:color w:val="000000" w:themeColor="text1"/>
        </w:rPr>
        <w:t>side-by-</w:t>
      </w:r>
      <w:r w:rsidR="00283A90" w:rsidRPr="002148B9">
        <w:rPr>
          <w:color w:val="000000" w:themeColor="text1"/>
        </w:rPr>
        <w:t xml:space="preserve">side with </w:t>
      </w:r>
      <w:r w:rsidR="00FA780C">
        <w:rPr>
          <w:color w:val="000000" w:themeColor="text1"/>
        </w:rPr>
        <w:t xml:space="preserve">appendices A, </w:t>
      </w:r>
      <w:r w:rsidR="00FE051D" w:rsidRPr="002148B9">
        <w:rPr>
          <w:color w:val="000000" w:themeColor="text1"/>
        </w:rPr>
        <w:t>B</w:t>
      </w:r>
      <w:r w:rsidR="00FA780C">
        <w:rPr>
          <w:color w:val="000000" w:themeColor="text1"/>
        </w:rPr>
        <w:t xml:space="preserve"> and C</w:t>
      </w:r>
      <w:r w:rsidR="00FE051D" w:rsidRPr="002148B9">
        <w:rPr>
          <w:color w:val="000000" w:themeColor="text1"/>
        </w:rPr>
        <w:t>.</w:t>
      </w:r>
    </w:p>
    <w:p w14:paraId="41F13857" w14:textId="77777777" w:rsidR="00906741" w:rsidRDefault="00906741">
      <w:pPr>
        <w:rPr>
          <w:color w:val="FF0000"/>
        </w:rPr>
      </w:pPr>
    </w:p>
    <w:p w14:paraId="2CF6EC58" w14:textId="050D2E7B" w:rsidR="009B6834" w:rsidRDefault="00534C31" w:rsidP="009B6834">
      <w:pPr>
        <w:pStyle w:val="ListParagraph"/>
        <w:numPr>
          <w:ilvl w:val="0"/>
          <w:numId w:val="6"/>
        </w:numPr>
      </w:pPr>
      <w:r w:rsidRPr="000B5F01">
        <w:rPr>
          <w:b/>
        </w:rPr>
        <w:t>Age</w:t>
      </w:r>
      <w:r>
        <w:t xml:space="preserve">: According to credit bureau data, </w:t>
      </w:r>
      <w:r w:rsidR="00EC671A">
        <w:t>45</w:t>
      </w:r>
      <w:r w:rsidRPr="00064925">
        <w:t xml:space="preserve">% of Kindle customers </w:t>
      </w:r>
      <w:r>
        <w:t>are over 50</w:t>
      </w:r>
      <w:r w:rsidRPr="00064925">
        <w:t xml:space="preserve">. </w:t>
      </w:r>
      <w:r>
        <w:t xml:space="preserve">This is consistent with Amazon retail (46% are over age 50), and slightly lower than the 50% of the U.S. population </w:t>
      </w:r>
      <w:r w:rsidR="00EA4AB3">
        <w:t xml:space="preserve">that are </w:t>
      </w:r>
      <w:r>
        <w:t xml:space="preserve">older than 50. However, it is significantly </w:t>
      </w:r>
      <w:r>
        <w:lastRenderedPageBreak/>
        <w:t xml:space="preserve">higher than the overall population of digital readers. </w:t>
      </w:r>
      <w:r w:rsidR="001E0475">
        <w:t xml:space="preserve">A Pew Research study showed that just </w:t>
      </w:r>
      <w:r>
        <w:t>35% of people over age 50 reported reading an e-book in the past year.</w:t>
      </w:r>
      <w:r>
        <w:rPr>
          <w:rStyle w:val="FootnoteReference"/>
        </w:rPr>
        <w:footnoteReference w:id="2"/>
      </w:r>
      <w:r w:rsidR="00EC671A">
        <w:t xml:space="preserve"> </w:t>
      </w:r>
    </w:p>
    <w:p w14:paraId="3D6EE8F7" w14:textId="4922F12B" w:rsidR="00EC671A" w:rsidRDefault="00ED067B" w:rsidP="00EC671A">
      <w:pPr>
        <w:pStyle w:val="ListParagraph"/>
        <w:numPr>
          <w:ilvl w:val="0"/>
          <w:numId w:val="6"/>
        </w:numPr>
        <w:rPr>
          <w:color w:val="FF0000"/>
        </w:rPr>
      </w:pPr>
      <w:r w:rsidRPr="00EC671A">
        <w:rPr>
          <w:b/>
        </w:rPr>
        <w:t>Gender</w:t>
      </w:r>
      <w:r>
        <w:t xml:space="preserve">: </w:t>
      </w:r>
      <w:r w:rsidR="00EC671A" w:rsidRPr="003E72F4">
        <w:t>Customers with reading activity in the pas</w:t>
      </w:r>
      <w:r w:rsidR="00EC671A">
        <w:t>t year trend heavily female – 6</w:t>
      </w:r>
      <w:r w:rsidR="003B6AC9">
        <w:t>1</w:t>
      </w:r>
      <w:r w:rsidR="00EC671A" w:rsidRPr="003E72F4">
        <w:t>% female, in fact.</w:t>
      </w:r>
      <w:r w:rsidR="00EC671A">
        <w:t xml:space="preserve"> This is higher than Amazon at large – women comprise 54% of Amazon retail customers – but directionally consistent with readership among the general population. According to Pew, women are more likely to read</w:t>
      </w:r>
      <w:r w:rsidR="00283A90">
        <w:t xml:space="preserve"> both print and e-books</w:t>
      </w:r>
      <w:r w:rsidR="00EC671A">
        <w:t xml:space="preserve"> books than men. 75% of women stated they read a book in the past 12 months (27% read an e-book), as compared to 73% of men (24% read an e-book).</w:t>
      </w:r>
      <w:r w:rsidR="002148B9">
        <w:rPr>
          <w:rStyle w:val="FootnoteReference"/>
        </w:rPr>
        <w:footnoteReference w:id="3"/>
      </w:r>
      <w:r w:rsidR="002148B9">
        <w:t xml:space="preserve"> However, </w:t>
      </w:r>
      <w:r w:rsidR="005A7221">
        <w:t xml:space="preserve">according to App Annie, </w:t>
      </w:r>
      <w:r w:rsidR="002148B9">
        <w:t xml:space="preserve">Kindle over-indexes on female customers as compared to </w:t>
      </w:r>
      <w:r w:rsidR="005A7221">
        <w:t xml:space="preserve">reading apps like </w:t>
      </w:r>
      <w:proofErr w:type="spellStart"/>
      <w:r w:rsidR="005A7221">
        <w:t>iBooks</w:t>
      </w:r>
      <w:proofErr w:type="spellEnd"/>
      <w:r w:rsidR="005A7221">
        <w:t xml:space="preserve"> (47% female) and Play Books (47% female), </w:t>
      </w:r>
      <w:r w:rsidR="00EF5819">
        <w:t>and even Audible (51</w:t>
      </w:r>
      <w:r w:rsidR="005A7221">
        <w:t>% female</w:t>
      </w:r>
      <w:r w:rsidR="00EF5819">
        <w:t xml:space="preserve"> on iOS, 44% on Android</w:t>
      </w:r>
      <w:r w:rsidR="005A7221">
        <w:t>)</w:t>
      </w:r>
      <w:r w:rsidR="00FA780C">
        <w:t>.</w:t>
      </w:r>
      <w:r w:rsidR="00EF5819">
        <w:rPr>
          <w:rStyle w:val="FootnoteReference"/>
        </w:rPr>
        <w:footnoteReference w:id="4"/>
      </w:r>
    </w:p>
    <w:p w14:paraId="010C4DA6" w14:textId="4DAA4603" w:rsidR="000B5F01" w:rsidRDefault="00EC671A" w:rsidP="00477929">
      <w:pPr>
        <w:pStyle w:val="ListParagraph"/>
        <w:numPr>
          <w:ilvl w:val="0"/>
          <w:numId w:val="6"/>
        </w:numPr>
      </w:pPr>
      <w:r w:rsidRPr="00477929">
        <w:rPr>
          <w:b/>
        </w:rPr>
        <w:t xml:space="preserve">Household Income: </w:t>
      </w:r>
      <w:r w:rsidR="00477929">
        <w:t>Kindle over-indexes slightly on</w:t>
      </w:r>
      <w:r w:rsidR="000B5F01">
        <w:t xml:space="preserve"> high income </w:t>
      </w:r>
      <w:r w:rsidR="00477929">
        <w:t>populations and under-indexes heavily on</w:t>
      </w:r>
      <w:r w:rsidR="000B5F01">
        <w:t xml:space="preserve"> lower income</w:t>
      </w:r>
      <w:r w:rsidR="00477929">
        <w:t xml:space="preserve"> populations. According to credit bureau data, 33% of active Kindle customers have a household income greater than $100,000 per year, as compared to 28% of the overall U.S. population and 23% of Amazon retail customers. 31% of active Kindle customers have a household income under $50,000 per year, as compared to 43% of the national population and 41% of Amazon retail customers.</w:t>
      </w:r>
    </w:p>
    <w:p w14:paraId="0741AF56" w14:textId="71550244" w:rsidR="00477929" w:rsidRDefault="000B5F01" w:rsidP="00477929">
      <w:pPr>
        <w:pStyle w:val="ListParagraph"/>
        <w:numPr>
          <w:ilvl w:val="0"/>
          <w:numId w:val="6"/>
        </w:numPr>
      </w:pPr>
      <w:r>
        <w:rPr>
          <w:b/>
        </w:rPr>
        <w:t xml:space="preserve">Education: </w:t>
      </w:r>
      <w:proofErr w:type="gramStart"/>
      <w:r>
        <w:t>Similar to</w:t>
      </w:r>
      <w:proofErr w:type="gramEnd"/>
      <w:r>
        <w:t xml:space="preserve"> household income, Kindle over-indexes on highly educated customers, and under-indexes on customers with less education.</w:t>
      </w:r>
      <w:r w:rsidR="00477929">
        <w:t xml:space="preserve"> </w:t>
      </w:r>
      <w:r>
        <w:t>72% of Kindle customers have some college education or more, higher than the 63% of the general population with the same education level. And wh</w:t>
      </w:r>
      <w:r w:rsidR="00477929">
        <w:t xml:space="preserve">ile the highest education level for 37% of the U.S. population is a high school diploma, just 28% of Kindle customers are educated at a similar level. </w:t>
      </w:r>
    </w:p>
    <w:p w14:paraId="47A9A8CB" w14:textId="47881089" w:rsidR="00CE37FD" w:rsidRDefault="000B5F01" w:rsidP="00A22FE8">
      <w:pPr>
        <w:pStyle w:val="ListParagraph"/>
        <w:numPr>
          <w:ilvl w:val="0"/>
          <w:numId w:val="6"/>
        </w:numPr>
      </w:pPr>
      <w:r w:rsidRPr="00CE37FD">
        <w:rPr>
          <w:b/>
        </w:rPr>
        <w:t>Children in Home:</w:t>
      </w:r>
      <w:r>
        <w:t xml:space="preserve"> 28% of active readers have children in the home; 72</w:t>
      </w:r>
      <w:r w:rsidRPr="000B5F01">
        <w:t xml:space="preserve">% of active readers </w:t>
      </w:r>
      <w:r>
        <w:t xml:space="preserve">do not. This is relatively </w:t>
      </w:r>
      <w:proofErr w:type="gramStart"/>
      <w:r>
        <w:t>similar to</w:t>
      </w:r>
      <w:proofErr w:type="gramEnd"/>
      <w:r>
        <w:t xml:space="preserve"> Amazon at large, where 33% of customers have children in the home</w:t>
      </w:r>
      <w:r w:rsidR="00CE37FD">
        <w:t xml:space="preserve">, but significantly below the general population average </w:t>
      </w:r>
      <w:r w:rsidR="00283A90">
        <w:t xml:space="preserve">at </w:t>
      </w:r>
      <w:r w:rsidR="00CE37FD">
        <w:t>38% of households</w:t>
      </w:r>
      <w:r>
        <w:t xml:space="preserve">. </w:t>
      </w:r>
    </w:p>
    <w:p w14:paraId="1BEC2CF2" w14:textId="5C1118A2" w:rsidR="00FE051D" w:rsidRDefault="007503BF" w:rsidP="00A22FE8">
      <w:pPr>
        <w:pStyle w:val="ListParagraph"/>
        <w:numPr>
          <w:ilvl w:val="0"/>
          <w:numId w:val="6"/>
        </w:numPr>
      </w:pPr>
      <w:r w:rsidRPr="00CE37FD">
        <w:rPr>
          <w:b/>
        </w:rPr>
        <w:t>Race/Ethnicity:</w:t>
      </w:r>
      <w:r>
        <w:t xml:space="preserve"> </w:t>
      </w:r>
      <w:r w:rsidRPr="007503BF">
        <w:t>According to Omnibus data, 86% of total Kindle readers are White</w:t>
      </w:r>
      <w:r w:rsidR="00FE051D">
        <w:t>, 8% are Hispanic, 6% are Black, and 3% are Asian</w:t>
      </w:r>
      <w:r w:rsidRPr="007503BF">
        <w:t xml:space="preserve">. This maps closely to the overall population of digital readers (85% White), but over-indexes as compared to the U.S. </w:t>
      </w:r>
      <w:proofErr w:type="gramStart"/>
      <w:r w:rsidRPr="007503BF">
        <w:t>population as a whole, in</w:t>
      </w:r>
      <w:proofErr w:type="gramEnd"/>
      <w:r w:rsidRPr="007503BF">
        <w:t xml:space="preserve"> which 77% of the U.S. population identifies as White.</w:t>
      </w:r>
      <w:r>
        <w:t xml:space="preserve"> In contrast,</w:t>
      </w:r>
      <w:r w:rsidR="00FE051D">
        <w:t xml:space="preserve"> Kindle has relatively fewer Hispanic (8%), Black (6%) and Asian (3%) customers than </w:t>
      </w:r>
      <w:r w:rsidR="00B22171">
        <w:t>the U.S. population would suggest (18% Hispanic, 13% Black, 6% Asian).</w:t>
      </w:r>
      <w:r w:rsidR="00283A90">
        <w:rPr>
          <w:rStyle w:val="FootnoteReference"/>
        </w:rPr>
        <w:footnoteReference w:id="5"/>
      </w:r>
      <w:r w:rsidR="00B22171">
        <w:t xml:space="preserve"> </w:t>
      </w:r>
      <w:r w:rsidR="00870A60" w:rsidRPr="003E72F4">
        <w:t>At least part of this is likely due to reading population size – according to the Pew Research Center, 27% of White adults, 23% of Black adults and 19% of Hispanic adults have read an e-book in the past 12 months.</w:t>
      </w:r>
      <w:r w:rsidR="00870A60" w:rsidRPr="003E72F4">
        <w:rPr>
          <w:rStyle w:val="FootnoteReference"/>
        </w:rPr>
        <w:footnoteReference w:id="6"/>
      </w:r>
      <w:r w:rsidR="00870A60" w:rsidRPr="003E72F4">
        <w:t xml:space="preserve"> Since Blacks and Hispanics comprise a smaller overall percentage of the U.S. population, there are fewer potential customers to reach on Kindle.</w:t>
      </w:r>
      <w:r w:rsidR="00870A60">
        <w:t xml:space="preserve"> But it’s also </w:t>
      </w:r>
      <w:r w:rsidR="00B22171" w:rsidRPr="003E72F4">
        <w:t>a company-wide challenge – Amazon retail is 9% Black and 12% Hispanic, an area that has been identified by that team as a gap to be addressed.</w:t>
      </w:r>
      <w:r w:rsidR="00B22171" w:rsidRPr="003E72F4">
        <w:rPr>
          <w:rStyle w:val="FootnoteReference"/>
        </w:rPr>
        <w:footnoteReference w:id="7"/>
      </w:r>
      <w:r w:rsidR="00B22171" w:rsidRPr="003E72F4">
        <w:t xml:space="preserve"> </w:t>
      </w:r>
      <w:r w:rsidR="00870A60">
        <w:t>And</w:t>
      </w:r>
      <w:r w:rsidR="00B22171" w:rsidRPr="003E72F4">
        <w:t xml:space="preserve"> Kindle trends even less diverse than Amazon retail.</w:t>
      </w:r>
    </w:p>
    <w:p w14:paraId="612B6ABF" w14:textId="77777777" w:rsidR="008604A1" w:rsidRDefault="008604A1" w:rsidP="008604A1"/>
    <w:p w14:paraId="0D3BB79D" w14:textId="63151C21" w:rsidR="00887F4D" w:rsidRDefault="00887F4D" w:rsidP="00887F4D">
      <w:pPr>
        <w:pBdr>
          <w:bottom w:val="single" w:sz="6" w:space="1" w:color="auto"/>
        </w:pBdr>
        <w:rPr>
          <w:b/>
          <w:sz w:val="24"/>
          <w:szCs w:val="24"/>
        </w:rPr>
      </w:pPr>
      <w:r>
        <w:rPr>
          <w:b/>
          <w:sz w:val="24"/>
          <w:szCs w:val="24"/>
        </w:rPr>
        <w:t>4.</w:t>
      </w:r>
      <w:r w:rsidRPr="008F4C64">
        <w:rPr>
          <w:b/>
          <w:sz w:val="24"/>
          <w:szCs w:val="24"/>
        </w:rPr>
        <w:t xml:space="preserve"> </w:t>
      </w:r>
      <w:r w:rsidR="002F2292">
        <w:rPr>
          <w:b/>
          <w:sz w:val="24"/>
          <w:szCs w:val="24"/>
        </w:rPr>
        <w:t>Demographic Change Over Time</w:t>
      </w:r>
      <w:r>
        <w:rPr>
          <w:b/>
          <w:sz w:val="24"/>
          <w:szCs w:val="24"/>
        </w:rPr>
        <w:t xml:space="preserve"> </w:t>
      </w:r>
    </w:p>
    <w:p w14:paraId="05737400" w14:textId="64511D93" w:rsidR="002F2292" w:rsidRDefault="00887F4D" w:rsidP="002F2292">
      <w:pPr>
        <w:rPr>
          <w:szCs w:val="22"/>
        </w:rPr>
      </w:pPr>
      <w:r>
        <w:rPr>
          <w:szCs w:val="22"/>
        </w:rPr>
        <w:t xml:space="preserve">Current customer demographics are valuable to examine, but it’s also important to look at how they are changing over time. To measure this, we </w:t>
      </w:r>
      <w:r w:rsidR="002F2292">
        <w:rPr>
          <w:szCs w:val="22"/>
        </w:rPr>
        <w:t>compared demographic data for customers who were active in the past year (2017-2018) against two similar cohorts from the years before (2015-2016 and 2016-2017), then looked specifically at NTK customers to compare new versus existing customers.</w:t>
      </w:r>
      <w:r w:rsidR="002F2292">
        <w:rPr>
          <w:rStyle w:val="FootnoteReference"/>
          <w:szCs w:val="22"/>
        </w:rPr>
        <w:footnoteReference w:id="8"/>
      </w:r>
      <w:r w:rsidR="002F2292">
        <w:rPr>
          <w:szCs w:val="22"/>
        </w:rPr>
        <w:t xml:space="preserve">  </w:t>
      </w:r>
    </w:p>
    <w:p w14:paraId="14E73160" w14:textId="77777777" w:rsidR="00887F4D" w:rsidRDefault="00887F4D" w:rsidP="00887F4D">
      <w:pPr>
        <w:rPr>
          <w:szCs w:val="22"/>
        </w:rPr>
      </w:pPr>
    </w:p>
    <w:p w14:paraId="5FC29E62" w14:textId="33AEA4B0" w:rsidR="00A8455E" w:rsidRDefault="00A8455E" w:rsidP="00887F4D">
      <w:pPr>
        <w:rPr>
          <w:szCs w:val="22"/>
        </w:rPr>
      </w:pPr>
      <w:r>
        <w:rPr>
          <w:szCs w:val="22"/>
        </w:rPr>
        <w:t xml:space="preserve">For this, since we do not have a historical snapshot of customer attributes for previous years, we were only able to look at values for which we were able to infer historical records – age since it has a constant rate of change, and gender since it is less likely to change on a broad scale. </w:t>
      </w:r>
      <w:r w:rsidR="00887F4D">
        <w:rPr>
          <w:szCs w:val="22"/>
        </w:rPr>
        <w:t xml:space="preserve">We were not able to measure changes in other demographic attributes like household income, education, or children because those values change </w:t>
      </w:r>
      <w:r>
        <w:rPr>
          <w:szCs w:val="22"/>
        </w:rPr>
        <w:t xml:space="preserve">inconsistently </w:t>
      </w:r>
      <w:r w:rsidR="00887F4D">
        <w:rPr>
          <w:szCs w:val="22"/>
        </w:rPr>
        <w:t>over time</w:t>
      </w:r>
      <w:r>
        <w:rPr>
          <w:szCs w:val="22"/>
        </w:rPr>
        <w:t xml:space="preserve">. If we are interested in diving deeper on those attributes, we can begin tracking now to analyze further in the future.  </w:t>
      </w:r>
    </w:p>
    <w:p w14:paraId="168742F3" w14:textId="77777777" w:rsidR="002F2292" w:rsidRDefault="002F2292" w:rsidP="008604A1">
      <w:pPr>
        <w:rPr>
          <w:szCs w:val="22"/>
        </w:rPr>
      </w:pPr>
    </w:p>
    <w:p w14:paraId="14025232" w14:textId="10ED36AF" w:rsidR="002F2292" w:rsidRDefault="005E0F10" w:rsidP="002F2292">
      <w:pPr>
        <w:pStyle w:val="ListParagraph"/>
        <w:numPr>
          <w:ilvl w:val="0"/>
          <w:numId w:val="15"/>
        </w:numPr>
        <w:rPr>
          <w:szCs w:val="22"/>
        </w:rPr>
      </w:pPr>
      <w:r>
        <w:rPr>
          <w:b/>
          <w:szCs w:val="22"/>
        </w:rPr>
        <w:t xml:space="preserve">Average age trending </w:t>
      </w:r>
      <w:r w:rsidR="000D0C47">
        <w:rPr>
          <w:b/>
          <w:szCs w:val="22"/>
        </w:rPr>
        <w:t>u</w:t>
      </w:r>
      <w:r w:rsidR="00274F54">
        <w:rPr>
          <w:b/>
          <w:szCs w:val="22"/>
        </w:rPr>
        <w:t>p</w:t>
      </w:r>
      <w:r>
        <w:rPr>
          <w:b/>
          <w:szCs w:val="22"/>
        </w:rPr>
        <w:t xml:space="preserve"> </w:t>
      </w:r>
      <w:r w:rsidR="00F41BFF">
        <w:rPr>
          <w:b/>
          <w:szCs w:val="22"/>
        </w:rPr>
        <w:t xml:space="preserve">slightly </w:t>
      </w:r>
      <w:r>
        <w:rPr>
          <w:b/>
          <w:szCs w:val="22"/>
        </w:rPr>
        <w:t>over time</w:t>
      </w:r>
      <w:r w:rsidR="002F2292" w:rsidRPr="007A690E">
        <w:rPr>
          <w:b/>
          <w:szCs w:val="22"/>
        </w:rPr>
        <w:t>:</w:t>
      </w:r>
      <w:r w:rsidR="002F2292" w:rsidRPr="007A690E">
        <w:rPr>
          <w:szCs w:val="22"/>
        </w:rPr>
        <w:t xml:space="preserve"> </w:t>
      </w:r>
      <w:r w:rsidR="008451C5">
        <w:rPr>
          <w:szCs w:val="22"/>
        </w:rPr>
        <w:t xml:space="preserve">Kindle readers as a whole trend older than both Amazon retail and the digital reading population as a </w:t>
      </w:r>
      <w:proofErr w:type="gramStart"/>
      <w:r w:rsidR="008451C5">
        <w:rPr>
          <w:szCs w:val="22"/>
        </w:rPr>
        <w:t>whole,</w:t>
      </w:r>
      <w:r w:rsidR="008D08A7">
        <w:rPr>
          <w:szCs w:val="22"/>
        </w:rPr>
        <w:t xml:space="preserve"> and</w:t>
      </w:r>
      <w:proofErr w:type="gramEnd"/>
      <w:r w:rsidR="008451C5">
        <w:rPr>
          <w:szCs w:val="22"/>
        </w:rPr>
        <w:t xml:space="preserve"> have </w:t>
      </w:r>
      <w:r w:rsidR="002F2292" w:rsidRPr="007A690E">
        <w:rPr>
          <w:szCs w:val="22"/>
        </w:rPr>
        <w:t xml:space="preserve">been getting </w:t>
      </w:r>
      <w:r w:rsidR="000D0C47">
        <w:rPr>
          <w:szCs w:val="22"/>
        </w:rPr>
        <w:t>older</w:t>
      </w:r>
      <w:r w:rsidR="002F2292" w:rsidRPr="007A690E">
        <w:rPr>
          <w:szCs w:val="22"/>
        </w:rPr>
        <w:t xml:space="preserve"> for the past 3 years in a row. The </w:t>
      </w:r>
      <w:r w:rsidR="000D0C47">
        <w:rPr>
          <w:szCs w:val="22"/>
        </w:rPr>
        <w:t>increase</w:t>
      </w:r>
      <w:r w:rsidR="002F2292" w:rsidRPr="007A690E">
        <w:rPr>
          <w:szCs w:val="22"/>
        </w:rPr>
        <w:t xml:space="preserve"> in average age is slightly apparent at the overall level (the average age of active readers from the oldest cohort was 4</w:t>
      </w:r>
      <w:r w:rsidR="00B1171B">
        <w:rPr>
          <w:szCs w:val="22"/>
        </w:rPr>
        <w:t>6</w:t>
      </w:r>
      <w:r w:rsidR="002F2292" w:rsidRPr="007A690E">
        <w:rPr>
          <w:szCs w:val="22"/>
        </w:rPr>
        <w:t xml:space="preserve"> years old, </w:t>
      </w:r>
      <w:r w:rsidR="00F41BFF">
        <w:rPr>
          <w:szCs w:val="22"/>
        </w:rPr>
        <w:t xml:space="preserve">and </w:t>
      </w:r>
      <w:r w:rsidR="002F2292" w:rsidRPr="007A690E">
        <w:rPr>
          <w:szCs w:val="22"/>
        </w:rPr>
        <w:t xml:space="preserve">it </w:t>
      </w:r>
      <w:r w:rsidR="00F41BFF">
        <w:rPr>
          <w:szCs w:val="22"/>
        </w:rPr>
        <w:t xml:space="preserve">has since </w:t>
      </w:r>
      <w:r w:rsidR="002F2292" w:rsidRPr="007A690E">
        <w:rPr>
          <w:szCs w:val="22"/>
        </w:rPr>
        <w:t>increased to 47.6),</w:t>
      </w:r>
      <w:r w:rsidR="002F2292">
        <w:rPr>
          <w:szCs w:val="22"/>
        </w:rPr>
        <w:t xml:space="preserve"> </w:t>
      </w:r>
      <w:r w:rsidR="002F2292" w:rsidRPr="007A690E">
        <w:rPr>
          <w:szCs w:val="22"/>
        </w:rPr>
        <w:t xml:space="preserve">without much change in standard deviation, inferring an entire </w:t>
      </w:r>
      <w:r w:rsidR="00B1171B">
        <w:rPr>
          <w:szCs w:val="22"/>
        </w:rPr>
        <w:t>rightward</w:t>
      </w:r>
      <w:r w:rsidR="002F2292" w:rsidRPr="007A690E">
        <w:rPr>
          <w:szCs w:val="22"/>
        </w:rPr>
        <w:t xml:space="preserve"> shift.</w:t>
      </w:r>
    </w:p>
    <w:p w14:paraId="5DC94DE9" w14:textId="4335F97B" w:rsidR="008D08A7" w:rsidRDefault="008D08A7" w:rsidP="002F2292">
      <w:pPr>
        <w:pStyle w:val="ListParagraph"/>
        <w:numPr>
          <w:ilvl w:val="1"/>
          <w:numId w:val="15"/>
        </w:numPr>
        <w:rPr>
          <w:szCs w:val="22"/>
        </w:rPr>
      </w:pPr>
      <w:r>
        <w:rPr>
          <w:szCs w:val="22"/>
        </w:rPr>
        <w:lastRenderedPageBreak/>
        <w:t xml:space="preserve">To better understand this shift, we looked at whether the average age changed significantly by primary device </w:t>
      </w:r>
      <w:proofErr w:type="gramStart"/>
      <w:r>
        <w:rPr>
          <w:szCs w:val="22"/>
        </w:rPr>
        <w:t>used, and</w:t>
      </w:r>
      <w:proofErr w:type="gramEnd"/>
      <w:r>
        <w:rPr>
          <w:szCs w:val="22"/>
        </w:rPr>
        <w:t xml:space="preserve"> saw</w:t>
      </w:r>
      <w:r w:rsidR="00274F54">
        <w:rPr>
          <w:szCs w:val="22"/>
        </w:rPr>
        <w:t xml:space="preserve"> that the average age is trending up on every </w:t>
      </w:r>
      <w:r w:rsidR="00352524">
        <w:rPr>
          <w:szCs w:val="22"/>
        </w:rPr>
        <w:t>major</w:t>
      </w:r>
      <w:r w:rsidR="00274F54">
        <w:rPr>
          <w:szCs w:val="22"/>
        </w:rPr>
        <w:t xml:space="preserve"> device, although it’s trending up slowest on E-readers (35% of active reading). </w:t>
      </w:r>
      <w:r w:rsidR="005877E7">
        <w:t xml:space="preserve">The average age of customers who read on </w:t>
      </w:r>
      <w:r w:rsidR="00274F54">
        <w:t xml:space="preserve">E-reader </w:t>
      </w:r>
      <w:r w:rsidR="005877E7">
        <w:t xml:space="preserve">is </w:t>
      </w:r>
      <w:r w:rsidR="00274F54">
        <w:t xml:space="preserve">on average 0.8 years older now than they </w:t>
      </w:r>
      <w:r w:rsidR="005877E7">
        <w:t>it was</w:t>
      </w:r>
      <w:r w:rsidR="00274F54">
        <w:t xml:space="preserve"> in 2015 (from 49.4 years old in 2015 to 50.2 in 2018).</w:t>
      </w:r>
      <w:r w:rsidR="005877E7">
        <w:t xml:space="preserve"> In comparison, the average age of iPhone/Android users</w:t>
      </w:r>
      <w:r w:rsidR="00B23418">
        <w:t xml:space="preserve"> </w:t>
      </w:r>
      <w:r w:rsidR="005877E7">
        <w:t>rose 2 years, and the average age of iPad readers increased 2.8 years (from 48.2 to 51) in the same timeframe.</w:t>
      </w:r>
    </w:p>
    <w:p w14:paraId="0F36C50D" w14:textId="28AD2E90" w:rsidR="002F2292" w:rsidRDefault="001965DE" w:rsidP="002F2292">
      <w:pPr>
        <w:jc w:val="center"/>
        <w:rPr>
          <w:szCs w:val="22"/>
        </w:rPr>
      </w:pPr>
      <w:r>
        <w:rPr>
          <w:noProof/>
          <w:szCs w:val="22"/>
          <w:lang w:eastAsia="ko-KR"/>
        </w:rPr>
        <w:drawing>
          <wp:inline distT="0" distB="0" distL="0" distR="0" wp14:anchorId="14077726" wp14:editId="58B0362F">
            <wp:extent cx="3144129" cy="1868429"/>
            <wp:effectExtent l="165100" t="165100" r="170815" b="1638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ge distribution.png"/>
                    <pic:cNvPicPr/>
                  </pic:nvPicPr>
                  <pic:blipFill>
                    <a:blip r:embed="rId11">
                      <a:extLst>
                        <a:ext uri="{28A0092B-C50C-407E-A947-70E740481C1C}">
                          <a14:useLocalDpi xmlns:a14="http://schemas.microsoft.com/office/drawing/2010/main" val="0"/>
                        </a:ext>
                      </a:extLst>
                    </a:blip>
                    <a:stretch>
                      <a:fillRect/>
                    </a:stretch>
                  </pic:blipFill>
                  <pic:spPr>
                    <a:xfrm>
                      <a:off x="0" y="0"/>
                      <a:ext cx="3183488" cy="1891818"/>
                    </a:xfrm>
                    <a:prstGeom prst="rect">
                      <a:avLst/>
                    </a:prstGeom>
                    <a:ln>
                      <a:noFill/>
                    </a:ln>
                    <a:effectLst>
                      <a:outerShdw blurRad="190500" algn="tl" rotWithShape="0">
                        <a:srgbClr val="000000">
                          <a:alpha val="70000"/>
                        </a:srgbClr>
                      </a:outerShdw>
                    </a:effectLst>
                  </pic:spPr>
                </pic:pic>
              </a:graphicData>
            </a:graphic>
          </wp:inline>
        </w:drawing>
      </w:r>
      <w:r w:rsidR="00274F54">
        <w:rPr>
          <w:i/>
          <w:noProof/>
          <w:sz w:val="18"/>
          <w:szCs w:val="18"/>
          <w:lang w:eastAsia="ko-KR"/>
        </w:rPr>
        <w:drawing>
          <wp:inline distT="0" distB="0" distL="0" distR="0" wp14:anchorId="2F280C78" wp14:editId="48FD0F31">
            <wp:extent cx="2961249" cy="1863120"/>
            <wp:effectExtent l="165100" t="165100" r="163195" b="1689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vice age.png"/>
                    <pic:cNvPicPr/>
                  </pic:nvPicPr>
                  <pic:blipFill>
                    <a:blip r:embed="rId12">
                      <a:extLst>
                        <a:ext uri="{28A0092B-C50C-407E-A947-70E740481C1C}">
                          <a14:useLocalDpi xmlns:a14="http://schemas.microsoft.com/office/drawing/2010/main" val="0"/>
                        </a:ext>
                      </a:extLst>
                    </a:blip>
                    <a:stretch>
                      <a:fillRect/>
                    </a:stretch>
                  </pic:blipFill>
                  <pic:spPr>
                    <a:xfrm>
                      <a:off x="0" y="0"/>
                      <a:ext cx="2987450" cy="1879605"/>
                    </a:xfrm>
                    <a:prstGeom prst="rect">
                      <a:avLst/>
                    </a:prstGeom>
                    <a:ln>
                      <a:noFill/>
                    </a:ln>
                    <a:effectLst>
                      <a:outerShdw blurRad="190500" algn="tl" rotWithShape="0">
                        <a:srgbClr val="000000">
                          <a:alpha val="70000"/>
                        </a:srgbClr>
                      </a:outerShdw>
                    </a:effectLst>
                  </pic:spPr>
                </pic:pic>
              </a:graphicData>
            </a:graphic>
          </wp:inline>
        </w:drawing>
      </w:r>
    </w:p>
    <w:p w14:paraId="1E592531" w14:textId="672F65AB" w:rsidR="005E0F10" w:rsidRDefault="005E0F10" w:rsidP="002F2292">
      <w:pPr>
        <w:jc w:val="center"/>
        <w:rPr>
          <w:i/>
          <w:sz w:val="18"/>
          <w:szCs w:val="18"/>
        </w:rPr>
      </w:pPr>
      <w:r w:rsidRPr="005E0F10">
        <w:rPr>
          <w:i/>
          <w:sz w:val="18"/>
          <w:szCs w:val="18"/>
        </w:rPr>
        <w:t xml:space="preserve">P0 Cohort: 2017-2018 customers, P1 Cohort: 2016-2017 customers, P2 Cohort: 2015-2016 customers </w:t>
      </w:r>
    </w:p>
    <w:p w14:paraId="5E200F5C" w14:textId="01664C10" w:rsidR="002F2292" w:rsidRDefault="002F2292" w:rsidP="008604A1"/>
    <w:p w14:paraId="5829839E" w14:textId="6E9ECF28" w:rsidR="00DE4682" w:rsidRDefault="005E0F10" w:rsidP="003F38E6">
      <w:pPr>
        <w:pStyle w:val="ListParagraph"/>
        <w:numPr>
          <w:ilvl w:val="0"/>
          <w:numId w:val="15"/>
        </w:numPr>
        <w:rPr>
          <w:color w:val="000000" w:themeColor="text1"/>
          <w:szCs w:val="22"/>
        </w:rPr>
      </w:pPr>
      <w:r>
        <w:rPr>
          <w:b/>
          <w:szCs w:val="22"/>
        </w:rPr>
        <w:t>Smaller share of younger customers coming in</w:t>
      </w:r>
      <w:r w:rsidRPr="005E0F10">
        <w:rPr>
          <w:b/>
          <w:szCs w:val="22"/>
        </w:rPr>
        <w:t>:</w:t>
      </w:r>
      <w:r w:rsidRPr="005E0F10">
        <w:rPr>
          <w:szCs w:val="22"/>
        </w:rPr>
        <w:t xml:space="preserve"> </w:t>
      </w:r>
      <w:r w:rsidRPr="005E0F10">
        <w:rPr>
          <w:color w:val="000000" w:themeColor="text1"/>
          <w:szCs w:val="22"/>
        </w:rPr>
        <w:t>As evidenced by the graph below, the average age of NTK customers trended slightly younger from 2009 to 201</w:t>
      </w:r>
      <w:r w:rsidR="00F96167">
        <w:rPr>
          <w:color w:val="000000" w:themeColor="text1"/>
          <w:szCs w:val="22"/>
        </w:rPr>
        <w:t>6</w:t>
      </w:r>
      <w:r w:rsidRPr="005E0F10">
        <w:rPr>
          <w:color w:val="000000" w:themeColor="text1"/>
          <w:szCs w:val="22"/>
        </w:rPr>
        <w:t xml:space="preserve"> – from 48 years old in 2009 to 42 in 2016. However, since then</w:t>
      </w:r>
      <w:r w:rsidR="00F96167">
        <w:rPr>
          <w:color w:val="000000" w:themeColor="text1"/>
          <w:szCs w:val="22"/>
        </w:rPr>
        <w:t xml:space="preserve"> it</w:t>
      </w:r>
      <w:r w:rsidRPr="005E0F10">
        <w:rPr>
          <w:color w:val="000000" w:themeColor="text1"/>
          <w:szCs w:val="22"/>
        </w:rPr>
        <w:t xml:space="preserve"> has trended back up (</w:t>
      </w:r>
      <w:r w:rsidR="00C874DC">
        <w:rPr>
          <w:color w:val="000000" w:themeColor="text1"/>
          <w:szCs w:val="22"/>
        </w:rPr>
        <w:t xml:space="preserve">to </w:t>
      </w:r>
      <w:r w:rsidRPr="005E0F10">
        <w:rPr>
          <w:color w:val="000000" w:themeColor="text1"/>
          <w:szCs w:val="22"/>
        </w:rPr>
        <w:t xml:space="preserve">43 in 2017), driven both by a larger share of older customers signing up, and fewer </w:t>
      </w:r>
      <w:r w:rsidR="003F38E6">
        <w:rPr>
          <w:color w:val="000000" w:themeColor="text1"/>
          <w:szCs w:val="22"/>
        </w:rPr>
        <w:t>young</w:t>
      </w:r>
      <w:r w:rsidRPr="005E0F10">
        <w:rPr>
          <w:color w:val="000000" w:themeColor="text1"/>
          <w:szCs w:val="22"/>
        </w:rPr>
        <w:t xml:space="preserve"> customers doing so. Very young users (18-24) represented about 15% of total monthly NTKs in 2009, which ha</w:t>
      </w:r>
      <w:r w:rsidR="003F38E6">
        <w:rPr>
          <w:color w:val="000000" w:themeColor="text1"/>
          <w:szCs w:val="22"/>
        </w:rPr>
        <w:t>d increased to ~20% by late 2015</w:t>
      </w:r>
      <w:r w:rsidRPr="005E0F10">
        <w:rPr>
          <w:color w:val="000000" w:themeColor="text1"/>
          <w:szCs w:val="22"/>
        </w:rPr>
        <w:t>. However, that group started dropping in early 201</w:t>
      </w:r>
      <w:r w:rsidR="003F38E6">
        <w:rPr>
          <w:color w:val="000000" w:themeColor="text1"/>
          <w:szCs w:val="22"/>
        </w:rPr>
        <w:t>6</w:t>
      </w:r>
      <w:r w:rsidRPr="005E0F10">
        <w:rPr>
          <w:color w:val="000000" w:themeColor="text1"/>
          <w:szCs w:val="22"/>
        </w:rPr>
        <w:t xml:space="preserve"> and was just 12% in the most recent quarter (Q2 2018).</w:t>
      </w:r>
      <w:r w:rsidR="003F38E6">
        <w:rPr>
          <w:color w:val="000000" w:themeColor="text1"/>
          <w:szCs w:val="22"/>
        </w:rPr>
        <w:t xml:space="preserve"> This is not just a percentage drop – t</w:t>
      </w:r>
      <w:r w:rsidR="003F38E6" w:rsidRPr="003F38E6">
        <w:rPr>
          <w:color w:val="000000" w:themeColor="text1"/>
          <w:szCs w:val="22"/>
        </w:rPr>
        <w:t>he absolute number of 18-24 NTK customers is dropping as well. From 2012 to 2015, Kindle was acquiring 800 users per month on average who were 18-24, but from 2016 onward, Kindle has averaged just 560 new users aged 18-24 per month, despite the overall number of NTKs increasing 10% during the same timeframe.</w:t>
      </w:r>
    </w:p>
    <w:p w14:paraId="2039A143" w14:textId="5A92CC34" w:rsidR="005E0F10" w:rsidRDefault="005E0F10" w:rsidP="005E0F10">
      <w:pPr>
        <w:pStyle w:val="ListParagraph"/>
        <w:numPr>
          <w:ilvl w:val="1"/>
          <w:numId w:val="15"/>
        </w:numPr>
        <w:tabs>
          <w:tab w:val="left" w:pos="6390"/>
        </w:tabs>
        <w:rPr>
          <w:color w:val="000000" w:themeColor="text1"/>
        </w:rPr>
      </w:pPr>
      <w:r w:rsidRPr="005E0F10">
        <w:rPr>
          <w:color w:val="000000" w:themeColor="text1"/>
          <w:szCs w:val="22"/>
        </w:rPr>
        <w:t xml:space="preserve">Interestingly, we see average age dip (trend younger) every year around August, September, and January. </w:t>
      </w:r>
      <w:r w:rsidRPr="005E0F10">
        <w:rPr>
          <w:color w:val="000000" w:themeColor="text1"/>
        </w:rPr>
        <w:t>Our hypothesis was that this spike was driven by students signing up to prepare for the new semester of school. We validated this by looking at the primary genre of books those new customers consumed, and noticed they were far more likely to consume textbooks (78% more likely) and comics/graphic novels (38% more likely) than the general NTK population, and less likely to consume other genres l</w:t>
      </w:r>
      <w:r w:rsidR="003F38E6">
        <w:rPr>
          <w:color w:val="000000" w:themeColor="text1"/>
        </w:rPr>
        <w:t>ike romance (18% less likely).</w:t>
      </w:r>
    </w:p>
    <w:p w14:paraId="2201542F" w14:textId="6D22B0A8" w:rsidR="005E0F10" w:rsidRPr="005E0F10" w:rsidRDefault="005E0F10" w:rsidP="005E0F10">
      <w:pPr>
        <w:tabs>
          <w:tab w:val="left" w:pos="6390"/>
        </w:tabs>
        <w:jc w:val="center"/>
        <w:rPr>
          <w:color w:val="000000" w:themeColor="text1"/>
        </w:rPr>
      </w:pPr>
      <w:r>
        <w:rPr>
          <w:noProof/>
          <w:lang w:eastAsia="ko-KR"/>
        </w:rPr>
        <w:drawing>
          <wp:inline distT="0" distB="0" distL="0" distR="0" wp14:anchorId="66E02074" wp14:editId="39C8FB8F">
            <wp:extent cx="4578674" cy="2544556"/>
            <wp:effectExtent l="165100" t="165100" r="171450" b="1606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18854" cy="2566886"/>
                    </a:xfrm>
                    <a:prstGeom prst="rect">
                      <a:avLst/>
                    </a:prstGeom>
                    <a:ln>
                      <a:noFill/>
                    </a:ln>
                    <a:effectLst>
                      <a:outerShdw blurRad="190500" algn="tl" rotWithShape="0">
                        <a:srgbClr val="000000">
                          <a:alpha val="70000"/>
                        </a:srgbClr>
                      </a:outerShdw>
                    </a:effectLst>
                  </pic:spPr>
                </pic:pic>
              </a:graphicData>
            </a:graphic>
          </wp:inline>
        </w:drawing>
      </w:r>
    </w:p>
    <w:p w14:paraId="60B80DAA" w14:textId="77777777" w:rsidR="004F5FC4" w:rsidRPr="004F5FC4" w:rsidRDefault="00B807CA" w:rsidP="004F5FC4">
      <w:pPr>
        <w:pStyle w:val="ListParagraph"/>
        <w:numPr>
          <w:ilvl w:val="0"/>
          <w:numId w:val="10"/>
        </w:numPr>
        <w:pBdr>
          <w:bottom w:val="single" w:sz="6" w:space="31" w:color="auto"/>
        </w:pBdr>
        <w:rPr>
          <w:b/>
          <w:sz w:val="24"/>
          <w:szCs w:val="24"/>
        </w:rPr>
      </w:pPr>
      <w:r>
        <w:rPr>
          <w:b/>
          <w:szCs w:val="22"/>
        </w:rPr>
        <w:t>Fewer new women joining</w:t>
      </w:r>
      <w:r w:rsidRPr="00B807CA">
        <w:rPr>
          <w:b/>
          <w:szCs w:val="22"/>
        </w:rPr>
        <w:t>:</w:t>
      </w:r>
      <w:r w:rsidRPr="00B807CA">
        <w:rPr>
          <w:szCs w:val="22"/>
        </w:rPr>
        <w:t xml:space="preserve"> </w:t>
      </w:r>
      <w:proofErr w:type="gramStart"/>
      <w:r>
        <w:t>The m</w:t>
      </w:r>
      <w:r w:rsidRPr="00E0471C">
        <w:t>ajority of</w:t>
      </w:r>
      <w:proofErr w:type="gramEnd"/>
      <w:r w:rsidRPr="00E0471C">
        <w:t xml:space="preserve"> active readers are wom</w:t>
      </w:r>
      <w:r>
        <w:t xml:space="preserve">en, and the representation stayed relatively constant over the last few years. Women comprised 62% of active readers in </w:t>
      </w:r>
      <w:proofErr w:type="gramStart"/>
      <w:r>
        <w:t>2015, and</w:t>
      </w:r>
      <w:proofErr w:type="gramEnd"/>
      <w:r>
        <w:t xml:space="preserve"> comprise 61% in the current year. </w:t>
      </w:r>
      <w:r w:rsidR="00A67652">
        <w:t xml:space="preserve">New </w:t>
      </w:r>
      <w:r w:rsidR="00A67652">
        <w:lastRenderedPageBreak/>
        <w:t>customers have also stayed similarly constant – while there was a period in 2012 where women comprised 60%+ of new sign-ups, it has held steady at 55% over the past 3 or so years. Given the gap between customer sign-up rates b</w:t>
      </w:r>
      <w:r w:rsidR="008F70E0">
        <w:t xml:space="preserve">y gender and the overall gender </w:t>
      </w:r>
      <w:r w:rsidR="00A67652">
        <w:t xml:space="preserve">split, we can infer that women tend to be more engaged and stick around longer than men do. </w:t>
      </w:r>
    </w:p>
    <w:p w14:paraId="69BF84CF" w14:textId="6BD898EA" w:rsidR="00820B46" w:rsidRPr="00E319DC" w:rsidRDefault="00A67652" w:rsidP="00E319DC">
      <w:pPr>
        <w:pBdr>
          <w:bottom w:val="single" w:sz="6" w:space="31" w:color="auto"/>
        </w:pBdr>
        <w:ind w:left="360"/>
        <w:jc w:val="center"/>
        <w:rPr>
          <w:b/>
          <w:sz w:val="24"/>
          <w:szCs w:val="24"/>
        </w:rPr>
      </w:pPr>
      <w:r>
        <w:rPr>
          <w:noProof/>
          <w:lang w:eastAsia="ko-KR"/>
        </w:rPr>
        <w:drawing>
          <wp:inline distT="0" distB="0" distL="0" distR="0" wp14:anchorId="43412C6B" wp14:editId="19392226">
            <wp:extent cx="3643532" cy="2688521"/>
            <wp:effectExtent l="0" t="0" r="0" b="4445"/>
            <wp:docPr id="8" name="Picture 8" descr="/var/folders/n6/f809xlz57bv5lnmv_ml_vcjcmss017/T/com.microsoft.Word/Content.MSO/7D02048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n6/f809xlz57bv5lnmv_ml_vcjcmss017/T/com.microsoft.Word/Content.MSO/7D020487.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04874" cy="2733785"/>
                    </a:xfrm>
                    <a:prstGeom prst="rect">
                      <a:avLst/>
                    </a:prstGeom>
                    <a:noFill/>
                    <a:ln>
                      <a:noFill/>
                    </a:ln>
                  </pic:spPr>
                </pic:pic>
              </a:graphicData>
            </a:graphic>
          </wp:inline>
        </w:drawing>
      </w:r>
      <w:r w:rsidR="00150B73">
        <w:br w:type="page"/>
      </w:r>
    </w:p>
    <w:p w14:paraId="37FC5A48" w14:textId="358F5B32" w:rsidR="00E34F64" w:rsidRDefault="00E319DC" w:rsidP="00E34F64">
      <w:pPr>
        <w:pBdr>
          <w:bottom w:val="single" w:sz="6" w:space="1" w:color="auto"/>
        </w:pBdr>
        <w:rPr>
          <w:b/>
          <w:color w:val="000000" w:themeColor="text1"/>
          <w:sz w:val="24"/>
        </w:rPr>
      </w:pPr>
      <w:r>
        <w:rPr>
          <w:b/>
          <w:color w:val="000000" w:themeColor="text1"/>
          <w:sz w:val="24"/>
        </w:rPr>
        <w:lastRenderedPageBreak/>
        <w:t>Appendix</w:t>
      </w:r>
    </w:p>
    <w:p w14:paraId="32216574" w14:textId="01253045" w:rsidR="004C1AF8" w:rsidRDefault="004C1AF8" w:rsidP="00E319DC">
      <w:pPr>
        <w:rPr>
          <w:color w:val="4472C4" w:themeColor="accent1"/>
        </w:rPr>
      </w:pPr>
    </w:p>
    <w:p w14:paraId="0AB976F3" w14:textId="17B72291" w:rsidR="00E319DC" w:rsidRDefault="00E319DC" w:rsidP="00E319DC">
      <w:pPr>
        <w:rPr>
          <w:color w:val="4472C4" w:themeColor="accent1"/>
        </w:rPr>
      </w:pPr>
      <w:r>
        <w:rPr>
          <w:color w:val="4472C4" w:themeColor="accent1"/>
        </w:rPr>
        <w:t>Appendix 2.1:</w:t>
      </w:r>
    </w:p>
    <w:p w14:paraId="3571DEBA" w14:textId="43170BC7" w:rsidR="00E319DC" w:rsidRPr="00E319DC" w:rsidRDefault="00E319DC" w:rsidP="00E319DC">
      <w:pPr>
        <w:rPr>
          <w:color w:val="4472C4" w:themeColor="accent1"/>
        </w:rPr>
      </w:pPr>
      <w:r>
        <w:rPr>
          <w:noProof/>
        </w:rPr>
        <w:drawing>
          <wp:inline distT="0" distB="0" distL="0" distR="0" wp14:anchorId="662B988C" wp14:editId="17E533DC">
            <wp:extent cx="4852822" cy="4701396"/>
            <wp:effectExtent l="0" t="0" r="508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81611" cy="4729287"/>
                    </a:xfrm>
                    <a:prstGeom prst="rect">
                      <a:avLst/>
                    </a:prstGeom>
                  </pic:spPr>
                </pic:pic>
              </a:graphicData>
            </a:graphic>
          </wp:inline>
        </w:drawing>
      </w:r>
      <w:bookmarkStart w:id="0" w:name="_GoBack"/>
      <w:bookmarkEnd w:id="0"/>
    </w:p>
    <w:p w14:paraId="7D7B4CD6" w14:textId="5D893E1D" w:rsidR="00F964A0" w:rsidRPr="00F75B15" w:rsidRDefault="00F964A0" w:rsidP="003D66F1">
      <w:pPr>
        <w:rPr>
          <w:color w:val="4472C4" w:themeColor="accent1"/>
        </w:rPr>
      </w:pPr>
    </w:p>
    <w:sectPr w:rsidR="00F964A0" w:rsidRPr="00F75B15" w:rsidSect="003E2A2D">
      <w:headerReference w:type="default" r:id="rId16"/>
      <w:footerReference w:type="default" r:id="rId1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BE98B1" w14:textId="77777777" w:rsidR="0074665A" w:rsidRDefault="0074665A" w:rsidP="00955880">
      <w:r>
        <w:separator/>
      </w:r>
    </w:p>
  </w:endnote>
  <w:endnote w:type="continuationSeparator" w:id="0">
    <w:p w14:paraId="1F9B3285" w14:textId="77777777" w:rsidR="0074665A" w:rsidRDefault="0074665A" w:rsidP="00955880">
      <w:r>
        <w:continuationSeparator/>
      </w:r>
    </w:p>
  </w:endnote>
  <w:endnote w:type="continuationNotice" w:id="1">
    <w:p w14:paraId="02482A0F" w14:textId="77777777" w:rsidR="0074665A" w:rsidRDefault="0074665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55A39B" w14:textId="3211CE43" w:rsidR="00405D73" w:rsidRPr="000171C4" w:rsidRDefault="00405D73">
    <w:pPr>
      <w:pStyle w:val="Footer"/>
      <w:rPr>
        <w:i/>
        <w:sz w:val="18"/>
        <w:szCs w:val="18"/>
      </w:rPr>
    </w:pPr>
    <w:r w:rsidRPr="00DE0EE0">
      <w:rPr>
        <w:i/>
        <w:sz w:val="18"/>
        <w:szCs w:val="18"/>
      </w:rPr>
      <w:t xml:space="preserve">Amazon </w:t>
    </w:r>
    <w:r w:rsidRPr="23EEA572">
      <w:rPr>
        <w:i/>
        <w:iCs/>
        <w:sz w:val="18"/>
        <w:szCs w:val="18"/>
      </w:rPr>
      <w:t>Confidential</w:t>
    </w:r>
    <w:r w:rsidRPr="00DE0EE0">
      <w:rPr>
        <w:i/>
        <w:sz w:val="18"/>
        <w:szCs w:val="18"/>
      </w:rPr>
      <w:ptab w:relativeTo="margin" w:alignment="right" w:leader="none"/>
    </w:r>
    <w:r w:rsidRPr="23EEA572">
      <w:rPr>
        <w:rStyle w:val="PageNumber"/>
        <w:i/>
        <w:iCs/>
        <w:sz w:val="18"/>
        <w:szCs w:val="18"/>
      </w:rPr>
      <w:t>Page</w:t>
    </w:r>
    <w:r w:rsidRPr="0084472A">
      <w:rPr>
        <w:rStyle w:val="PageNumber"/>
        <w:i/>
        <w:sz w:val="18"/>
        <w:szCs w:val="18"/>
      </w:rPr>
      <w:t xml:space="preserve"> </w:t>
    </w:r>
    <w:sdt>
      <w:sdtPr>
        <w:rPr>
          <w:rStyle w:val="PageNumber"/>
          <w:i/>
          <w:sz w:val="18"/>
          <w:szCs w:val="18"/>
        </w:rPr>
        <w:id w:val="-2013680351"/>
        <w:docPartObj>
          <w:docPartGallery w:val="Page Numbers (Bottom of Page)"/>
          <w:docPartUnique/>
        </w:docPartObj>
      </w:sdtPr>
      <w:sdtContent>
        <w:r w:rsidRPr="0084472A">
          <w:rPr>
            <w:rStyle w:val="PageNumber"/>
            <w:i/>
            <w:sz w:val="18"/>
            <w:szCs w:val="18"/>
          </w:rPr>
          <w:fldChar w:fldCharType="begin"/>
        </w:r>
        <w:r w:rsidRPr="0084472A">
          <w:rPr>
            <w:rStyle w:val="PageNumber"/>
            <w:i/>
            <w:sz w:val="18"/>
            <w:szCs w:val="18"/>
          </w:rPr>
          <w:instrText xml:space="preserve"> PAGE </w:instrText>
        </w:r>
        <w:r w:rsidRPr="0084472A">
          <w:rPr>
            <w:rStyle w:val="PageNumber"/>
            <w:i/>
            <w:sz w:val="18"/>
            <w:szCs w:val="18"/>
          </w:rPr>
          <w:fldChar w:fldCharType="separate"/>
        </w:r>
        <w:r>
          <w:rPr>
            <w:rStyle w:val="PageNumber"/>
            <w:i/>
            <w:noProof/>
            <w:sz w:val="18"/>
            <w:szCs w:val="18"/>
          </w:rPr>
          <w:t>1</w:t>
        </w:r>
        <w:r w:rsidRPr="0084472A">
          <w:rPr>
            <w:rStyle w:val="PageNumber"/>
            <w:i/>
            <w:sz w:val="18"/>
            <w:szCs w:val="18"/>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3C3117" w14:textId="77777777" w:rsidR="0074665A" w:rsidRDefault="0074665A" w:rsidP="00955880">
      <w:r>
        <w:separator/>
      </w:r>
    </w:p>
  </w:footnote>
  <w:footnote w:type="continuationSeparator" w:id="0">
    <w:p w14:paraId="7CE562C3" w14:textId="77777777" w:rsidR="0074665A" w:rsidRDefault="0074665A" w:rsidP="00955880">
      <w:r>
        <w:continuationSeparator/>
      </w:r>
    </w:p>
  </w:footnote>
  <w:footnote w:type="continuationNotice" w:id="1">
    <w:p w14:paraId="46DBCCE5" w14:textId="77777777" w:rsidR="0074665A" w:rsidRDefault="0074665A"/>
  </w:footnote>
  <w:footnote w:id="2">
    <w:p w14:paraId="25B483F7" w14:textId="77777777" w:rsidR="00405D73" w:rsidRPr="00B05E2E" w:rsidRDefault="00405D73" w:rsidP="00534C31">
      <w:pPr>
        <w:pStyle w:val="FootnoteText"/>
        <w:rPr>
          <w:sz w:val="18"/>
          <w:szCs w:val="18"/>
        </w:rPr>
      </w:pPr>
      <w:r w:rsidRPr="00B05E2E">
        <w:rPr>
          <w:rStyle w:val="FootnoteReference"/>
          <w:sz w:val="18"/>
          <w:szCs w:val="18"/>
        </w:rPr>
        <w:footnoteRef/>
      </w:r>
      <w:r w:rsidRPr="00B05E2E">
        <w:rPr>
          <w:sz w:val="18"/>
          <w:szCs w:val="18"/>
        </w:rPr>
        <w:t xml:space="preserve"> http://www.pewresearch.org/fact-tank/2018/03/08/nearly-one-in-five-americans-now-listen-to-audiobooks/</w:t>
      </w:r>
    </w:p>
  </w:footnote>
  <w:footnote w:id="3">
    <w:p w14:paraId="36D6E780" w14:textId="000C7855" w:rsidR="00405D73" w:rsidRPr="002148B9" w:rsidRDefault="00405D73">
      <w:pPr>
        <w:pStyle w:val="FootnoteText"/>
        <w:rPr>
          <w:sz w:val="18"/>
          <w:szCs w:val="18"/>
        </w:rPr>
      </w:pPr>
      <w:r>
        <w:rPr>
          <w:rStyle w:val="FootnoteReference"/>
        </w:rPr>
        <w:footnoteRef/>
      </w:r>
      <w:r>
        <w:t xml:space="preserve"> </w:t>
      </w:r>
      <w:r w:rsidRPr="00B05E2E">
        <w:rPr>
          <w:sz w:val="18"/>
          <w:szCs w:val="18"/>
        </w:rPr>
        <w:t>http://www.pewresearch.org/fact-tank/2018/03/08/nearly-one-in-five-americans-now-listen-to-audiobooks/</w:t>
      </w:r>
    </w:p>
  </w:footnote>
  <w:footnote w:id="4">
    <w:p w14:paraId="5C8AD9A8" w14:textId="4D282131" w:rsidR="00405D73" w:rsidRDefault="00405D73">
      <w:pPr>
        <w:pStyle w:val="FootnoteText"/>
      </w:pPr>
      <w:r w:rsidRPr="00EF5819">
        <w:rPr>
          <w:rStyle w:val="FootnoteReference"/>
          <w:sz w:val="18"/>
        </w:rPr>
        <w:footnoteRef/>
      </w:r>
      <w:r w:rsidRPr="00EF5819">
        <w:rPr>
          <w:sz w:val="18"/>
        </w:rPr>
        <w:t xml:space="preserve"> See appendix B for detailed breakdown of gender breakdown across apps from App Annie.</w:t>
      </w:r>
    </w:p>
  </w:footnote>
  <w:footnote w:id="5">
    <w:p w14:paraId="33DBC11B" w14:textId="646C4D1C" w:rsidR="00405D73" w:rsidRDefault="00405D73">
      <w:pPr>
        <w:pStyle w:val="FootnoteText"/>
      </w:pPr>
      <w:r w:rsidRPr="00283A90">
        <w:rPr>
          <w:rStyle w:val="FootnoteReference"/>
          <w:sz w:val="18"/>
        </w:rPr>
        <w:footnoteRef/>
      </w:r>
      <w:r w:rsidRPr="00283A90">
        <w:rPr>
          <w:sz w:val="18"/>
        </w:rPr>
        <w:t xml:space="preserve"> Kindle Content Readers by US Race/Ethnicity, 2018</w:t>
      </w:r>
    </w:p>
  </w:footnote>
  <w:footnote w:id="6">
    <w:p w14:paraId="61F3D284" w14:textId="77777777" w:rsidR="00405D73" w:rsidRPr="00B05E2E" w:rsidRDefault="00405D73" w:rsidP="00870A60">
      <w:pPr>
        <w:pStyle w:val="FootnoteText"/>
        <w:rPr>
          <w:sz w:val="18"/>
          <w:szCs w:val="18"/>
        </w:rPr>
      </w:pPr>
      <w:r w:rsidRPr="00B05E2E">
        <w:rPr>
          <w:rStyle w:val="FootnoteReference"/>
          <w:sz w:val="18"/>
          <w:szCs w:val="18"/>
        </w:rPr>
        <w:footnoteRef/>
      </w:r>
      <w:r w:rsidRPr="00B05E2E">
        <w:rPr>
          <w:sz w:val="18"/>
          <w:szCs w:val="18"/>
        </w:rPr>
        <w:t xml:space="preserve"> http://www.pewresearch.org/fact-tank/2018/03/08/nearly-one-in-five-americans-now-listen-to-audiobooks/</w:t>
      </w:r>
    </w:p>
  </w:footnote>
  <w:footnote w:id="7">
    <w:p w14:paraId="47754F49" w14:textId="77777777" w:rsidR="00405D73" w:rsidRPr="00B05E2E" w:rsidRDefault="00405D73" w:rsidP="00B22171">
      <w:pPr>
        <w:pStyle w:val="FootnoteText"/>
        <w:rPr>
          <w:sz w:val="18"/>
          <w:szCs w:val="18"/>
        </w:rPr>
      </w:pPr>
      <w:r w:rsidRPr="00B05E2E">
        <w:rPr>
          <w:rStyle w:val="FootnoteReference"/>
          <w:sz w:val="18"/>
          <w:szCs w:val="18"/>
        </w:rPr>
        <w:footnoteRef/>
      </w:r>
      <w:r w:rsidRPr="00B05E2E">
        <w:rPr>
          <w:sz w:val="18"/>
          <w:szCs w:val="18"/>
        </w:rPr>
        <w:t xml:space="preserve"> Millennials Diversity Barriers Exploratory Research, Oct. 2017</w:t>
      </w:r>
    </w:p>
  </w:footnote>
  <w:footnote w:id="8">
    <w:p w14:paraId="3935E437" w14:textId="77777777" w:rsidR="00405D73" w:rsidRDefault="00405D73" w:rsidP="002F2292">
      <w:pPr>
        <w:pStyle w:val="FootnoteText"/>
      </w:pPr>
      <w:r>
        <w:rPr>
          <w:rStyle w:val="FootnoteReference"/>
        </w:rPr>
        <w:footnoteRef/>
      </w:r>
      <w:r>
        <w:t xml:space="preserve"> </w:t>
      </w:r>
      <w:r w:rsidRPr="00EF5819">
        <w:rPr>
          <w:sz w:val="18"/>
        </w:rPr>
        <w:t xml:space="preserve">Customers who were active in multiple periods are counted in each.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DA247A" w14:textId="3A1D71C8" w:rsidR="00405D73" w:rsidRDefault="00405D73" w:rsidP="00955880">
    <w:pPr>
      <w:pStyle w:val="Header"/>
    </w:pPr>
    <w:r>
      <w:t>U.S. Kindle Customer App Review Analysis</w:t>
    </w:r>
    <w:r>
      <w:ptab w:relativeTo="margin" w:alignment="center" w:leader="none"/>
    </w:r>
    <w:r>
      <w:ptab w:relativeTo="margin" w:alignment="right" w:leader="none"/>
    </w:r>
    <w:r w:rsidRPr="0084472A">
      <w:rPr>
        <w:i/>
        <w:sz w:val="18"/>
        <w:szCs w:val="18"/>
      </w:rPr>
      <w:fldChar w:fldCharType="begin"/>
    </w:r>
    <w:r w:rsidRPr="0084472A">
      <w:rPr>
        <w:i/>
        <w:sz w:val="18"/>
        <w:szCs w:val="18"/>
      </w:rPr>
      <w:instrText xml:space="preserve"> DATE \@ "MMMM d, yyyy" </w:instrText>
    </w:r>
    <w:r w:rsidRPr="0084472A">
      <w:rPr>
        <w:i/>
        <w:sz w:val="18"/>
        <w:szCs w:val="18"/>
      </w:rPr>
      <w:fldChar w:fldCharType="separate"/>
    </w:r>
    <w:r>
      <w:rPr>
        <w:i/>
        <w:noProof/>
        <w:sz w:val="18"/>
        <w:szCs w:val="18"/>
      </w:rPr>
      <w:t>June 23, 2019</w:t>
    </w:r>
    <w:r w:rsidRPr="0084472A">
      <w:rPr>
        <w:i/>
        <w:sz w:val="18"/>
        <w:szCs w:val="18"/>
      </w:rPr>
      <w:fldChar w:fldCharType="end"/>
    </w:r>
  </w:p>
  <w:p w14:paraId="33B61DF5" w14:textId="77777777" w:rsidR="00405D73" w:rsidRDefault="00405D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E395D"/>
    <w:multiLevelType w:val="hybridMultilevel"/>
    <w:tmpl w:val="AA4A7BC4"/>
    <w:lvl w:ilvl="0" w:tplc="0409000F">
      <w:start w:val="1"/>
      <w:numFmt w:val="decimal"/>
      <w:lvlText w:val="%1."/>
      <w:lvlJc w:val="left"/>
      <w:pPr>
        <w:ind w:left="770" w:hanging="360"/>
      </w:pPr>
      <w:rPr>
        <w:rFonts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 w15:restartNumberingAfterBreak="0">
    <w:nsid w:val="03D41AEA"/>
    <w:multiLevelType w:val="hybridMultilevel"/>
    <w:tmpl w:val="47502016"/>
    <w:lvl w:ilvl="0" w:tplc="58E2544C">
      <w:start w:val="1"/>
      <w:numFmt w:val="bullet"/>
      <w:lvlText w:val=""/>
      <w:lvlJc w:val="left"/>
      <w:pPr>
        <w:ind w:left="720" w:hanging="360"/>
      </w:pPr>
      <w:rPr>
        <w:rFonts w:ascii="Symbol" w:eastAsia="Times New Roman" w:hAnsi="Symbol"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5C1D11"/>
    <w:multiLevelType w:val="hybridMultilevel"/>
    <w:tmpl w:val="BC42D15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05551D"/>
    <w:multiLevelType w:val="hybridMultilevel"/>
    <w:tmpl w:val="CB7AA0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367AB2"/>
    <w:multiLevelType w:val="hybridMultilevel"/>
    <w:tmpl w:val="B574AF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21177F"/>
    <w:multiLevelType w:val="hybridMultilevel"/>
    <w:tmpl w:val="54B63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8B15AD"/>
    <w:multiLevelType w:val="hybridMultilevel"/>
    <w:tmpl w:val="3DCE7798"/>
    <w:lvl w:ilvl="0" w:tplc="4E7EA816">
      <w:start w:val="5"/>
      <w:numFmt w:val="bullet"/>
      <w:lvlText w:val="•"/>
      <w:lvlJc w:val="left"/>
      <w:pPr>
        <w:ind w:left="720" w:hanging="360"/>
      </w:pPr>
      <w:rPr>
        <w:rFonts w:ascii="Calibri" w:eastAsia="Times New Roman" w:hAnsi="Calibri" w:cs="Calibri"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9E11F1"/>
    <w:multiLevelType w:val="hybridMultilevel"/>
    <w:tmpl w:val="EAF0B4B2"/>
    <w:lvl w:ilvl="0" w:tplc="E102BF50">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137B95"/>
    <w:multiLevelType w:val="hybridMultilevel"/>
    <w:tmpl w:val="C53C2A24"/>
    <w:lvl w:ilvl="0" w:tplc="608659BA">
      <w:start w:val="1"/>
      <w:numFmt w:val="bullet"/>
      <w:lvlText w:val=""/>
      <w:lvlJc w:val="left"/>
      <w:pPr>
        <w:ind w:left="720" w:hanging="360"/>
      </w:pPr>
      <w:rPr>
        <w:rFonts w:ascii="Symbol" w:eastAsia="Times New Roman"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6459CC"/>
    <w:multiLevelType w:val="hybridMultilevel"/>
    <w:tmpl w:val="2D047F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89F41DE"/>
    <w:multiLevelType w:val="hybridMultilevel"/>
    <w:tmpl w:val="51824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DD7642"/>
    <w:multiLevelType w:val="hybridMultilevel"/>
    <w:tmpl w:val="36DE52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A206E8C"/>
    <w:multiLevelType w:val="hybridMultilevel"/>
    <w:tmpl w:val="867CE496"/>
    <w:lvl w:ilvl="0" w:tplc="4E7EA816">
      <w:start w:val="5"/>
      <w:numFmt w:val="bullet"/>
      <w:lvlText w:val="•"/>
      <w:lvlJc w:val="left"/>
      <w:pPr>
        <w:ind w:left="720" w:hanging="360"/>
      </w:pPr>
      <w:rPr>
        <w:rFonts w:ascii="Calibri" w:eastAsia="Times New Roman" w:hAnsi="Calibri" w:cs="Calibri"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AA84A30"/>
    <w:multiLevelType w:val="hybridMultilevel"/>
    <w:tmpl w:val="8E804600"/>
    <w:lvl w:ilvl="0" w:tplc="E102BF50">
      <w:start w:val="1"/>
      <w:numFmt w:val="bullet"/>
      <w:lvlText w:val=""/>
      <w:lvlJc w:val="left"/>
      <w:pPr>
        <w:ind w:left="720" w:hanging="360"/>
      </w:pPr>
      <w:rPr>
        <w:rFonts w:ascii="Symbol" w:hAnsi="Symbol"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05E7DFC"/>
    <w:multiLevelType w:val="hybridMultilevel"/>
    <w:tmpl w:val="F99A23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D81066"/>
    <w:multiLevelType w:val="hybridMultilevel"/>
    <w:tmpl w:val="B1045A3C"/>
    <w:lvl w:ilvl="0" w:tplc="4DD09ACE">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D55181"/>
    <w:multiLevelType w:val="hybridMultilevel"/>
    <w:tmpl w:val="223A766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C4A0259"/>
    <w:multiLevelType w:val="hybridMultilevel"/>
    <w:tmpl w:val="5844B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D87F36"/>
    <w:multiLevelType w:val="hybridMultilevel"/>
    <w:tmpl w:val="1C44B3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78F59D4"/>
    <w:multiLevelType w:val="hybridMultilevel"/>
    <w:tmpl w:val="E1BC9C3C"/>
    <w:lvl w:ilvl="0" w:tplc="4DD09ACE">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8413B9"/>
    <w:multiLevelType w:val="hybridMultilevel"/>
    <w:tmpl w:val="C2C6D2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46848BD0">
      <w:numFmt w:val="bullet"/>
      <w:lvlText w:val="·"/>
      <w:lvlJc w:val="left"/>
      <w:pPr>
        <w:ind w:left="2160" w:hanging="360"/>
      </w:pPr>
      <w:rPr>
        <w:rFonts w:ascii="Calibri" w:eastAsia="Times New Roman"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37296F"/>
    <w:multiLevelType w:val="hybridMultilevel"/>
    <w:tmpl w:val="A9FA9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B2E35C8"/>
    <w:multiLevelType w:val="hybridMultilevel"/>
    <w:tmpl w:val="0BDC3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F0269A6"/>
    <w:multiLevelType w:val="hybridMultilevel"/>
    <w:tmpl w:val="AB80FA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BE47ED"/>
    <w:multiLevelType w:val="hybridMultilevel"/>
    <w:tmpl w:val="493CDD60"/>
    <w:lvl w:ilvl="0" w:tplc="4E7EA816">
      <w:start w:val="5"/>
      <w:numFmt w:val="bullet"/>
      <w:lvlText w:val="•"/>
      <w:lvlJc w:val="left"/>
      <w:pPr>
        <w:ind w:left="1800" w:hanging="360"/>
      </w:pPr>
      <w:rPr>
        <w:rFonts w:ascii="Calibri" w:eastAsia="Times New Roman" w:hAnsi="Calibri" w:cs="Calibri"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FC56A74"/>
    <w:multiLevelType w:val="hybridMultilevel"/>
    <w:tmpl w:val="7B9EE506"/>
    <w:lvl w:ilvl="0" w:tplc="4E7EA816">
      <w:start w:val="5"/>
      <w:numFmt w:val="bullet"/>
      <w:lvlText w:val="•"/>
      <w:lvlJc w:val="left"/>
      <w:pPr>
        <w:ind w:left="1080" w:hanging="360"/>
      </w:pPr>
      <w:rPr>
        <w:rFonts w:ascii="Calibri" w:eastAsia="Times New Roman" w:hAnsi="Calibri" w:cs="Calibri"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4"/>
  </w:num>
  <w:num w:numId="3">
    <w:abstractNumId w:val="16"/>
  </w:num>
  <w:num w:numId="4">
    <w:abstractNumId w:val="21"/>
  </w:num>
  <w:num w:numId="5">
    <w:abstractNumId w:val="5"/>
  </w:num>
  <w:num w:numId="6">
    <w:abstractNumId w:val="13"/>
  </w:num>
  <w:num w:numId="7">
    <w:abstractNumId w:val="7"/>
  </w:num>
  <w:num w:numId="8">
    <w:abstractNumId w:val="22"/>
  </w:num>
  <w:num w:numId="9">
    <w:abstractNumId w:val="23"/>
  </w:num>
  <w:num w:numId="10">
    <w:abstractNumId w:val="6"/>
  </w:num>
  <w:num w:numId="11">
    <w:abstractNumId w:val="25"/>
  </w:num>
  <w:num w:numId="12">
    <w:abstractNumId w:val="12"/>
  </w:num>
  <w:num w:numId="13">
    <w:abstractNumId w:val="24"/>
  </w:num>
  <w:num w:numId="14">
    <w:abstractNumId w:val="11"/>
  </w:num>
  <w:num w:numId="15">
    <w:abstractNumId w:val="20"/>
  </w:num>
  <w:num w:numId="16">
    <w:abstractNumId w:val="0"/>
  </w:num>
  <w:num w:numId="17">
    <w:abstractNumId w:val="3"/>
  </w:num>
  <w:num w:numId="18">
    <w:abstractNumId w:val="17"/>
  </w:num>
  <w:num w:numId="19">
    <w:abstractNumId w:val="10"/>
  </w:num>
  <w:num w:numId="20">
    <w:abstractNumId w:val="18"/>
  </w:num>
  <w:num w:numId="21">
    <w:abstractNumId w:val="2"/>
  </w:num>
  <w:num w:numId="22">
    <w:abstractNumId w:val="19"/>
  </w:num>
  <w:num w:numId="23">
    <w:abstractNumId w:val="15"/>
  </w:num>
  <w:num w:numId="24">
    <w:abstractNumId w:val="8"/>
  </w:num>
  <w:num w:numId="25">
    <w:abstractNumId w:val="1"/>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5880"/>
    <w:rsid w:val="00001450"/>
    <w:rsid w:val="00002769"/>
    <w:rsid w:val="00003DC3"/>
    <w:rsid w:val="000048BD"/>
    <w:rsid w:val="00010ED3"/>
    <w:rsid w:val="000171C4"/>
    <w:rsid w:val="00026E78"/>
    <w:rsid w:val="000316EF"/>
    <w:rsid w:val="00032558"/>
    <w:rsid w:val="000369D2"/>
    <w:rsid w:val="0003749F"/>
    <w:rsid w:val="0003785A"/>
    <w:rsid w:val="00037D89"/>
    <w:rsid w:val="000445E1"/>
    <w:rsid w:val="00046A32"/>
    <w:rsid w:val="00053A56"/>
    <w:rsid w:val="000567F7"/>
    <w:rsid w:val="000573C4"/>
    <w:rsid w:val="000601A6"/>
    <w:rsid w:val="00060B86"/>
    <w:rsid w:val="0006561B"/>
    <w:rsid w:val="00066916"/>
    <w:rsid w:val="00084972"/>
    <w:rsid w:val="000931CC"/>
    <w:rsid w:val="0009759C"/>
    <w:rsid w:val="000A35A0"/>
    <w:rsid w:val="000A5EE8"/>
    <w:rsid w:val="000A60E4"/>
    <w:rsid w:val="000A774B"/>
    <w:rsid w:val="000B0950"/>
    <w:rsid w:val="000B5F01"/>
    <w:rsid w:val="000C4A58"/>
    <w:rsid w:val="000C6B93"/>
    <w:rsid w:val="000D0C47"/>
    <w:rsid w:val="000D4ADF"/>
    <w:rsid w:val="000D6E8E"/>
    <w:rsid w:val="000D73FE"/>
    <w:rsid w:val="000E3385"/>
    <w:rsid w:val="000E71DB"/>
    <w:rsid w:val="000F063D"/>
    <w:rsid w:val="000F1B1B"/>
    <w:rsid w:val="000F4C9E"/>
    <w:rsid w:val="000F5A25"/>
    <w:rsid w:val="000F704A"/>
    <w:rsid w:val="000F7C55"/>
    <w:rsid w:val="00102BE1"/>
    <w:rsid w:val="001111B9"/>
    <w:rsid w:val="00112E68"/>
    <w:rsid w:val="00116960"/>
    <w:rsid w:val="00123FBD"/>
    <w:rsid w:val="00124E1B"/>
    <w:rsid w:val="0012667C"/>
    <w:rsid w:val="00127671"/>
    <w:rsid w:val="001312D5"/>
    <w:rsid w:val="00150B73"/>
    <w:rsid w:val="0015594C"/>
    <w:rsid w:val="00155C6A"/>
    <w:rsid w:val="00157625"/>
    <w:rsid w:val="0016047B"/>
    <w:rsid w:val="00161546"/>
    <w:rsid w:val="00164DA0"/>
    <w:rsid w:val="00175223"/>
    <w:rsid w:val="00181AF4"/>
    <w:rsid w:val="001836F9"/>
    <w:rsid w:val="0018789E"/>
    <w:rsid w:val="001965DE"/>
    <w:rsid w:val="001B4D03"/>
    <w:rsid w:val="001D0D29"/>
    <w:rsid w:val="001D45D1"/>
    <w:rsid w:val="001D52B9"/>
    <w:rsid w:val="001D5F8D"/>
    <w:rsid w:val="001E0475"/>
    <w:rsid w:val="001E09DC"/>
    <w:rsid w:val="001E562D"/>
    <w:rsid w:val="001F011A"/>
    <w:rsid w:val="001F1E01"/>
    <w:rsid w:val="001F26CA"/>
    <w:rsid w:val="001F371B"/>
    <w:rsid w:val="00204453"/>
    <w:rsid w:val="00204B75"/>
    <w:rsid w:val="00211358"/>
    <w:rsid w:val="00213641"/>
    <w:rsid w:val="002148B9"/>
    <w:rsid w:val="00215B5E"/>
    <w:rsid w:val="00215F7D"/>
    <w:rsid w:val="00217E0F"/>
    <w:rsid w:val="00225B2D"/>
    <w:rsid w:val="00225BA2"/>
    <w:rsid w:val="00232B92"/>
    <w:rsid w:val="00236819"/>
    <w:rsid w:val="00236A7D"/>
    <w:rsid w:val="00237BE2"/>
    <w:rsid w:val="00241DF9"/>
    <w:rsid w:val="0025560A"/>
    <w:rsid w:val="00255927"/>
    <w:rsid w:val="0027060D"/>
    <w:rsid w:val="00273533"/>
    <w:rsid w:val="00274F54"/>
    <w:rsid w:val="00283A90"/>
    <w:rsid w:val="0028428A"/>
    <w:rsid w:val="00285C51"/>
    <w:rsid w:val="002900CE"/>
    <w:rsid w:val="00294159"/>
    <w:rsid w:val="002B13F3"/>
    <w:rsid w:val="002C14D7"/>
    <w:rsid w:val="002D0692"/>
    <w:rsid w:val="002D2FDF"/>
    <w:rsid w:val="002D595B"/>
    <w:rsid w:val="002E499D"/>
    <w:rsid w:val="002F05DB"/>
    <w:rsid w:val="002F2292"/>
    <w:rsid w:val="002F52FF"/>
    <w:rsid w:val="003108C2"/>
    <w:rsid w:val="00312F23"/>
    <w:rsid w:val="00323003"/>
    <w:rsid w:val="003306DC"/>
    <w:rsid w:val="0033297F"/>
    <w:rsid w:val="00337625"/>
    <w:rsid w:val="00343B2A"/>
    <w:rsid w:val="00352524"/>
    <w:rsid w:val="0037783A"/>
    <w:rsid w:val="0038303B"/>
    <w:rsid w:val="0039146B"/>
    <w:rsid w:val="003931E2"/>
    <w:rsid w:val="0039612A"/>
    <w:rsid w:val="00396D2C"/>
    <w:rsid w:val="00397E67"/>
    <w:rsid w:val="003A1B15"/>
    <w:rsid w:val="003A45D0"/>
    <w:rsid w:val="003A6DE0"/>
    <w:rsid w:val="003B6AC9"/>
    <w:rsid w:val="003B6BBA"/>
    <w:rsid w:val="003C4D31"/>
    <w:rsid w:val="003C5575"/>
    <w:rsid w:val="003D66F1"/>
    <w:rsid w:val="003E2A2D"/>
    <w:rsid w:val="003E414A"/>
    <w:rsid w:val="003F030D"/>
    <w:rsid w:val="003F38E6"/>
    <w:rsid w:val="00400FAF"/>
    <w:rsid w:val="0040102D"/>
    <w:rsid w:val="00405B47"/>
    <w:rsid w:val="00405D73"/>
    <w:rsid w:val="0042551A"/>
    <w:rsid w:val="00425EEB"/>
    <w:rsid w:val="00431F54"/>
    <w:rsid w:val="00433DD7"/>
    <w:rsid w:val="0043584A"/>
    <w:rsid w:val="0044106B"/>
    <w:rsid w:val="00446B86"/>
    <w:rsid w:val="0045166C"/>
    <w:rsid w:val="00451E9E"/>
    <w:rsid w:val="00452A1D"/>
    <w:rsid w:val="00456042"/>
    <w:rsid w:val="004575CB"/>
    <w:rsid w:val="00470F1D"/>
    <w:rsid w:val="00473526"/>
    <w:rsid w:val="00477929"/>
    <w:rsid w:val="00477E99"/>
    <w:rsid w:val="00484F24"/>
    <w:rsid w:val="00486FC6"/>
    <w:rsid w:val="00490EAD"/>
    <w:rsid w:val="004932EB"/>
    <w:rsid w:val="004A22CC"/>
    <w:rsid w:val="004A3F68"/>
    <w:rsid w:val="004A6420"/>
    <w:rsid w:val="004C1AF8"/>
    <w:rsid w:val="004C6461"/>
    <w:rsid w:val="004C6920"/>
    <w:rsid w:val="004E0042"/>
    <w:rsid w:val="004E2768"/>
    <w:rsid w:val="004F5FC4"/>
    <w:rsid w:val="005029A5"/>
    <w:rsid w:val="00504B7E"/>
    <w:rsid w:val="00505236"/>
    <w:rsid w:val="005100EF"/>
    <w:rsid w:val="00516DAB"/>
    <w:rsid w:val="00521FDB"/>
    <w:rsid w:val="00523F4E"/>
    <w:rsid w:val="00532B6A"/>
    <w:rsid w:val="00532F24"/>
    <w:rsid w:val="00534C31"/>
    <w:rsid w:val="00536E29"/>
    <w:rsid w:val="00537D86"/>
    <w:rsid w:val="00542236"/>
    <w:rsid w:val="00544371"/>
    <w:rsid w:val="0055280C"/>
    <w:rsid w:val="005551EB"/>
    <w:rsid w:val="005559D6"/>
    <w:rsid w:val="00557330"/>
    <w:rsid w:val="005707C1"/>
    <w:rsid w:val="00570B40"/>
    <w:rsid w:val="00576AD1"/>
    <w:rsid w:val="005877E7"/>
    <w:rsid w:val="005916A6"/>
    <w:rsid w:val="00592D74"/>
    <w:rsid w:val="00594303"/>
    <w:rsid w:val="005948E7"/>
    <w:rsid w:val="005A6FE3"/>
    <w:rsid w:val="005A7221"/>
    <w:rsid w:val="005A7960"/>
    <w:rsid w:val="005B35F5"/>
    <w:rsid w:val="005E0F10"/>
    <w:rsid w:val="005E104D"/>
    <w:rsid w:val="005E1758"/>
    <w:rsid w:val="005E223B"/>
    <w:rsid w:val="005E4250"/>
    <w:rsid w:val="005F02D6"/>
    <w:rsid w:val="005F278A"/>
    <w:rsid w:val="005F78C1"/>
    <w:rsid w:val="00600647"/>
    <w:rsid w:val="00601499"/>
    <w:rsid w:val="0060750C"/>
    <w:rsid w:val="0060794F"/>
    <w:rsid w:val="00613094"/>
    <w:rsid w:val="0061572D"/>
    <w:rsid w:val="0062007D"/>
    <w:rsid w:val="00620E94"/>
    <w:rsid w:val="006216DE"/>
    <w:rsid w:val="00624F15"/>
    <w:rsid w:val="00632D1B"/>
    <w:rsid w:val="00636D03"/>
    <w:rsid w:val="00637645"/>
    <w:rsid w:val="006421A1"/>
    <w:rsid w:val="0064284F"/>
    <w:rsid w:val="00647F24"/>
    <w:rsid w:val="006509CC"/>
    <w:rsid w:val="00650C7D"/>
    <w:rsid w:val="00655453"/>
    <w:rsid w:val="0066249E"/>
    <w:rsid w:val="006633AC"/>
    <w:rsid w:val="0067349A"/>
    <w:rsid w:val="006843E2"/>
    <w:rsid w:val="0069329E"/>
    <w:rsid w:val="0069712C"/>
    <w:rsid w:val="006A238E"/>
    <w:rsid w:val="006B4560"/>
    <w:rsid w:val="006C0988"/>
    <w:rsid w:val="006C2384"/>
    <w:rsid w:val="006C5E9B"/>
    <w:rsid w:val="006C7307"/>
    <w:rsid w:val="006D0680"/>
    <w:rsid w:val="007002B0"/>
    <w:rsid w:val="00711CF0"/>
    <w:rsid w:val="00712349"/>
    <w:rsid w:val="00714124"/>
    <w:rsid w:val="00714468"/>
    <w:rsid w:val="00720E10"/>
    <w:rsid w:val="007237C4"/>
    <w:rsid w:val="00723E6E"/>
    <w:rsid w:val="00724BC0"/>
    <w:rsid w:val="00726D32"/>
    <w:rsid w:val="00732D96"/>
    <w:rsid w:val="00736400"/>
    <w:rsid w:val="0074014A"/>
    <w:rsid w:val="00740259"/>
    <w:rsid w:val="0074214D"/>
    <w:rsid w:val="00746605"/>
    <w:rsid w:val="0074665A"/>
    <w:rsid w:val="007503BF"/>
    <w:rsid w:val="00752DD3"/>
    <w:rsid w:val="00755B12"/>
    <w:rsid w:val="00755FEF"/>
    <w:rsid w:val="007573C4"/>
    <w:rsid w:val="00764A54"/>
    <w:rsid w:val="0077437E"/>
    <w:rsid w:val="007833EE"/>
    <w:rsid w:val="007A00BB"/>
    <w:rsid w:val="007A690E"/>
    <w:rsid w:val="007A7D5D"/>
    <w:rsid w:val="007B0427"/>
    <w:rsid w:val="007B0FB5"/>
    <w:rsid w:val="007B1115"/>
    <w:rsid w:val="007B434B"/>
    <w:rsid w:val="007B6F37"/>
    <w:rsid w:val="007B7FE2"/>
    <w:rsid w:val="007C312B"/>
    <w:rsid w:val="007C3899"/>
    <w:rsid w:val="007E1E15"/>
    <w:rsid w:val="007E32F1"/>
    <w:rsid w:val="007E6C88"/>
    <w:rsid w:val="007F28FD"/>
    <w:rsid w:val="0080294B"/>
    <w:rsid w:val="0081443D"/>
    <w:rsid w:val="00815A74"/>
    <w:rsid w:val="008178C4"/>
    <w:rsid w:val="00820B46"/>
    <w:rsid w:val="008215BF"/>
    <w:rsid w:val="00822731"/>
    <w:rsid w:val="008238EF"/>
    <w:rsid w:val="008250D4"/>
    <w:rsid w:val="0082517C"/>
    <w:rsid w:val="0082733E"/>
    <w:rsid w:val="00830550"/>
    <w:rsid w:val="008313D5"/>
    <w:rsid w:val="00831DCF"/>
    <w:rsid w:val="008322DC"/>
    <w:rsid w:val="00833F38"/>
    <w:rsid w:val="008451C5"/>
    <w:rsid w:val="00845A1C"/>
    <w:rsid w:val="00846259"/>
    <w:rsid w:val="008504CA"/>
    <w:rsid w:val="0085626A"/>
    <w:rsid w:val="008604A1"/>
    <w:rsid w:val="0086479D"/>
    <w:rsid w:val="00870A60"/>
    <w:rsid w:val="0088221C"/>
    <w:rsid w:val="00886283"/>
    <w:rsid w:val="00887F4D"/>
    <w:rsid w:val="00893359"/>
    <w:rsid w:val="00894DF2"/>
    <w:rsid w:val="008A1F7C"/>
    <w:rsid w:val="008A4B93"/>
    <w:rsid w:val="008A559D"/>
    <w:rsid w:val="008B5177"/>
    <w:rsid w:val="008C1358"/>
    <w:rsid w:val="008C64B3"/>
    <w:rsid w:val="008D08A7"/>
    <w:rsid w:val="008D725A"/>
    <w:rsid w:val="008E1EA2"/>
    <w:rsid w:val="008E52D1"/>
    <w:rsid w:val="008E7E53"/>
    <w:rsid w:val="008F70E0"/>
    <w:rsid w:val="0090237D"/>
    <w:rsid w:val="00903BB1"/>
    <w:rsid w:val="00906741"/>
    <w:rsid w:val="00907CD4"/>
    <w:rsid w:val="00916140"/>
    <w:rsid w:val="009223F7"/>
    <w:rsid w:val="009252E0"/>
    <w:rsid w:val="00925CED"/>
    <w:rsid w:val="00931F96"/>
    <w:rsid w:val="00934A70"/>
    <w:rsid w:val="0093620A"/>
    <w:rsid w:val="00947E93"/>
    <w:rsid w:val="009503D4"/>
    <w:rsid w:val="00955880"/>
    <w:rsid w:val="009639F0"/>
    <w:rsid w:val="00963E72"/>
    <w:rsid w:val="00973FD7"/>
    <w:rsid w:val="00985944"/>
    <w:rsid w:val="00987DDB"/>
    <w:rsid w:val="009A0620"/>
    <w:rsid w:val="009A0F3C"/>
    <w:rsid w:val="009A3622"/>
    <w:rsid w:val="009A67DE"/>
    <w:rsid w:val="009A687E"/>
    <w:rsid w:val="009B34E6"/>
    <w:rsid w:val="009B46F7"/>
    <w:rsid w:val="009B6834"/>
    <w:rsid w:val="009B6C92"/>
    <w:rsid w:val="009C0802"/>
    <w:rsid w:val="009C363C"/>
    <w:rsid w:val="009D2FBF"/>
    <w:rsid w:val="009F1F3F"/>
    <w:rsid w:val="00A11F26"/>
    <w:rsid w:val="00A12170"/>
    <w:rsid w:val="00A22FE8"/>
    <w:rsid w:val="00A27010"/>
    <w:rsid w:val="00A27757"/>
    <w:rsid w:val="00A27905"/>
    <w:rsid w:val="00A438BA"/>
    <w:rsid w:val="00A4433C"/>
    <w:rsid w:val="00A47BBD"/>
    <w:rsid w:val="00A51C96"/>
    <w:rsid w:val="00A606E9"/>
    <w:rsid w:val="00A62CA4"/>
    <w:rsid w:val="00A6384E"/>
    <w:rsid w:val="00A63CBD"/>
    <w:rsid w:val="00A6722B"/>
    <w:rsid w:val="00A67652"/>
    <w:rsid w:val="00A724A7"/>
    <w:rsid w:val="00A743B1"/>
    <w:rsid w:val="00A754ED"/>
    <w:rsid w:val="00A75D34"/>
    <w:rsid w:val="00A81202"/>
    <w:rsid w:val="00A83314"/>
    <w:rsid w:val="00A8455E"/>
    <w:rsid w:val="00A8539E"/>
    <w:rsid w:val="00A953F7"/>
    <w:rsid w:val="00A9690D"/>
    <w:rsid w:val="00AA4EE6"/>
    <w:rsid w:val="00AC0170"/>
    <w:rsid w:val="00AC37F8"/>
    <w:rsid w:val="00AC71CA"/>
    <w:rsid w:val="00AD02F0"/>
    <w:rsid w:val="00AD2DB0"/>
    <w:rsid w:val="00AD7DA4"/>
    <w:rsid w:val="00AF1BEF"/>
    <w:rsid w:val="00B02538"/>
    <w:rsid w:val="00B0426F"/>
    <w:rsid w:val="00B115E9"/>
    <w:rsid w:val="00B1171B"/>
    <w:rsid w:val="00B124E3"/>
    <w:rsid w:val="00B13C7A"/>
    <w:rsid w:val="00B13EE0"/>
    <w:rsid w:val="00B15859"/>
    <w:rsid w:val="00B1712A"/>
    <w:rsid w:val="00B22171"/>
    <w:rsid w:val="00B23418"/>
    <w:rsid w:val="00B25081"/>
    <w:rsid w:val="00B25ABA"/>
    <w:rsid w:val="00B278EC"/>
    <w:rsid w:val="00B300B8"/>
    <w:rsid w:val="00B309A0"/>
    <w:rsid w:val="00B3440B"/>
    <w:rsid w:val="00B52582"/>
    <w:rsid w:val="00B53266"/>
    <w:rsid w:val="00B53BBF"/>
    <w:rsid w:val="00B63FCF"/>
    <w:rsid w:val="00B708ED"/>
    <w:rsid w:val="00B71BE9"/>
    <w:rsid w:val="00B77DD2"/>
    <w:rsid w:val="00B77E3B"/>
    <w:rsid w:val="00B807CA"/>
    <w:rsid w:val="00B84359"/>
    <w:rsid w:val="00B87627"/>
    <w:rsid w:val="00B90B3C"/>
    <w:rsid w:val="00B951FF"/>
    <w:rsid w:val="00BA39E3"/>
    <w:rsid w:val="00BA564D"/>
    <w:rsid w:val="00BB0030"/>
    <w:rsid w:val="00BB419A"/>
    <w:rsid w:val="00BB7586"/>
    <w:rsid w:val="00BC0D7D"/>
    <w:rsid w:val="00BC16E3"/>
    <w:rsid w:val="00BC33A1"/>
    <w:rsid w:val="00BF0CF0"/>
    <w:rsid w:val="00BF1005"/>
    <w:rsid w:val="00C004CC"/>
    <w:rsid w:val="00C016D9"/>
    <w:rsid w:val="00C16A53"/>
    <w:rsid w:val="00C17072"/>
    <w:rsid w:val="00C200F5"/>
    <w:rsid w:val="00C211D6"/>
    <w:rsid w:val="00C311D3"/>
    <w:rsid w:val="00C316B6"/>
    <w:rsid w:val="00C33382"/>
    <w:rsid w:val="00C33F47"/>
    <w:rsid w:val="00C5552F"/>
    <w:rsid w:val="00C55B49"/>
    <w:rsid w:val="00C61462"/>
    <w:rsid w:val="00C7771D"/>
    <w:rsid w:val="00C83856"/>
    <w:rsid w:val="00C874DC"/>
    <w:rsid w:val="00C96DF0"/>
    <w:rsid w:val="00CA54F3"/>
    <w:rsid w:val="00CB713D"/>
    <w:rsid w:val="00CC079B"/>
    <w:rsid w:val="00CD7097"/>
    <w:rsid w:val="00CD7139"/>
    <w:rsid w:val="00CE37FD"/>
    <w:rsid w:val="00CF2BF6"/>
    <w:rsid w:val="00D01BD8"/>
    <w:rsid w:val="00D0201E"/>
    <w:rsid w:val="00D05F2D"/>
    <w:rsid w:val="00D112E1"/>
    <w:rsid w:val="00D3655B"/>
    <w:rsid w:val="00D440FA"/>
    <w:rsid w:val="00D53A15"/>
    <w:rsid w:val="00D5446E"/>
    <w:rsid w:val="00D6334E"/>
    <w:rsid w:val="00D638CC"/>
    <w:rsid w:val="00D646D3"/>
    <w:rsid w:val="00D65045"/>
    <w:rsid w:val="00D70F32"/>
    <w:rsid w:val="00D71FD0"/>
    <w:rsid w:val="00D82BA8"/>
    <w:rsid w:val="00D91B84"/>
    <w:rsid w:val="00D91C7E"/>
    <w:rsid w:val="00DA78D8"/>
    <w:rsid w:val="00DB0FBC"/>
    <w:rsid w:val="00DB3794"/>
    <w:rsid w:val="00DB76DC"/>
    <w:rsid w:val="00DC728E"/>
    <w:rsid w:val="00DC7FF6"/>
    <w:rsid w:val="00DD449C"/>
    <w:rsid w:val="00DD55E9"/>
    <w:rsid w:val="00DD681D"/>
    <w:rsid w:val="00DE1604"/>
    <w:rsid w:val="00DE201E"/>
    <w:rsid w:val="00DE4682"/>
    <w:rsid w:val="00DF29BD"/>
    <w:rsid w:val="00E002E6"/>
    <w:rsid w:val="00E0086D"/>
    <w:rsid w:val="00E0397C"/>
    <w:rsid w:val="00E0471C"/>
    <w:rsid w:val="00E05E59"/>
    <w:rsid w:val="00E0628B"/>
    <w:rsid w:val="00E13309"/>
    <w:rsid w:val="00E169BF"/>
    <w:rsid w:val="00E231E8"/>
    <w:rsid w:val="00E272AC"/>
    <w:rsid w:val="00E319DC"/>
    <w:rsid w:val="00E31C25"/>
    <w:rsid w:val="00E34F64"/>
    <w:rsid w:val="00E369AE"/>
    <w:rsid w:val="00E37AE9"/>
    <w:rsid w:val="00E50D7B"/>
    <w:rsid w:val="00E60F8A"/>
    <w:rsid w:val="00E62EE8"/>
    <w:rsid w:val="00E64158"/>
    <w:rsid w:val="00E66A5A"/>
    <w:rsid w:val="00E71F29"/>
    <w:rsid w:val="00E824FD"/>
    <w:rsid w:val="00E868FE"/>
    <w:rsid w:val="00E87074"/>
    <w:rsid w:val="00E87E7A"/>
    <w:rsid w:val="00E96E97"/>
    <w:rsid w:val="00EA09DA"/>
    <w:rsid w:val="00EA4AB3"/>
    <w:rsid w:val="00EA5CFB"/>
    <w:rsid w:val="00EA7D0B"/>
    <w:rsid w:val="00EB41AC"/>
    <w:rsid w:val="00EB4CAB"/>
    <w:rsid w:val="00EC2088"/>
    <w:rsid w:val="00EC27D6"/>
    <w:rsid w:val="00EC671A"/>
    <w:rsid w:val="00EC6946"/>
    <w:rsid w:val="00ED067B"/>
    <w:rsid w:val="00ED75EE"/>
    <w:rsid w:val="00EE75FD"/>
    <w:rsid w:val="00EF5819"/>
    <w:rsid w:val="00F10831"/>
    <w:rsid w:val="00F10D56"/>
    <w:rsid w:val="00F12C3B"/>
    <w:rsid w:val="00F13FBB"/>
    <w:rsid w:val="00F14422"/>
    <w:rsid w:val="00F25EBA"/>
    <w:rsid w:val="00F260AF"/>
    <w:rsid w:val="00F41BFF"/>
    <w:rsid w:val="00F5564F"/>
    <w:rsid w:val="00F56CE0"/>
    <w:rsid w:val="00F60174"/>
    <w:rsid w:val="00F6212B"/>
    <w:rsid w:val="00F75B15"/>
    <w:rsid w:val="00F81A1D"/>
    <w:rsid w:val="00F855BE"/>
    <w:rsid w:val="00F858D4"/>
    <w:rsid w:val="00F9099F"/>
    <w:rsid w:val="00F932C2"/>
    <w:rsid w:val="00F95B51"/>
    <w:rsid w:val="00F96167"/>
    <w:rsid w:val="00F964A0"/>
    <w:rsid w:val="00FA48E6"/>
    <w:rsid w:val="00FA780C"/>
    <w:rsid w:val="00FC1197"/>
    <w:rsid w:val="00FC319A"/>
    <w:rsid w:val="00FC37BC"/>
    <w:rsid w:val="00FC69F6"/>
    <w:rsid w:val="00FC7C79"/>
    <w:rsid w:val="00FD044C"/>
    <w:rsid w:val="00FD1371"/>
    <w:rsid w:val="00FD254D"/>
    <w:rsid w:val="00FD7B37"/>
    <w:rsid w:val="00FE051D"/>
    <w:rsid w:val="00FE17AF"/>
    <w:rsid w:val="00FE2CC2"/>
    <w:rsid w:val="00FF2D2F"/>
    <w:rsid w:val="00FF5CE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708B9"/>
  <w14:defaultImageDpi w14:val="32767"/>
  <w15:chartTrackingRefBased/>
  <w15:docId w15:val="{68BEBCA1-8925-F142-9B5F-2A8EE0E5E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5880"/>
    <w:rPr>
      <w:rFonts w:ascii="Calibri" w:eastAsia="Times New Roman" w:hAnsi="Calibri" w:cs="Calibri"/>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5880"/>
    <w:pPr>
      <w:tabs>
        <w:tab w:val="center" w:pos="4680"/>
        <w:tab w:val="right" w:pos="9360"/>
      </w:tabs>
    </w:pPr>
  </w:style>
  <w:style w:type="character" w:customStyle="1" w:styleId="HeaderChar">
    <w:name w:val="Header Char"/>
    <w:basedOn w:val="DefaultParagraphFont"/>
    <w:link w:val="Header"/>
    <w:uiPriority w:val="99"/>
    <w:rsid w:val="00955880"/>
  </w:style>
  <w:style w:type="paragraph" w:styleId="Footer">
    <w:name w:val="footer"/>
    <w:basedOn w:val="Normal"/>
    <w:link w:val="FooterChar"/>
    <w:uiPriority w:val="99"/>
    <w:unhideWhenUsed/>
    <w:rsid w:val="00955880"/>
    <w:pPr>
      <w:tabs>
        <w:tab w:val="center" w:pos="4680"/>
        <w:tab w:val="right" w:pos="9360"/>
      </w:tabs>
    </w:pPr>
  </w:style>
  <w:style w:type="character" w:customStyle="1" w:styleId="FooterChar">
    <w:name w:val="Footer Char"/>
    <w:basedOn w:val="DefaultParagraphFont"/>
    <w:link w:val="Footer"/>
    <w:uiPriority w:val="99"/>
    <w:rsid w:val="00955880"/>
  </w:style>
  <w:style w:type="paragraph" w:styleId="ListParagraph">
    <w:name w:val="List Paragraph"/>
    <w:basedOn w:val="Normal"/>
    <w:uiPriority w:val="34"/>
    <w:qFormat/>
    <w:rsid w:val="00955880"/>
    <w:pPr>
      <w:ind w:left="720"/>
      <w:contextualSpacing/>
    </w:pPr>
  </w:style>
  <w:style w:type="paragraph" w:styleId="FootnoteText">
    <w:name w:val="footnote text"/>
    <w:basedOn w:val="Normal"/>
    <w:link w:val="FootnoteTextChar"/>
    <w:uiPriority w:val="99"/>
    <w:unhideWhenUsed/>
    <w:rsid w:val="00534C31"/>
  </w:style>
  <w:style w:type="character" w:customStyle="1" w:styleId="FootnoteTextChar">
    <w:name w:val="Footnote Text Char"/>
    <w:basedOn w:val="DefaultParagraphFont"/>
    <w:link w:val="FootnoteText"/>
    <w:uiPriority w:val="99"/>
    <w:rsid w:val="00534C31"/>
    <w:rPr>
      <w:rFonts w:ascii="Calibri" w:eastAsia="Times New Roman" w:hAnsi="Calibri" w:cs="Calibri"/>
      <w:sz w:val="20"/>
      <w:szCs w:val="20"/>
    </w:rPr>
  </w:style>
  <w:style w:type="character" w:styleId="FootnoteReference">
    <w:name w:val="footnote reference"/>
    <w:basedOn w:val="DefaultParagraphFont"/>
    <w:uiPriority w:val="99"/>
    <w:semiHidden/>
    <w:unhideWhenUsed/>
    <w:rsid w:val="00534C31"/>
    <w:rPr>
      <w:vertAlign w:val="superscript"/>
    </w:rPr>
  </w:style>
  <w:style w:type="table" w:styleId="TableGrid">
    <w:name w:val="Table Grid"/>
    <w:basedOn w:val="TableNormal"/>
    <w:uiPriority w:val="39"/>
    <w:rsid w:val="001E04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E047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E0475"/>
    <w:rPr>
      <w:rFonts w:ascii="Times New Roman" w:eastAsia="Times New Roman" w:hAnsi="Times New Roman" w:cs="Times New Roman"/>
      <w:sz w:val="18"/>
      <w:szCs w:val="18"/>
    </w:rPr>
  </w:style>
  <w:style w:type="character" w:styleId="Hyperlink">
    <w:name w:val="Hyperlink"/>
    <w:basedOn w:val="DefaultParagraphFont"/>
    <w:uiPriority w:val="99"/>
    <w:unhideWhenUsed/>
    <w:rsid w:val="00746605"/>
    <w:rPr>
      <w:color w:val="0563C1" w:themeColor="hyperlink"/>
      <w:u w:val="single"/>
    </w:rPr>
  </w:style>
  <w:style w:type="character" w:styleId="CommentReference">
    <w:name w:val="annotation reference"/>
    <w:basedOn w:val="DefaultParagraphFont"/>
    <w:uiPriority w:val="99"/>
    <w:semiHidden/>
    <w:unhideWhenUsed/>
    <w:rsid w:val="0055280C"/>
    <w:rPr>
      <w:sz w:val="16"/>
      <w:szCs w:val="16"/>
    </w:rPr>
  </w:style>
  <w:style w:type="paragraph" w:styleId="CommentText">
    <w:name w:val="annotation text"/>
    <w:basedOn w:val="Normal"/>
    <w:link w:val="CommentTextChar"/>
    <w:uiPriority w:val="99"/>
    <w:semiHidden/>
    <w:unhideWhenUsed/>
    <w:rsid w:val="0055280C"/>
  </w:style>
  <w:style w:type="character" w:customStyle="1" w:styleId="CommentTextChar">
    <w:name w:val="Comment Text Char"/>
    <w:basedOn w:val="DefaultParagraphFont"/>
    <w:link w:val="CommentText"/>
    <w:uiPriority w:val="99"/>
    <w:semiHidden/>
    <w:rsid w:val="0055280C"/>
    <w:rPr>
      <w:rFonts w:ascii="Calibri" w:eastAsia="Times New Roman" w:hAnsi="Calibri" w:cs="Calibri"/>
      <w:sz w:val="20"/>
      <w:szCs w:val="20"/>
    </w:rPr>
  </w:style>
  <w:style w:type="paragraph" w:styleId="CommentSubject">
    <w:name w:val="annotation subject"/>
    <w:basedOn w:val="CommentText"/>
    <w:next w:val="CommentText"/>
    <w:link w:val="CommentSubjectChar"/>
    <w:uiPriority w:val="99"/>
    <w:semiHidden/>
    <w:unhideWhenUsed/>
    <w:rsid w:val="0055280C"/>
    <w:rPr>
      <w:b/>
      <w:bCs/>
    </w:rPr>
  </w:style>
  <w:style w:type="character" w:customStyle="1" w:styleId="CommentSubjectChar">
    <w:name w:val="Comment Subject Char"/>
    <w:basedOn w:val="CommentTextChar"/>
    <w:link w:val="CommentSubject"/>
    <w:uiPriority w:val="99"/>
    <w:semiHidden/>
    <w:rsid w:val="0055280C"/>
    <w:rPr>
      <w:rFonts w:ascii="Calibri" w:eastAsia="Times New Roman" w:hAnsi="Calibri" w:cs="Calibri"/>
      <w:b/>
      <w:bCs/>
      <w:sz w:val="20"/>
      <w:szCs w:val="20"/>
    </w:rPr>
  </w:style>
  <w:style w:type="character" w:styleId="PageNumber">
    <w:name w:val="page number"/>
    <w:basedOn w:val="DefaultParagraphFont"/>
    <w:uiPriority w:val="99"/>
    <w:semiHidden/>
    <w:unhideWhenUsed/>
    <w:rsid w:val="00DC7FF6"/>
  </w:style>
  <w:style w:type="character" w:customStyle="1" w:styleId="UnresolvedMention1">
    <w:name w:val="Unresolved Mention1"/>
    <w:basedOn w:val="DefaultParagraphFont"/>
    <w:uiPriority w:val="99"/>
    <w:rsid w:val="00DC7F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663935">
      <w:bodyDiv w:val="1"/>
      <w:marLeft w:val="0"/>
      <w:marRight w:val="0"/>
      <w:marTop w:val="0"/>
      <w:marBottom w:val="0"/>
      <w:divBdr>
        <w:top w:val="none" w:sz="0" w:space="0" w:color="auto"/>
        <w:left w:val="none" w:sz="0" w:space="0" w:color="auto"/>
        <w:bottom w:val="none" w:sz="0" w:space="0" w:color="auto"/>
        <w:right w:val="none" w:sz="0" w:space="0" w:color="auto"/>
      </w:divBdr>
    </w:div>
    <w:div w:id="698697711">
      <w:bodyDiv w:val="1"/>
      <w:marLeft w:val="0"/>
      <w:marRight w:val="0"/>
      <w:marTop w:val="0"/>
      <w:marBottom w:val="0"/>
      <w:divBdr>
        <w:top w:val="none" w:sz="0" w:space="0" w:color="auto"/>
        <w:left w:val="none" w:sz="0" w:space="0" w:color="auto"/>
        <w:bottom w:val="none" w:sz="0" w:space="0" w:color="auto"/>
        <w:right w:val="none" w:sz="0" w:space="0" w:color="auto"/>
      </w:divBdr>
    </w:div>
    <w:div w:id="829563086">
      <w:bodyDiv w:val="1"/>
      <w:marLeft w:val="0"/>
      <w:marRight w:val="0"/>
      <w:marTop w:val="0"/>
      <w:marBottom w:val="0"/>
      <w:divBdr>
        <w:top w:val="none" w:sz="0" w:space="0" w:color="auto"/>
        <w:left w:val="none" w:sz="0" w:space="0" w:color="auto"/>
        <w:bottom w:val="none" w:sz="0" w:space="0" w:color="auto"/>
        <w:right w:val="none" w:sz="0" w:space="0" w:color="auto"/>
      </w:divBdr>
    </w:div>
    <w:div w:id="882639047">
      <w:bodyDiv w:val="1"/>
      <w:marLeft w:val="0"/>
      <w:marRight w:val="0"/>
      <w:marTop w:val="0"/>
      <w:marBottom w:val="0"/>
      <w:divBdr>
        <w:top w:val="none" w:sz="0" w:space="0" w:color="auto"/>
        <w:left w:val="none" w:sz="0" w:space="0" w:color="auto"/>
        <w:bottom w:val="none" w:sz="0" w:space="0" w:color="auto"/>
        <w:right w:val="none" w:sz="0" w:space="0" w:color="auto"/>
      </w:divBdr>
    </w:div>
    <w:div w:id="979843821">
      <w:bodyDiv w:val="1"/>
      <w:marLeft w:val="0"/>
      <w:marRight w:val="0"/>
      <w:marTop w:val="0"/>
      <w:marBottom w:val="0"/>
      <w:divBdr>
        <w:top w:val="none" w:sz="0" w:space="0" w:color="auto"/>
        <w:left w:val="none" w:sz="0" w:space="0" w:color="auto"/>
        <w:bottom w:val="none" w:sz="0" w:space="0" w:color="auto"/>
        <w:right w:val="none" w:sz="0" w:space="0" w:color="auto"/>
      </w:divBdr>
    </w:div>
    <w:div w:id="1195003149">
      <w:bodyDiv w:val="1"/>
      <w:marLeft w:val="0"/>
      <w:marRight w:val="0"/>
      <w:marTop w:val="0"/>
      <w:marBottom w:val="0"/>
      <w:divBdr>
        <w:top w:val="none" w:sz="0" w:space="0" w:color="auto"/>
        <w:left w:val="none" w:sz="0" w:space="0" w:color="auto"/>
        <w:bottom w:val="none" w:sz="0" w:space="0" w:color="auto"/>
        <w:right w:val="none" w:sz="0" w:space="0" w:color="auto"/>
      </w:divBdr>
    </w:div>
    <w:div w:id="1218008908">
      <w:bodyDiv w:val="1"/>
      <w:marLeft w:val="0"/>
      <w:marRight w:val="0"/>
      <w:marTop w:val="0"/>
      <w:marBottom w:val="0"/>
      <w:divBdr>
        <w:top w:val="none" w:sz="0" w:space="0" w:color="auto"/>
        <w:left w:val="none" w:sz="0" w:space="0" w:color="auto"/>
        <w:bottom w:val="none" w:sz="0" w:space="0" w:color="auto"/>
        <w:right w:val="none" w:sz="0" w:space="0" w:color="auto"/>
      </w:divBdr>
      <w:divsChild>
        <w:div w:id="302737867">
          <w:marLeft w:val="0"/>
          <w:marRight w:val="0"/>
          <w:marTop w:val="0"/>
          <w:marBottom w:val="0"/>
          <w:divBdr>
            <w:top w:val="none" w:sz="0" w:space="0" w:color="auto"/>
            <w:left w:val="none" w:sz="0" w:space="0" w:color="auto"/>
            <w:bottom w:val="none" w:sz="0" w:space="0" w:color="auto"/>
            <w:right w:val="none" w:sz="0" w:space="0" w:color="auto"/>
          </w:divBdr>
        </w:div>
      </w:divsChild>
    </w:div>
    <w:div w:id="1357583806">
      <w:bodyDiv w:val="1"/>
      <w:marLeft w:val="0"/>
      <w:marRight w:val="0"/>
      <w:marTop w:val="0"/>
      <w:marBottom w:val="0"/>
      <w:divBdr>
        <w:top w:val="none" w:sz="0" w:space="0" w:color="auto"/>
        <w:left w:val="none" w:sz="0" w:space="0" w:color="auto"/>
        <w:bottom w:val="none" w:sz="0" w:space="0" w:color="auto"/>
        <w:right w:val="none" w:sz="0" w:space="0" w:color="auto"/>
      </w:divBdr>
    </w:div>
    <w:div w:id="1401169591">
      <w:bodyDiv w:val="1"/>
      <w:marLeft w:val="0"/>
      <w:marRight w:val="0"/>
      <w:marTop w:val="0"/>
      <w:marBottom w:val="0"/>
      <w:divBdr>
        <w:top w:val="none" w:sz="0" w:space="0" w:color="auto"/>
        <w:left w:val="none" w:sz="0" w:space="0" w:color="auto"/>
        <w:bottom w:val="none" w:sz="0" w:space="0" w:color="auto"/>
        <w:right w:val="none" w:sz="0" w:space="0" w:color="auto"/>
      </w:divBdr>
    </w:div>
    <w:div w:id="1813324460">
      <w:bodyDiv w:val="1"/>
      <w:marLeft w:val="0"/>
      <w:marRight w:val="0"/>
      <w:marTop w:val="0"/>
      <w:marBottom w:val="0"/>
      <w:divBdr>
        <w:top w:val="none" w:sz="0" w:space="0" w:color="auto"/>
        <w:left w:val="none" w:sz="0" w:space="0" w:color="auto"/>
        <w:bottom w:val="none" w:sz="0" w:space="0" w:color="auto"/>
        <w:right w:val="none" w:sz="0" w:space="0" w:color="auto"/>
      </w:divBdr>
    </w:div>
    <w:div w:id="1855418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59F6743DB6728F49B46681236A415244" ma:contentTypeVersion="8" ma:contentTypeDescription="Create a new document." ma:contentTypeScope="" ma:versionID="bef4fed39004775a911a2a2a8d07c6eb">
  <xsd:schema xmlns:xsd="http://www.w3.org/2001/XMLSchema" xmlns:xs="http://www.w3.org/2001/XMLSchema" xmlns:p="http://schemas.microsoft.com/office/2006/metadata/properties" xmlns:ns1="http://schemas.microsoft.com/sharepoint/v3" xmlns:ns2="aafabec0-7058-43f8-af41-ebc96e40dcfb" xmlns:ns3="http://schemas.microsoft.com/sharepoint/v4" targetNamespace="http://schemas.microsoft.com/office/2006/metadata/properties" ma:root="true" ma:fieldsID="c1d0380f707ec6a215bb0d0c43c9c73b" ns1:_="" ns2:_="" ns3:_="">
    <xsd:import namespace="http://schemas.microsoft.com/sharepoint/v3"/>
    <xsd:import namespace="aafabec0-7058-43f8-af41-ebc96e40dcfb"/>
    <xsd:import namespace="http://schemas.microsoft.com/sharepoint/v4"/>
    <xsd:element name="properties">
      <xsd:complexType>
        <xsd:sequence>
          <xsd:element name="documentManagement">
            <xsd:complexType>
              <xsd:all>
                <xsd:element ref="ns2:_dlc_DocId" minOccurs="0"/>
                <xsd:element ref="ns2:_dlc_DocIdUrl" minOccurs="0"/>
                <xsd:element ref="ns2:_dlc_DocIdPersistId" minOccurs="0"/>
                <xsd:element ref="ns1:AverageRating" minOccurs="0"/>
                <xsd:element ref="ns1:RatingCount" minOccurs="0"/>
                <xsd:element ref="ns3:IconOverlay" minOccurs="0"/>
                <xsd:element ref="ns1:RatedBy" minOccurs="0"/>
                <xsd:element ref="ns1:Ratings" minOccurs="0"/>
                <xsd:element ref="ns1:LikesCount" minOccurs="0"/>
                <xsd:element ref="ns1:LikedBy" minOccurs="0"/>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11" nillable="true" ma:displayName="Rating (0-5)" ma:decimals="2" ma:description="Average value of all the ratings that have been submitted" ma:indexed="true" ma:internalName="AverageRating" ma:readOnly="true">
      <xsd:simpleType>
        <xsd:restriction base="dms:Number"/>
      </xsd:simpleType>
    </xsd:element>
    <xsd:element name="RatingCount" ma:index="12" nillable="true" ma:displayName="Number of Ratings" ma:decimals="0" ma:description="Number of ratings submitted" ma:internalName="RatingCount" ma:readOnly="true">
      <xsd:simpleType>
        <xsd:restriction base="dms:Number"/>
      </xsd:simpleType>
    </xsd:element>
    <xsd:element name="RatedBy" ma:index="14" nillable="true" ma:displayName="Rated By" ma:description="Users rated the item." ma:hidden="true" ma:list="UserInfo" ma:internalName="Rat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atings" ma:index="15" nillable="true" ma:displayName="User ratings" ma:description="User ratings for the item" ma:hidden="true" ma:internalName="Ratings">
      <xsd:simpleType>
        <xsd:restriction base="dms:Note"/>
      </xsd:simpleType>
    </xsd:element>
    <xsd:element name="LikesCount" ma:index="16" nillable="true" ma:displayName="Number of Likes" ma:internalName="LikesCount">
      <xsd:simpleType>
        <xsd:restriction base="dms:Unknown"/>
      </xsd:simpleType>
    </xsd:element>
    <xsd:element name="LikedBy" ma:index="17" nillable="true" ma:displayName="Liked By" ma:hidden="true" ma:list="UserInfo" ma:internalName="Lik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aafabec0-7058-43f8-af41-ebc96e40dcfb"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3"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ikesCount xmlns="http://schemas.microsoft.com/sharepoint/v3" xsi:nil="true"/>
    <LikedBy xmlns="http://schemas.microsoft.com/sharepoint/v3">
      <UserInfo>
        <DisplayName/>
        <AccountId xsi:nil="true"/>
        <AccountType/>
      </UserInfo>
    </LikedBy>
    <_dlc_DocId xmlns="aafabec0-7058-43f8-af41-ebc96e40dcfb">FFZPYCS4WAF4-2-7643</_dlc_DocId>
    <RatedBy xmlns="http://schemas.microsoft.com/sharepoint/v3">
      <UserInfo>
        <DisplayName/>
        <AccountId xsi:nil="true"/>
        <AccountType/>
      </UserInfo>
    </RatedBy>
    <_dlc_DocIdUrl xmlns="aafabec0-7058-43f8-af41-ebc96e40dcfb">
      <Url>https://share.amazon.com/sites/KindleREAD/_layouts/15/DocIdRedir.aspx?ID=FFZPYCS4WAF4-2-7643</Url>
      <Description>FFZPYCS4WAF4-2-7643</Description>
    </_dlc_DocIdUrl>
    <IconOverlay xmlns="http://schemas.microsoft.com/sharepoint/v4" xsi:nil="true"/>
    <Ratings xmlns="http://schemas.microsoft.com/sharepoint/v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C7A2673-6D6B-4CDE-911F-A330B21B3324}">
  <ds:schemaRefs>
    <ds:schemaRef ds:uri="http://schemas.microsoft.com/sharepoint/events"/>
  </ds:schemaRefs>
</ds:datastoreItem>
</file>

<file path=customXml/itemProps2.xml><?xml version="1.0" encoding="utf-8"?>
<ds:datastoreItem xmlns:ds="http://schemas.openxmlformats.org/officeDocument/2006/customXml" ds:itemID="{3AAAA711-341B-4EC2-8A13-2CEBA4D01C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aafabec0-7058-43f8-af41-ebc96e40dcfb"/>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CF7A1D8-D785-4148-B827-A2075129C0D7}">
  <ds:schemaRefs>
    <ds:schemaRef ds:uri="http://schemas.microsoft.com/office/2006/metadata/properties"/>
    <ds:schemaRef ds:uri="http://schemas.microsoft.com/office/infopath/2007/PartnerControls"/>
    <ds:schemaRef ds:uri="http://schemas.microsoft.com/sharepoint/v3"/>
    <ds:schemaRef ds:uri="aafabec0-7058-43f8-af41-ebc96e40dcfb"/>
    <ds:schemaRef ds:uri="http://schemas.microsoft.com/sharepoint/v4"/>
  </ds:schemaRefs>
</ds:datastoreItem>
</file>

<file path=customXml/itemProps4.xml><?xml version="1.0" encoding="utf-8"?>
<ds:datastoreItem xmlns:ds="http://schemas.openxmlformats.org/officeDocument/2006/customXml" ds:itemID="{09C0FE92-0E00-4805-8211-8264A5173C0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5</Pages>
  <Words>1656</Words>
  <Characters>9445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Lindsey B</dc:creator>
  <cp:keywords/>
  <dc:description/>
  <cp:lastModifiedBy>Young Cho</cp:lastModifiedBy>
  <cp:revision>12</cp:revision>
  <cp:lastPrinted>2018-08-16T00:13:00Z</cp:lastPrinted>
  <dcterms:created xsi:type="dcterms:W3CDTF">2019-06-24T06:08:00Z</dcterms:created>
  <dcterms:modified xsi:type="dcterms:W3CDTF">2019-06-24T09:29:00Z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0x01010059F6743DB6728F49B46681236A415244</vt:lpwstr>
  </property>
  <property fmtid="{D5CDD505-2E9C-101B-9397-08002B2CF9AE}" pid="3" name="_dlc_DocIdItemGuid">
    <vt:lpwstr>34ccb2a0-4def-45b9-b958-22ca27b4b432</vt:lpwstr>
  </property>
</Properties>
</file>