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5E" w:rsidRPr="0022615E" w:rsidRDefault="0022615E" w:rsidP="0022615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TT"/>
        </w:rPr>
      </w:pPr>
      <w:r w:rsidRPr="00A91BF9">
        <w:rPr>
          <w:rFonts w:eastAsia="Times New Roman" w:cstheme="minorHAnsi"/>
          <w:b/>
          <w:bCs/>
          <w:kern w:val="36"/>
          <w:sz w:val="48"/>
          <w:szCs w:val="48"/>
          <w:lang w:eastAsia="en-TT"/>
        </w:rPr>
        <w:t>Proposal Document: Embedded Banking Framework for RBC Caribbean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25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1. Executive Summary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A91BF9">
        <w:rPr>
          <w:rFonts w:cstheme="minorHAnsi"/>
        </w:rPr>
        <w:t xml:space="preserve">RBC Caribbean currently has no embedded banking solutions across its ecosystem, presenting a unique opportunity to define and lead this space within the region. This proposal introduces a strategic initiative to develop a reusable no-code/low-code </w:t>
      </w:r>
      <w:r w:rsidRPr="00A91BF9">
        <w:rPr>
          <w:rStyle w:val="Strong"/>
          <w:rFonts w:cstheme="minorHAnsi"/>
        </w:rPr>
        <w:t>Embedded Banking Framework</w:t>
      </w:r>
      <w:r w:rsidRPr="00A91BF9">
        <w:rPr>
          <w:rFonts w:cstheme="minorHAnsi"/>
        </w:rPr>
        <w:t xml:space="preserve"> — a centralized platform that empowers internal teams and trusted partners to rapidly launch compliant, secure, and branded financial journeys. By leveraging this framework, RBC can extend its services directly into third-party ecosystems such as retail, real estate, education, and mobile platforms, while maintaining full control over integration, compliance, and user experience.</w:t>
      </w: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26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2. Problem Statement</w:t>
      </w:r>
    </w:p>
    <w:p w:rsidR="00C1570B" w:rsidRPr="00C1570B" w:rsidRDefault="00C1570B" w:rsidP="00C1570B">
      <w:p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 xml:space="preserve">RBC Caribbean currently has no public-facing digital journeys for key services such as account opening, profile updates, credit applications, or financial product </w:t>
      </w:r>
      <w:proofErr w:type="spellStart"/>
      <w:r w:rsidRPr="00C1570B">
        <w:rPr>
          <w:rFonts w:eastAsia="Times New Roman" w:cstheme="minorHAnsi"/>
          <w:lang w:eastAsia="en-TT"/>
        </w:rPr>
        <w:t>onboarding</w:t>
      </w:r>
      <w:proofErr w:type="spellEnd"/>
      <w:r w:rsidRPr="00C1570B">
        <w:rPr>
          <w:rFonts w:eastAsia="Times New Roman" w:cstheme="minorHAnsi"/>
          <w:lang w:eastAsia="en-TT"/>
        </w:rPr>
        <w:t>. All of these activities are still driven through branches or internal staff, creating friction for both clients and business partners.</w:t>
      </w:r>
    </w:p>
    <w:p w:rsidR="00C1570B" w:rsidRPr="00C1570B" w:rsidRDefault="00C1570B" w:rsidP="00C1570B">
      <w:pPr>
        <w:spacing w:after="0" w:line="240" w:lineRule="auto"/>
        <w:rPr>
          <w:rFonts w:eastAsia="Times New Roman" w:cstheme="minorHAnsi"/>
          <w:lang w:eastAsia="en-TT"/>
        </w:rPr>
      </w:pPr>
    </w:p>
    <w:p w:rsidR="00C1570B" w:rsidRPr="00C1570B" w:rsidRDefault="00C1570B" w:rsidP="00C1570B">
      <w:p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 xml:space="preserve">This gap becomes even more pronounced as customer expectations shift toward seamless, contextual, and digital-first experiences. RBC has no mechanism to offer services </w:t>
      </w:r>
      <w:r w:rsidRPr="00C1570B">
        <w:rPr>
          <w:rFonts w:eastAsia="Times New Roman" w:cstheme="minorHAnsi"/>
          <w:i/>
          <w:iCs/>
          <w:lang w:eastAsia="en-TT"/>
        </w:rPr>
        <w:t>outside</w:t>
      </w:r>
      <w:r w:rsidRPr="00C1570B">
        <w:rPr>
          <w:rFonts w:eastAsia="Times New Roman" w:cstheme="minorHAnsi"/>
          <w:lang w:eastAsia="en-TT"/>
        </w:rPr>
        <w:t xml:space="preserve"> its direct banking channels — such as at the point of sale in retail, during home searches, or within business partner platforms.</w:t>
      </w:r>
    </w:p>
    <w:p w:rsidR="00C1570B" w:rsidRPr="00C1570B" w:rsidRDefault="00C1570B" w:rsidP="00C1570B">
      <w:pPr>
        <w:spacing w:after="0" w:line="240" w:lineRule="auto"/>
        <w:rPr>
          <w:rFonts w:eastAsia="Times New Roman" w:cstheme="minorHAnsi"/>
          <w:lang w:eastAsia="en-TT"/>
        </w:rPr>
      </w:pPr>
    </w:p>
    <w:p w:rsidR="00C1570B" w:rsidRPr="00C1570B" w:rsidRDefault="00C1570B" w:rsidP="00C1570B">
      <w:p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b/>
          <w:bCs/>
          <w:lang w:eastAsia="en-TT"/>
        </w:rPr>
        <w:t>Limitations:</w:t>
      </w:r>
    </w:p>
    <w:p w:rsidR="00C1570B" w:rsidRPr="00C1570B" w:rsidRDefault="00C1570B" w:rsidP="00C1570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>No embedded banking presence to meet clients where they already are (e.g., retail, real estate, education)</w:t>
      </w:r>
    </w:p>
    <w:p w:rsidR="00C1570B" w:rsidRPr="00C1570B" w:rsidRDefault="00C1570B" w:rsidP="00C1570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 xml:space="preserve">No online-facing self-serve options for </w:t>
      </w:r>
      <w:proofErr w:type="spellStart"/>
      <w:r w:rsidRPr="00C1570B">
        <w:rPr>
          <w:rFonts w:eastAsia="Times New Roman" w:cstheme="minorHAnsi"/>
          <w:lang w:eastAsia="en-TT"/>
        </w:rPr>
        <w:t>onboarding</w:t>
      </w:r>
      <w:proofErr w:type="spellEnd"/>
      <w:r w:rsidRPr="00C1570B">
        <w:rPr>
          <w:rFonts w:eastAsia="Times New Roman" w:cstheme="minorHAnsi"/>
          <w:lang w:eastAsia="en-TT"/>
        </w:rPr>
        <w:t xml:space="preserve"> or applications</w:t>
      </w:r>
    </w:p>
    <w:p w:rsidR="00C1570B" w:rsidRPr="00C1570B" w:rsidRDefault="00C1570B" w:rsidP="00C1570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>Heavy development required to launch even basic journeys</w:t>
      </w:r>
    </w:p>
    <w:p w:rsidR="00C1570B" w:rsidRPr="00C1570B" w:rsidRDefault="00C1570B" w:rsidP="00C1570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>Repetitive integration and compliance logic across teams</w:t>
      </w:r>
    </w:p>
    <w:p w:rsidR="00C1570B" w:rsidRPr="00C1570B" w:rsidRDefault="00C1570B" w:rsidP="00C1570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>Inability to quickly support new partner channels or co-branded solutions</w:t>
      </w:r>
    </w:p>
    <w:p w:rsidR="00C1570B" w:rsidRPr="00C1570B" w:rsidRDefault="00C1570B" w:rsidP="00C1570B">
      <w:pPr>
        <w:spacing w:after="0" w:line="240" w:lineRule="auto"/>
        <w:ind w:left="720"/>
        <w:rPr>
          <w:rFonts w:eastAsia="Times New Roman" w:cstheme="minorHAnsi"/>
          <w:lang w:eastAsia="en-TT"/>
        </w:rPr>
      </w:pPr>
    </w:p>
    <w:p w:rsidR="00C1570B" w:rsidRPr="00C1570B" w:rsidRDefault="00C1570B" w:rsidP="00C1570B">
      <w:pPr>
        <w:spacing w:after="0" w:line="240" w:lineRule="auto"/>
        <w:rPr>
          <w:rFonts w:eastAsia="Times New Roman" w:cstheme="minorHAnsi"/>
          <w:lang w:eastAsia="en-TT"/>
        </w:rPr>
      </w:pPr>
      <w:r w:rsidRPr="00C1570B">
        <w:rPr>
          <w:rFonts w:eastAsia="Times New Roman" w:cstheme="minorHAnsi"/>
          <w:lang w:eastAsia="en-TT"/>
        </w:rPr>
        <w:t xml:space="preserve">This creates a significant gap in RBC’s ability to deliver modern, embedded financial experiences — a space being rapidly adopted by </w:t>
      </w:r>
      <w:proofErr w:type="spellStart"/>
      <w:r w:rsidRPr="00C1570B">
        <w:rPr>
          <w:rFonts w:eastAsia="Times New Roman" w:cstheme="minorHAnsi"/>
          <w:lang w:eastAsia="en-TT"/>
        </w:rPr>
        <w:t>fintechs</w:t>
      </w:r>
      <w:proofErr w:type="spellEnd"/>
      <w:r w:rsidRPr="00C1570B">
        <w:rPr>
          <w:rFonts w:eastAsia="Times New Roman" w:cstheme="minorHAnsi"/>
          <w:lang w:eastAsia="en-TT"/>
        </w:rPr>
        <w:t xml:space="preserve"> and forward-leaning global banks.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27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3. Proposed Solution: Embedded Banking Framework</w:t>
      </w:r>
    </w:p>
    <w:p w:rsidR="0022615E" w:rsidRPr="0022615E" w:rsidRDefault="0022615E" w:rsidP="002261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>A centralized framework that allows teams to:</w:t>
      </w:r>
    </w:p>
    <w:p w:rsidR="0022615E" w:rsidRPr="0022615E" w:rsidRDefault="0022615E" w:rsidP="00226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>Configure UI components for different journeys</w:t>
      </w:r>
    </w:p>
    <w:p w:rsidR="0022615E" w:rsidRPr="0022615E" w:rsidRDefault="0022615E" w:rsidP="00226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>Reuse pre-integrated core banking APIs</w:t>
      </w:r>
    </w:p>
    <w:p w:rsidR="0022615E" w:rsidRPr="0022615E" w:rsidRDefault="0022615E" w:rsidP="00226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lastRenderedPageBreak/>
        <w:t>Define form logic, validation rules, and workflow steps</w:t>
      </w:r>
    </w:p>
    <w:p w:rsidR="0022615E" w:rsidRPr="0022615E" w:rsidRDefault="0022615E" w:rsidP="00226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>Launch partner-embedded solutions (e.g., on a retail, insurance, or university site)</w:t>
      </w:r>
    </w:p>
    <w:p w:rsidR="0022615E" w:rsidRPr="0022615E" w:rsidRDefault="0022615E" w:rsidP="00226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>Ensure compliance with minimal developer effort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28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4.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775"/>
      </w:tblGrid>
      <w:tr w:rsidR="0022615E" w:rsidRPr="0022615E" w:rsidTr="00226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Description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UI Builder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Drag-and-drop interface aligned with RBC brand guidelines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Form Designer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Define fields, validations, dynamic </w:t>
            </w:r>
            <w:proofErr w:type="spellStart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behaviors</w:t>
            </w:r>
            <w:proofErr w:type="spellEnd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, and conditional visibility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Workflow Engine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Build approval, verification, and KYC flows through visual logic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API Connectors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D02F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Pre-built interfaces for </w:t>
            </w:r>
            <w:r w:rsidR="00D02F11">
              <w:rPr>
                <w:rFonts w:eastAsia="Times New Roman" w:cstheme="minorHAnsi"/>
                <w:sz w:val="24"/>
                <w:szCs w:val="24"/>
                <w:lang w:eastAsia="en-TT"/>
              </w:rPr>
              <w:t>EYP0(</w:t>
            </w: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T24, RIBS</w:t>
            </w:r>
            <w:r w:rsidR="00D02F11">
              <w:rPr>
                <w:rFonts w:eastAsia="Times New Roman" w:cstheme="minorHAnsi"/>
                <w:sz w:val="24"/>
                <w:szCs w:val="24"/>
                <w:lang w:eastAsia="en-TT"/>
              </w:rPr>
              <w:t>)</w:t>
            </w: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, </w:t>
            </w:r>
            <w:r w:rsidR="00D02F11">
              <w:rPr>
                <w:rFonts w:eastAsia="Times New Roman" w:cstheme="minorHAnsi"/>
                <w:sz w:val="24"/>
                <w:szCs w:val="24"/>
                <w:lang w:eastAsia="en-TT"/>
              </w:rPr>
              <w:t>PEGA</w:t>
            </w: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, </w:t>
            </w:r>
            <w:proofErr w:type="spellStart"/>
            <w:r w:rsidR="00D02F11">
              <w:rPr>
                <w:rFonts w:eastAsia="Times New Roman" w:cstheme="minorHAnsi"/>
                <w:sz w:val="24"/>
                <w:szCs w:val="24"/>
                <w:lang w:eastAsia="en-TT"/>
              </w:rPr>
              <w:t>Quadient</w:t>
            </w:r>
            <w:proofErr w:type="spellEnd"/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Role-based access, vault-managed secrets, audit logging, encryption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Multi-Channel Support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Works with internal portals, mobile apps, 3rd-party partner sites, or kiosks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Usage metrics, SLA tracking, error reporting, retry flows</w:t>
            </w:r>
          </w:p>
        </w:tc>
      </w:tr>
    </w:tbl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29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5. Technical Architecture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┌──────────────────────────┐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│ Partner/Consumer Channel </w:t>
      </w:r>
      <w:r w:rsidR="003F74AD">
        <w:rPr>
          <w:rFonts w:eastAsia="Times New Roman" w:cstheme="minorHAnsi"/>
          <w:sz w:val="20"/>
          <w:szCs w:val="20"/>
          <w:lang w:eastAsia="en-TT"/>
        </w:rPr>
        <w:tab/>
        <w:t xml:space="preserve">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│ (Web, Mobile, </w:t>
      </w:r>
      <w:proofErr w:type="gramStart"/>
      <w:r w:rsidRPr="00A91BF9">
        <w:rPr>
          <w:rFonts w:eastAsia="Times New Roman" w:cstheme="minorHAnsi"/>
          <w:sz w:val="20"/>
          <w:szCs w:val="20"/>
          <w:lang w:eastAsia="en-TT"/>
        </w:rPr>
        <w:t xml:space="preserve">Kiosk)   </w:t>
      </w:r>
      <w:proofErr w:type="gramEnd"/>
      <w:r w:rsidRPr="00A91BF9">
        <w:rPr>
          <w:rFonts w:eastAsia="Times New Roman" w:cstheme="minorHAnsi"/>
          <w:sz w:val="20"/>
          <w:szCs w:val="20"/>
          <w:lang w:eastAsia="en-TT"/>
        </w:rPr>
        <w:t xml:space="preserve">  </w:t>
      </w:r>
      <w:r w:rsidR="003F74AD">
        <w:rPr>
          <w:rFonts w:eastAsia="Times New Roman" w:cstheme="minorHAnsi"/>
          <w:sz w:val="20"/>
          <w:szCs w:val="20"/>
          <w:lang w:eastAsia="en-TT"/>
        </w:rPr>
        <w:t xml:space="preserve">          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└────────────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┬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─────────────┘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             </w:t>
      </w:r>
      <w:r w:rsidR="003F74AD">
        <w:rPr>
          <w:rFonts w:eastAsia="Times New Roman" w:cstheme="minorHAnsi"/>
          <w:sz w:val="20"/>
          <w:szCs w:val="20"/>
          <w:lang w:eastAsia="en-TT"/>
        </w:rPr>
        <w:t xml:space="preserve">           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┌────────────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▼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────────────┐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</w:t>
      </w:r>
      <w:proofErr w:type="gramStart"/>
      <w:r w:rsidRPr="00A91BF9">
        <w:rPr>
          <w:rFonts w:eastAsia="Times New Roman" w:cstheme="minorHAnsi"/>
          <w:sz w:val="20"/>
          <w:szCs w:val="20"/>
          <w:lang w:eastAsia="en-TT"/>
        </w:rPr>
        <w:t>│  Embedded</w:t>
      </w:r>
      <w:proofErr w:type="gramEnd"/>
      <w:r w:rsidRPr="00A91BF9">
        <w:rPr>
          <w:rFonts w:eastAsia="Times New Roman" w:cstheme="minorHAnsi"/>
          <w:sz w:val="20"/>
          <w:szCs w:val="20"/>
          <w:lang w:eastAsia="en-TT"/>
        </w:rPr>
        <w:t xml:space="preserve"> Widget Engine </w:t>
      </w:r>
      <w:r w:rsidR="003F74AD">
        <w:rPr>
          <w:rFonts w:eastAsia="Times New Roman" w:cstheme="minorHAnsi"/>
          <w:sz w:val="20"/>
          <w:szCs w:val="20"/>
          <w:lang w:eastAsia="en-TT"/>
        </w:rPr>
        <w:t xml:space="preserve">  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</w:t>
      </w:r>
      <w:proofErr w:type="gramStart"/>
      <w:r w:rsidRPr="00A91BF9">
        <w:rPr>
          <w:rFonts w:eastAsia="Times New Roman" w:cstheme="minorHAnsi"/>
          <w:sz w:val="20"/>
          <w:szCs w:val="20"/>
          <w:lang w:eastAsia="en-TT"/>
        </w:rPr>
        <w:t>│  (</w:t>
      </w:r>
      <w:proofErr w:type="gramEnd"/>
      <w:r w:rsidRPr="00A91BF9">
        <w:rPr>
          <w:rFonts w:eastAsia="Times New Roman" w:cstheme="minorHAnsi"/>
          <w:sz w:val="20"/>
          <w:szCs w:val="20"/>
          <w:lang w:eastAsia="en-TT"/>
        </w:rPr>
        <w:t xml:space="preserve">Configurable UI + JS) </w:t>
      </w:r>
      <w:r w:rsidR="003F74AD">
        <w:rPr>
          <w:rFonts w:eastAsia="Times New Roman" w:cstheme="minorHAnsi"/>
          <w:sz w:val="20"/>
          <w:szCs w:val="20"/>
          <w:lang w:eastAsia="en-TT"/>
        </w:rPr>
        <w:t xml:space="preserve">          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└────────────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┬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────────────┘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             </w:t>
      </w:r>
      <w:r w:rsidR="003F74AD">
        <w:rPr>
          <w:rFonts w:eastAsia="Times New Roman" w:cstheme="minorHAnsi"/>
          <w:sz w:val="20"/>
          <w:szCs w:val="20"/>
          <w:lang w:eastAsia="en-TT"/>
        </w:rPr>
        <w:t xml:space="preserve">           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┌────────────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▼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────────────┐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</w:t>
      </w:r>
      <w:proofErr w:type="gramStart"/>
      <w:r w:rsidRPr="00A91BF9">
        <w:rPr>
          <w:rFonts w:eastAsia="Times New Roman" w:cstheme="minorHAnsi"/>
          <w:sz w:val="20"/>
          <w:szCs w:val="20"/>
          <w:lang w:eastAsia="en-TT"/>
        </w:rPr>
        <w:t>│  Embedded</w:t>
      </w:r>
      <w:proofErr w:type="gramEnd"/>
      <w:r w:rsidRPr="00A91BF9">
        <w:rPr>
          <w:rFonts w:eastAsia="Times New Roman" w:cstheme="minorHAnsi"/>
          <w:sz w:val="20"/>
          <w:szCs w:val="20"/>
          <w:lang w:eastAsia="en-TT"/>
        </w:rPr>
        <w:t xml:space="preserve"> Framework API </w:t>
      </w:r>
      <w:r w:rsidR="003F74AD">
        <w:rPr>
          <w:rFonts w:eastAsia="Times New Roman" w:cstheme="minorHAnsi"/>
          <w:sz w:val="20"/>
          <w:szCs w:val="20"/>
          <w:lang w:eastAsia="en-TT"/>
        </w:rPr>
        <w:t xml:space="preserve"> 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│ (Rules, </w:t>
      </w:r>
      <w:proofErr w:type="spellStart"/>
      <w:r w:rsidRPr="00A91BF9">
        <w:rPr>
          <w:rFonts w:eastAsia="Times New Roman" w:cstheme="minorHAnsi"/>
          <w:sz w:val="20"/>
          <w:szCs w:val="20"/>
          <w:lang w:eastAsia="en-TT"/>
        </w:rPr>
        <w:t>Config</w:t>
      </w:r>
      <w:proofErr w:type="spellEnd"/>
      <w:r w:rsidRPr="00A91BF9">
        <w:rPr>
          <w:rFonts w:eastAsia="Times New Roman" w:cstheme="minorHAnsi"/>
          <w:sz w:val="20"/>
          <w:szCs w:val="20"/>
          <w:lang w:eastAsia="en-TT"/>
        </w:rPr>
        <w:t xml:space="preserve">, </w:t>
      </w:r>
      <w:proofErr w:type="gramStart"/>
      <w:r w:rsidRPr="00A91BF9">
        <w:rPr>
          <w:rFonts w:eastAsia="Times New Roman" w:cstheme="minorHAnsi"/>
          <w:sz w:val="20"/>
          <w:szCs w:val="20"/>
          <w:lang w:eastAsia="en-TT"/>
        </w:rPr>
        <w:t xml:space="preserve">Workflows) </w:t>
      </w:r>
      <w:r w:rsidR="003F74AD">
        <w:rPr>
          <w:rFonts w:eastAsia="Times New Roman" w:cstheme="minorHAnsi"/>
          <w:sz w:val="20"/>
          <w:szCs w:val="20"/>
          <w:lang w:eastAsia="en-TT"/>
        </w:rPr>
        <w:t xml:space="preserve">  </w:t>
      </w:r>
      <w:proofErr w:type="gramEnd"/>
      <w:r w:rsidR="003F74AD">
        <w:rPr>
          <w:rFonts w:eastAsia="Times New Roman" w:cstheme="minorHAnsi"/>
          <w:sz w:val="20"/>
          <w:szCs w:val="20"/>
          <w:lang w:eastAsia="en-TT"/>
        </w:rPr>
        <w:t xml:space="preserve">     </w:t>
      </w:r>
      <w:r w:rsidRPr="00A91BF9">
        <w:rPr>
          <w:rFonts w:eastAsia="Times New Roman" w:cstheme="minorHAnsi"/>
          <w:sz w:val="20"/>
          <w:szCs w:val="20"/>
          <w:lang w:eastAsia="en-TT"/>
        </w:rPr>
        <w:t>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└────────────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┬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────────────┘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                            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┌─────────────────────────────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┼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</w:t>
      </w:r>
      <w:bookmarkStart w:id="0" w:name="_GoBack"/>
      <w:bookmarkEnd w:id="0"/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───────────────────────┐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│                             │                             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>┌────────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▼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──────┐</w:t>
      </w: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┌──────────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▼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──────────┐</w:t>
      </w:r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┌─────────</w:t>
      </w:r>
      <w:r w:rsidRPr="00A91BF9">
        <w:rPr>
          <w:rFonts w:ascii="Arial" w:eastAsia="Times New Roman" w:hAnsi="Arial" w:cs="Arial"/>
          <w:sz w:val="20"/>
          <w:szCs w:val="20"/>
          <w:lang w:eastAsia="en-TT"/>
        </w:rPr>
        <w:t>▼</w:t>
      </w:r>
      <w:r w:rsidRPr="00A91BF9">
        <w:rPr>
          <w:rFonts w:ascii="Calibri" w:eastAsia="Times New Roman" w:hAnsi="Calibri" w:cs="Calibri"/>
          <w:sz w:val="20"/>
          <w:szCs w:val="20"/>
          <w:lang w:eastAsia="en-TT"/>
        </w:rPr>
        <w:t>─────────┐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│ Core </w:t>
      </w:r>
      <w:proofErr w:type="gramStart"/>
      <w:r w:rsidRPr="00A91BF9">
        <w:rPr>
          <w:rFonts w:eastAsia="Times New Roman" w:cstheme="minorHAnsi"/>
          <w:sz w:val="20"/>
          <w:szCs w:val="20"/>
          <w:lang w:eastAsia="en-TT"/>
        </w:rPr>
        <w:t>Banking  │</w:t>
      </w:r>
      <w:proofErr w:type="gramEnd"/>
      <w:r w:rsidRPr="00A91BF9">
        <w:rPr>
          <w:rFonts w:eastAsia="Times New Roman" w:cstheme="minorHAnsi"/>
          <w:sz w:val="20"/>
          <w:szCs w:val="20"/>
          <w:lang w:eastAsia="en-TT"/>
        </w:rPr>
        <w:t xml:space="preserve">           │ Compliance Services │        │ Notification/API  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 xml:space="preserve">│ (T24, </w:t>
      </w:r>
      <w:proofErr w:type="gramStart"/>
      <w:r w:rsidRPr="00A91BF9">
        <w:rPr>
          <w:rFonts w:eastAsia="Times New Roman" w:cstheme="minorHAnsi"/>
          <w:sz w:val="20"/>
          <w:szCs w:val="20"/>
          <w:lang w:eastAsia="en-TT"/>
        </w:rPr>
        <w:t xml:space="preserve">RIBS)   </w:t>
      </w:r>
      <w:proofErr w:type="gramEnd"/>
      <w:r w:rsidRPr="00A91BF9">
        <w:rPr>
          <w:rFonts w:eastAsia="Times New Roman" w:cstheme="minorHAnsi"/>
          <w:sz w:val="20"/>
          <w:szCs w:val="20"/>
          <w:lang w:eastAsia="en-TT"/>
        </w:rPr>
        <w:t>│           │ (KYC, AML, Vault)   │        │ CRM, Email, SMS   │</w:t>
      </w:r>
    </w:p>
    <w:p w:rsidR="0022615E" w:rsidRPr="00A91BF9" w:rsidRDefault="0022615E" w:rsidP="0022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TT"/>
        </w:rPr>
      </w:pPr>
      <w:r w:rsidRPr="00A91BF9">
        <w:rPr>
          <w:rFonts w:eastAsia="Times New Roman" w:cstheme="minorHAnsi"/>
          <w:sz w:val="20"/>
          <w:szCs w:val="20"/>
          <w:lang w:eastAsia="en-TT"/>
        </w:rPr>
        <w:t>└───────────────┘           └─────────────────────┘        └───────────────────┘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30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6. Use Cases</w:t>
      </w:r>
    </w:p>
    <w:p w:rsidR="0022615E" w:rsidRPr="0022615E" w:rsidRDefault="0022615E" w:rsidP="00226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lastRenderedPageBreak/>
        <w:t>Mortgage Pre-approval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on Real Estate Partner Sites</w:t>
      </w:r>
    </w:p>
    <w:p w:rsidR="0022615E" w:rsidRPr="0022615E" w:rsidRDefault="0022615E" w:rsidP="00226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>Personal Line of Credit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embedded in </w:t>
      </w:r>
      <w:proofErr w:type="spellStart"/>
      <w:r w:rsidRPr="0022615E">
        <w:rPr>
          <w:rFonts w:eastAsia="Times New Roman" w:cstheme="minorHAnsi"/>
          <w:sz w:val="24"/>
          <w:szCs w:val="24"/>
          <w:lang w:eastAsia="en-TT"/>
        </w:rPr>
        <w:t>Pricemart</w:t>
      </w:r>
      <w:proofErr w:type="spellEnd"/>
      <w:r w:rsidRPr="0022615E">
        <w:rPr>
          <w:rFonts w:eastAsia="Times New Roman" w:cstheme="minorHAnsi"/>
          <w:sz w:val="24"/>
          <w:szCs w:val="24"/>
          <w:lang w:eastAsia="en-TT"/>
        </w:rPr>
        <w:t>, Courts, etc.</w:t>
      </w:r>
    </w:p>
    <w:p w:rsidR="0022615E" w:rsidRPr="0022615E" w:rsidRDefault="0022615E" w:rsidP="00226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 xml:space="preserve">Merchant </w:t>
      </w:r>
      <w:proofErr w:type="spellStart"/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>Onboarding</w:t>
      </w:r>
      <w:proofErr w:type="spellEnd"/>
      <w:r w:rsidRPr="0022615E">
        <w:rPr>
          <w:rFonts w:eastAsia="Times New Roman" w:cstheme="minorHAnsi"/>
          <w:sz w:val="24"/>
          <w:szCs w:val="24"/>
          <w:lang w:eastAsia="en-TT"/>
        </w:rPr>
        <w:t xml:space="preserve"> via RBC Partner Portals</w:t>
      </w:r>
    </w:p>
    <w:p w:rsidR="0022615E" w:rsidRPr="0022615E" w:rsidRDefault="0022615E" w:rsidP="00226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>University Staff Loan App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via intranet</w:t>
      </w:r>
    </w:p>
    <w:p w:rsidR="0022615E" w:rsidRPr="0022615E" w:rsidRDefault="0022615E" w:rsidP="00226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>Mobile Banking Expansion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with modular widgets</w:t>
      </w:r>
    </w:p>
    <w:p w:rsidR="0022615E" w:rsidRPr="0022615E" w:rsidRDefault="0022615E" w:rsidP="00226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>Branch-</w:t>
      </w:r>
      <w:proofErr w:type="spellStart"/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>lite</w:t>
      </w:r>
      <w:proofErr w:type="spellEnd"/>
      <w:r w:rsidRPr="00A91BF9">
        <w:rPr>
          <w:rFonts w:eastAsia="Times New Roman" w:cstheme="minorHAnsi"/>
          <w:b/>
          <w:bCs/>
          <w:sz w:val="24"/>
          <w:szCs w:val="24"/>
          <w:lang w:eastAsia="en-TT"/>
        </w:rPr>
        <w:t xml:space="preserve"> pop-up banking booths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(kiosks)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31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7. MVP Plan (6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6457"/>
      </w:tblGrid>
      <w:tr w:rsidR="0022615E" w:rsidRPr="0022615E" w:rsidTr="00226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Deliverables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Week 1-2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Core framework setup, front-end widget container, sample forms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Integration with T24 (client + account create), sandbox </w:t>
            </w:r>
            <w:proofErr w:type="spellStart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config</w:t>
            </w:r>
            <w:proofErr w:type="spellEnd"/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Simple rules engine and workflow triggers (e.g., eligibility)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Vault + </w:t>
            </w:r>
            <w:proofErr w:type="spellStart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Auth</w:t>
            </w:r>
            <w:proofErr w:type="spellEnd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 + logging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End-to-end demo: Merchant </w:t>
            </w:r>
            <w:proofErr w:type="spellStart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Onboarding</w:t>
            </w:r>
            <w:proofErr w:type="spellEnd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 Journey with UI</w:t>
            </w:r>
          </w:p>
        </w:tc>
      </w:tr>
    </w:tbl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32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8. Benefits to RBC Caribbean</w:t>
      </w:r>
    </w:p>
    <w:p w:rsidR="0022615E" w:rsidRPr="0022615E" w:rsidRDefault="0022615E" w:rsidP="002261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ascii="Segoe UI Symbol" w:eastAsia="Times New Roman" w:hAnsi="Segoe UI Symbol" w:cs="Segoe UI Symbol"/>
          <w:sz w:val="24"/>
          <w:szCs w:val="24"/>
          <w:lang w:eastAsia="en-TT"/>
        </w:rPr>
        <w:t>✅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First-mover advantage in the regional </w:t>
      </w:r>
      <w:proofErr w:type="spellStart"/>
      <w:r w:rsidRPr="0022615E">
        <w:rPr>
          <w:rFonts w:eastAsia="Times New Roman" w:cstheme="minorHAnsi"/>
          <w:sz w:val="24"/>
          <w:szCs w:val="24"/>
          <w:lang w:eastAsia="en-TT"/>
        </w:rPr>
        <w:t>fintech</w:t>
      </w:r>
      <w:proofErr w:type="spellEnd"/>
      <w:r w:rsidRPr="0022615E">
        <w:rPr>
          <w:rFonts w:eastAsia="Times New Roman" w:cstheme="minorHAnsi"/>
          <w:sz w:val="24"/>
          <w:szCs w:val="24"/>
          <w:lang w:eastAsia="en-TT"/>
        </w:rPr>
        <w:t xml:space="preserve"> space</w:t>
      </w:r>
      <w:r w:rsidRPr="0022615E">
        <w:rPr>
          <w:rFonts w:eastAsia="Times New Roman" w:cstheme="minorHAnsi"/>
          <w:sz w:val="24"/>
          <w:szCs w:val="24"/>
          <w:lang w:eastAsia="en-TT"/>
        </w:rPr>
        <w:br/>
      </w:r>
      <w:r w:rsidRPr="0022615E">
        <w:rPr>
          <w:rFonts w:ascii="Segoe UI Symbol" w:eastAsia="Times New Roman" w:hAnsi="Segoe UI Symbol" w:cs="Segoe UI Symbol"/>
          <w:sz w:val="24"/>
          <w:szCs w:val="24"/>
          <w:lang w:eastAsia="en-TT"/>
        </w:rPr>
        <w:t>✅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Fast-track new partner and internal banking journeys</w:t>
      </w:r>
      <w:r w:rsidRPr="0022615E">
        <w:rPr>
          <w:rFonts w:eastAsia="Times New Roman" w:cstheme="minorHAnsi"/>
          <w:sz w:val="24"/>
          <w:szCs w:val="24"/>
          <w:lang w:eastAsia="en-TT"/>
        </w:rPr>
        <w:br/>
      </w:r>
      <w:r w:rsidRPr="0022615E">
        <w:rPr>
          <w:rFonts w:ascii="Segoe UI Symbol" w:eastAsia="Times New Roman" w:hAnsi="Segoe UI Symbol" w:cs="Segoe UI Symbol"/>
          <w:sz w:val="24"/>
          <w:szCs w:val="24"/>
          <w:lang w:eastAsia="en-TT"/>
        </w:rPr>
        <w:t>✅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Lower technical effort with higher standardization</w:t>
      </w:r>
      <w:r w:rsidRPr="0022615E">
        <w:rPr>
          <w:rFonts w:eastAsia="Times New Roman" w:cstheme="minorHAnsi"/>
          <w:sz w:val="24"/>
          <w:szCs w:val="24"/>
          <w:lang w:eastAsia="en-TT"/>
        </w:rPr>
        <w:br/>
      </w:r>
      <w:r w:rsidRPr="0022615E">
        <w:rPr>
          <w:rFonts w:ascii="Segoe UI Symbol" w:eastAsia="Times New Roman" w:hAnsi="Segoe UI Symbol" w:cs="Segoe UI Symbol"/>
          <w:sz w:val="24"/>
          <w:szCs w:val="24"/>
          <w:lang w:eastAsia="en-TT"/>
        </w:rPr>
        <w:t>✅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Stronger compliance and monitoring through reusable patterns</w:t>
      </w:r>
      <w:r w:rsidRPr="0022615E">
        <w:rPr>
          <w:rFonts w:eastAsia="Times New Roman" w:cstheme="minorHAnsi"/>
          <w:sz w:val="24"/>
          <w:szCs w:val="24"/>
          <w:lang w:eastAsia="en-TT"/>
        </w:rPr>
        <w:br/>
      </w:r>
      <w:r w:rsidRPr="0022615E">
        <w:rPr>
          <w:rFonts w:ascii="Segoe UI Symbol" w:eastAsia="Times New Roman" w:hAnsi="Segoe UI Symbol" w:cs="Segoe UI Symbol"/>
          <w:sz w:val="24"/>
          <w:szCs w:val="24"/>
          <w:lang w:eastAsia="en-TT"/>
        </w:rPr>
        <w:t>✅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Developer-controlled, </w:t>
      </w:r>
      <w:proofErr w:type="spellStart"/>
      <w:r w:rsidRPr="0022615E">
        <w:rPr>
          <w:rFonts w:eastAsia="Times New Roman" w:cstheme="minorHAnsi"/>
          <w:sz w:val="24"/>
          <w:szCs w:val="24"/>
          <w:lang w:eastAsia="en-TT"/>
        </w:rPr>
        <w:t>sandboxable</w:t>
      </w:r>
      <w:proofErr w:type="spellEnd"/>
      <w:r w:rsidRPr="0022615E">
        <w:rPr>
          <w:rFonts w:eastAsia="Times New Roman" w:cstheme="minorHAnsi"/>
          <w:sz w:val="24"/>
          <w:szCs w:val="24"/>
          <w:lang w:eastAsia="en-TT"/>
        </w:rPr>
        <w:t xml:space="preserve"> environments</w:t>
      </w:r>
      <w:r w:rsidRPr="0022615E">
        <w:rPr>
          <w:rFonts w:eastAsia="Times New Roman" w:cstheme="minorHAnsi"/>
          <w:sz w:val="24"/>
          <w:szCs w:val="24"/>
          <w:lang w:eastAsia="en-TT"/>
        </w:rPr>
        <w:br/>
      </w:r>
      <w:r w:rsidRPr="0022615E">
        <w:rPr>
          <w:rFonts w:ascii="Segoe UI Symbol" w:eastAsia="Times New Roman" w:hAnsi="Segoe UI Symbol" w:cs="Segoe UI Symbol"/>
          <w:sz w:val="24"/>
          <w:szCs w:val="24"/>
          <w:lang w:eastAsia="en-TT"/>
        </w:rPr>
        <w:t>✅</w:t>
      </w:r>
      <w:r w:rsidRPr="0022615E">
        <w:rPr>
          <w:rFonts w:eastAsia="Times New Roman" w:cstheme="minorHAnsi"/>
          <w:sz w:val="24"/>
          <w:szCs w:val="24"/>
          <w:lang w:eastAsia="en-TT"/>
        </w:rPr>
        <w:t xml:space="preserve"> Future-proof modular architecture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33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9. Strategic Alignment</w:t>
      </w:r>
    </w:p>
    <w:p w:rsidR="0022615E" w:rsidRPr="0022615E" w:rsidRDefault="0022615E" w:rsidP="00226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 xml:space="preserve">Aligns with RBC </w:t>
      </w:r>
      <w:proofErr w:type="spellStart"/>
      <w:r w:rsidRPr="0022615E">
        <w:rPr>
          <w:rFonts w:eastAsia="Times New Roman" w:cstheme="minorHAnsi"/>
          <w:sz w:val="24"/>
          <w:szCs w:val="24"/>
          <w:lang w:eastAsia="en-TT"/>
        </w:rPr>
        <w:t>Global’s</w:t>
      </w:r>
      <w:proofErr w:type="spellEnd"/>
      <w:r w:rsidRPr="0022615E">
        <w:rPr>
          <w:rFonts w:eastAsia="Times New Roman" w:cstheme="minorHAnsi"/>
          <w:sz w:val="24"/>
          <w:szCs w:val="24"/>
          <w:lang w:eastAsia="en-TT"/>
        </w:rPr>
        <w:t xml:space="preserve"> digital acceleration initiatives</w:t>
      </w:r>
    </w:p>
    <w:p w:rsidR="0022615E" w:rsidRPr="0022615E" w:rsidRDefault="0022615E" w:rsidP="00226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>Builds foundation for Open Banking integrations</w:t>
      </w:r>
    </w:p>
    <w:p w:rsidR="0022615E" w:rsidRPr="0022615E" w:rsidRDefault="0022615E" w:rsidP="00226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>Serves as a regional innovation showcase for RBC Tech Global</w:t>
      </w:r>
    </w:p>
    <w:p w:rsidR="0022615E" w:rsidRPr="0022615E" w:rsidRDefault="0022615E" w:rsidP="00226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t xml:space="preserve">Prepares Caribbean region for future-ready client </w:t>
      </w:r>
      <w:proofErr w:type="spellStart"/>
      <w:r w:rsidRPr="0022615E">
        <w:rPr>
          <w:rFonts w:eastAsia="Times New Roman" w:cstheme="minorHAnsi"/>
          <w:sz w:val="24"/>
          <w:szCs w:val="24"/>
          <w:lang w:eastAsia="en-TT"/>
        </w:rPr>
        <w:t>onboarding</w:t>
      </w:r>
      <w:proofErr w:type="spellEnd"/>
      <w:r w:rsidRPr="0022615E">
        <w:rPr>
          <w:rFonts w:eastAsia="Times New Roman" w:cstheme="minorHAnsi"/>
          <w:sz w:val="24"/>
          <w:szCs w:val="24"/>
          <w:lang w:eastAsia="en-TT"/>
        </w:rPr>
        <w:t xml:space="preserve"> and servicing</w:t>
      </w:r>
    </w:p>
    <w:p w:rsidR="0022615E" w:rsidRPr="0022615E" w:rsidRDefault="0022615E" w:rsidP="0022615E">
      <w:pPr>
        <w:spacing w:after="0" w:line="240" w:lineRule="auto"/>
        <w:rPr>
          <w:rFonts w:eastAsia="Times New Roman" w:cstheme="minorHAnsi"/>
          <w:sz w:val="24"/>
          <w:szCs w:val="24"/>
          <w:lang w:eastAsia="en-TT"/>
        </w:rPr>
      </w:pPr>
      <w:r w:rsidRPr="0022615E">
        <w:rPr>
          <w:rFonts w:eastAsia="Times New Roman" w:cstheme="minorHAnsi"/>
          <w:sz w:val="24"/>
          <w:szCs w:val="24"/>
          <w:lang w:eastAsia="en-TT"/>
        </w:rPr>
        <w:pict>
          <v:rect id="_x0000_i1034" style="width:0;height:1.5pt" o:hralign="center" o:hrstd="t" o:hr="t" fillcolor="#a0a0a0" stroked="f"/>
        </w:pict>
      </w:r>
    </w:p>
    <w:p w:rsidR="0022615E" w:rsidRPr="0022615E" w:rsidRDefault="0022615E" w:rsidP="00226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TT"/>
        </w:rPr>
      </w:pPr>
      <w:r w:rsidRPr="00A91BF9">
        <w:rPr>
          <w:rFonts w:eastAsia="Times New Roman" w:cstheme="minorHAnsi"/>
          <w:b/>
          <w:bCs/>
          <w:sz w:val="36"/>
          <w:szCs w:val="36"/>
          <w:lang w:eastAsia="en-TT"/>
        </w:rPr>
        <w:t>10. Next Steps &amp; Support Needed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484"/>
      </w:tblGrid>
      <w:tr w:rsidR="0022615E" w:rsidRPr="0022615E" w:rsidTr="00226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lastRenderedPageBreak/>
              <w:t>Ask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Details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Architectural endorsement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Formal review from RBC Global Architecture to greenlight sandbox pilot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Cross-team squad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1 FE, 1 BE, 1 QA, 1 BA, 1 Compliance, 1 Product Owner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Sandbox Environment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Isolated setup with mock T24/RIBS endpoints for testing journeys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Pilot Selection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Internal merchant </w:t>
            </w:r>
            <w:proofErr w:type="spellStart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onboarding</w:t>
            </w:r>
            <w:proofErr w:type="spellEnd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 or </w:t>
            </w:r>
            <w:proofErr w:type="spellStart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Pricemart</w:t>
            </w:r>
            <w:proofErr w:type="spellEnd"/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 xml:space="preserve"> Line of Credit MVP</w:t>
            </w:r>
          </w:p>
        </w:tc>
      </w:tr>
      <w:tr w:rsidR="0022615E" w:rsidRPr="0022615E" w:rsidTr="00226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A91BF9">
              <w:rPr>
                <w:rFonts w:eastAsia="Times New Roman" w:cstheme="minorHAnsi"/>
                <w:b/>
                <w:bCs/>
                <w:sz w:val="24"/>
                <w:szCs w:val="24"/>
                <w:lang w:eastAsia="en-TT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:rsidR="0022615E" w:rsidRPr="0022615E" w:rsidRDefault="0022615E" w:rsidP="002261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TT"/>
              </w:rPr>
            </w:pPr>
            <w:r w:rsidRPr="0022615E">
              <w:rPr>
                <w:rFonts w:eastAsia="Times New Roman" w:cstheme="minorHAnsi"/>
                <w:sz w:val="24"/>
                <w:szCs w:val="24"/>
                <w:lang w:eastAsia="en-TT"/>
              </w:rPr>
              <w:t>MVP by end of Quarter with presentation to RBC Caribbean and Global Tech</w:t>
            </w:r>
          </w:p>
        </w:tc>
      </w:tr>
    </w:tbl>
    <w:p w:rsidR="00BA2EAB" w:rsidRPr="00A91BF9" w:rsidRDefault="00BA2EAB">
      <w:pPr>
        <w:rPr>
          <w:rFonts w:cstheme="minorHAnsi"/>
        </w:rPr>
      </w:pPr>
    </w:p>
    <w:sectPr w:rsidR="00BA2EAB" w:rsidRPr="00A9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78C7"/>
    <w:multiLevelType w:val="multilevel"/>
    <w:tmpl w:val="8E7E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C731D"/>
    <w:multiLevelType w:val="multilevel"/>
    <w:tmpl w:val="EFE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53848"/>
    <w:multiLevelType w:val="multilevel"/>
    <w:tmpl w:val="B1D6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818CC"/>
    <w:multiLevelType w:val="multilevel"/>
    <w:tmpl w:val="DC5A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D7A61"/>
    <w:multiLevelType w:val="multilevel"/>
    <w:tmpl w:val="520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77FB1"/>
    <w:multiLevelType w:val="multilevel"/>
    <w:tmpl w:val="F7D4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5E"/>
    <w:rsid w:val="0022615E"/>
    <w:rsid w:val="003F74AD"/>
    <w:rsid w:val="00A91BF9"/>
    <w:rsid w:val="00BA2EAB"/>
    <w:rsid w:val="00C1570B"/>
    <w:rsid w:val="00D02F11"/>
    <w:rsid w:val="00D07530"/>
    <w:rsid w:val="00E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44DB"/>
  <w15:chartTrackingRefBased/>
  <w15:docId w15:val="{BAFCE4C1-1115-42F4-BB38-59633584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paragraph" w:styleId="Heading2">
    <w:name w:val="heading 2"/>
    <w:basedOn w:val="Normal"/>
    <w:link w:val="Heading2Char"/>
    <w:uiPriority w:val="9"/>
    <w:qFormat/>
    <w:rsid w:val="00226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5E"/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character" w:customStyle="1" w:styleId="Heading2Char">
    <w:name w:val="Heading 2 Char"/>
    <w:basedOn w:val="DefaultParagraphFont"/>
    <w:link w:val="Heading2"/>
    <w:uiPriority w:val="9"/>
    <w:rsid w:val="0022615E"/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character" w:styleId="Strong">
    <w:name w:val="Strong"/>
    <w:basedOn w:val="DefaultParagraphFont"/>
    <w:uiPriority w:val="22"/>
    <w:qFormat/>
    <w:rsid w:val="002261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5E"/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ljs-code">
    <w:name w:val="hljs-code"/>
    <w:basedOn w:val="DefaultParagraphFont"/>
    <w:rsid w:val="0022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Sherrell Mungal</dc:creator>
  <cp:keywords/>
  <dc:description/>
  <cp:lastModifiedBy>Sherrell Mungal</cp:lastModifiedBy>
  <cp:revision>1</cp:revision>
  <dcterms:created xsi:type="dcterms:W3CDTF">2025-05-07T18:44:00Z</dcterms:created>
  <dcterms:modified xsi:type="dcterms:W3CDTF">2025-05-07T18:55:00Z</dcterms:modified>
</cp:coreProperties>
</file>