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widowControl/>
        <w:spacing w:before="1600"/>
        <w:jc w:val="center"/>
      </w:pPr>
      <w:r>
        <w:rPr>
          <w:rFonts w:ascii="微软雅黑" w:hAnsi="微软雅黑"/>
          <w:b/>
          <w:color w:val="1F3349"/>
          <w:sz w:val="46"/>
        </w:rPr>
        <w:t>庆阳市交能融合智能体平台</w:t>
      </w:r>
    </w:p>
    <w:p>
      <w:pPr>
        <w:widowControl/>
        <w:spacing w:before="240"/>
        <w:jc w:val="center"/>
      </w:pPr>
      <w:r>
        <w:rPr>
          <w:rFonts w:ascii="微软雅黑" w:hAnsi="微软雅黑"/>
          <w:b/>
          <w:color w:val="184868"/>
          <w:sz w:val="48"/>
        </w:rPr>
        <w:t>需求规格说明书</w:t>
      </w:r>
    </w:p>
    <w:p>
      <w:pPr>
        <w:widowControl/>
        <w:spacing w:before="160"/>
        <w:jc w:val="center"/>
      </w:pPr>
      <w:r>
        <w:rPr>
          <w:rFonts w:ascii="微软雅黑" w:hAnsi="微软雅黑"/>
          <w:color w:val="6B7885"/>
          <w:sz w:val="24"/>
        </w:rPr>
        <w:t>V1.0  ·  评审初稿</w:t>
      </w:r>
    </w:p>
    <w:p>
      <w:pPr>
        <w:widowControl/>
      </w:pPr>
      <w:r>
        <w:br/>
        <w:br/>
      </w:r>
    </w:p>
    <w:p>
      <w:pPr>
        <w:widowControl/>
        <w:jc w:val="center"/>
      </w:pPr>
      <w:r>
        <w:rPr>
          <w:b/>
          <w:sz w:val="20"/>
        </w:rPr>
        <w:t>文档性质：</w:t>
      </w:r>
      <w:r>
        <w:rPr>
          <w:sz w:val="20"/>
        </w:rPr>
        <w:t>产品需求规格说明（功能与非功能需求）</w:t>
      </w:r>
    </w:p>
    <w:p>
      <w:pPr>
        <w:widowControl/>
        <w:jc w:val="center"/>
      </w:pPr>
      <w:r>
        <w:rPr>
          <w:b/>
          <w:sz w:val="20"/>
        </w:rPr>
        <w:t>主要依据：</w:t>
      </w:r>
      <w:r>
        <w:rPr>
          <w:sz w:val="20"/>
        </w:rPr>
        <w:t>《庆阳市交能融合产业项目落地推进实施方案》（2026年9月）</w:t>
      </w:r>
    </w:p>
    <w:p>
      <w:pPr>
        <w:widowControl/>
        <w:jc w:val="center"/>
      </w:pPr>
      <w:r>
        <w:rPr>
          <w:b/>
          <w:sz w:val="20"/>
        </w:rPr>
        <w:t>参考体例：</w:t>
      </w:r>
      <w:r>
        <w:rPr>
          <w:sz w:val="20"/>
        </w:rPr>
        <w:t>《无人快递车监管平台需求说明书V1.0》</w:t>
      </w:r>
    </w:p>
    <w:p>
      <w:pPr>
        <w:widowControl/>
        <w:jc w:val="center"/>
      </w:pPr>
      <w:r>
        <w:rPr>
          <w:b/>
          <w:sz w:val="20"/>
        </w:rPr>
        <w:t>适用范围：</w:t>
      </w:r>
      <w:r>
        <w:rPr>
          <w:sz w:val="20"/>
        </w:rPr>
        <w:t>交能融合智能体平台软件部分；不包含产业工程建设设计</w:t>
      </w:r>
    </w:p>
    <w:p>
      <w:pPr>
        <w:widowControl/>
        <w:spacing w:before="1500"/>
        <w:jc w:val="center"/>
      </w:pPr>
      <w:r>
        <w:rPr>
          <w:sz w:val="22"/>
        </w:rPr>
        <w:t>2026年10月</w:t>
      </w:r>
    </w:p>
    <w:p>
      <w:r>
        <w:br w:type="page"/>
      </w:r>
    </w:p>
    <w:p>
      <w:pPr>
        <w:pStyle w:val="Heading1"/>
      </w:pPr>
      <w:r>
        <w:t>编制说明</w:t>
      </w:r>
    </w:p>
    <w:p>
      <w:pPr>
        <w:widowControl/>
      </w:pPr>
      <w:r>
        <w:t>本需求规格说明书按照参考文件“项目概述—总体设计—业务功能需求—非功能需求”的组织方式编制，各主要功能点采用“功能说明、应用场景、功能目标”三段式表述。文件着重说明业务需要实现什么，不规定页面视觉、UI布局、开发框架、数据库选型及部署技术。</w:t>
      </w:r>
    </w:p>
    <w:p>
      <w:pPr>
        <w:widowControl/>
      </w:pPr>
      <w:r>
        <w:t>需求来源按以下原则区分：实施方案第三部分明确规定的六项核心功能为直接依据；基于实施方案业务逻辑和先导期运营场景细化的订单、补能、任务、资产、智能辅助等条目为本版拟议需求，必须经过建设方评审确认后方可作为最终实施基线。</w:t>
      </w:r>
    </w:p>
    <w:p>
      <w:pPr>
        <w:widowControl/>
      </w:pPr>
      <w:r>
        <w:t>实施方案所载重卡替代4781辆、母站5座、子站60座及电池5740组等均属产业项目阶段目标，不代表平台先导期实际接入规模、已建成资产或软件验收承诺。</w:t>
      </w:r>
    </w:p>
    <w:p>
      <w:pPr>
        <w:pStyle w:val="Heading1"/>
      </w:pPr>
      <w:r>
        <w:t>目录</w:t>
      </w:r>
    </w:p>
    <w:p>
      <w:pPr>
        <w:widowControl/>
      </w:pPr>
      <w:r>
        <w:t>1 项目概述</w:t>
      </w:r>
    </w:p>
    <w:p>
      <w:pPr>
        <w:widowControl/>
      </w:pPr>
      <w:r>
        <w:t>2 总体设计</w:t>
      </w:r>
    </w:p>
    <w:p>
      <w:pPr>
        <w:widowControl/>
      </w:pPr>
      <w:r>
        <w:t>3 运输订单与交能协同调度</w:t>
      </w:r>
    </w:p>
    <w:p>
      <w:pPr>
        <w:widowControl/>
      </w:pPr>
      <w:r>
        <w:t>4 运输组织与执行管理</w:t>
      </w:r>
    </w:p>
    <w:p>
      <w:pPr>
        <w:widowControl/>
      </w:pPr>
      <w:r>
        <w:t>5 充换电运营管理</w:t>
      </w:r>
    </w:p>
    <w:p>
      <w:pPr>
        <w:widowControl/>
      </w:pPr>
      <w:r>
        <w:t>6 交通能源协同管理</w:t>
      </w:r>
    </w:p>
    <w:p>
      <w:pPr>
        <w:widowControl/>
      </w:pPr>
      <w:r>
        <w:t>7 场站智能布局与资源规划</w:t>
      </w:r>
    </w:p>
    <w:p>
      <w:pPr>
        <w:widowControl/>
      </w:pPr>
      <w:r>
        <w:t>8 运行监测与安全保障</w:t>
      </w:r>
    </w:p>
    <w:p>
      <w:pPr>
        <w:widowControl/>
      </w:pPr>
      <w:r>
        <w:t>9 成本管控与综合运营管理</w:t>
      </w:r>
    </w:p>
    <w:p>
      <w:pPr>
        <w:widowControl/>
      </w:pPr>
      <w:r>
        <w:t>10 AI智能体辅助服务</w:t>
      </w:r>
    </w:p>
    <w:p>
      <w:pPr>
        <w:widowControl/>
      </w:pPr>
      <w:r>
        <w:t>11 基础数据与系统管理</w:t>
      </w:r>
    </w:p>
    <w:p>
      <w:pPr>
        <w:widowControl/>
      </w:pPr>
      <w:r>
        <w:t>12 非功能需求</w:t>
      </w:r>
    </w:p>
    <w:p>
      <w:pPr>
        <w:widowControl/>
      </w:pPr>
      <w:r>
        <w:t>13 需求边界与待确认事项</w:t>
      </w:r>
    </w:p>
    <w:p>
      <w:pPr>
        <w:widowControl/>
      </w:pPr>
      <w:r>
        <w:t>附录A 需求与实施方案对应关系</w:t>
      </w:r>
    </w:p>
    <w:p>
      <w:r>
        <w:br w:type="page"/>
      </w:r>
    </w:p>
    <w:p>
      <w:pPr>
        <w:pStyle w:val="Heading1"/>
      </w:pPr>
      <w:r>
        <w:t>1 项目概述</w:t>
      </w:r>
    </w:p>
    <w:p>
      <w:pPr>
        <w:pStyle w:val="Heading2"/>
      </w:pPr>
      <w:r>
        <w:t>1.1 编写目的</w:t>
      </w:r>
    </w:p>
    <w:p>
      <w:pPr>
        <w:widowControl/>
      </w:pPr>
      <w:r>
        <w:t>本文档用于明确庆阳市交能融合智能体平台的软件业务需求，作为需求评审、实施范围确认、后续详细设计、软件开发、测试及验收工作的基础。围绕交通运输与能源协同运营，明确平台建设目标、使用角色、数据接入类别、功能模块以及各功能的应用场景和预期目标。</w:t>
      </w:r>
    </w:p>
    <w:p>
      <w:pPr>
        <w:pStyle w:val="Heading2"/>
      </w:pPr>
      <w:r>
        <w:t>1.2 项目背景</w:t>
      </w:r>
    </w:p>
    <w:p>
      <w:pPr>
        <w:widowControl/>
      </w:pPr>
      <w:r>
        <w:t>庆阳市交能融合产业项目以交通运输与能源融合发展为主线，提出通过轻资产智能体平台先行归集车辆、场站、电网和运力订单数据，在核心煤炭矿区短倒等场景率先开展运营，以真实流量、负荷和订单数据指导后续车辆替代、充换电站、电池及绿电资源的分阶段投放。</w:t>
      </w:r>
    </w:p>
    <w:p>
      <w:pPr>
        <w:widowControl/>
      </w:pPr>
      <w:r>
        <w:t>实施方案指出，平台应覆盖绿电生产、电动重卡运营、充换电保障、电池循环利用和数智化管控等产业环节，承担交通能源数据归集、联合调度、站点规划、运营优化、成本测算与综合运营管理职责。产业链中的车辆购置、电站工程建设、电池生产回收、投融资及项目公司治理事项属于关联业务背景，不当然转化为平台软件功能。</w:t>
      </w:r>
    </w:p>
    <w:p>
      <w:pPr>
        <w:pStyle w:val="Heading2"/>
      </w:pPr>
      <w:r>
        <w:t>1.3 建设目标</w:t>
      </w:r>
    </w:p>
    <w:p>
      <w:pPr>
        <w:widowControl/>
      </w:pPr>
      <w:r>
        <w:t>平台总体建设目标为：形成以订单与运输任务为纽带、以车辆和场站运行数据为基础、以能源供需约束为条件的交通能源智能协同运营体系。具体需求目标包括：</w:t>
      </w:r>
    </w:p>
    <w:p>
      <w:pPr>
        <w:widowControl/>
      </w:pPr>
      <w:r>
        <w:t>（1）汇聚运输订单、车辆与司机、交通路网、充换电设备、场站负荷及能源资源等数据，建立统一业务基础。</w:t>
      </w:r>
    </w:p>
    <w:p>
      <w:pPr>
        <w:widowControl/>
      </w:pPr>
      <w:r>
        <w:t>（2）支持交通侧与能源侧资源匹配，形成从订单登记、方案推演、任务派发到实际执行的运输运营闭环。</w:t>
      </w:r>
    </w:p>
    <w:p>
      <w:pPr>
        <w:widowControl/>
      </w:pPr>
      <w:r>
        <w:t>（3）对车辆到站时间、补能需求、场站服务能力和用能负荷开展预测及时序优化，降低等待和任务中断风险。</w:t>
      </w:r>
    </w:p>
    <w:p>
      <w:pPr>
        <w:widowControl/>
      </w:pPr>
      <w:r>
        <w:t>（4）利用真实运输需求、场站运行和能源数据辅助开展场站选址、容量配置以及车辆和电池投放测算。</w:t>
      </w:r>
    </w:p>
    <w:p>
      <w:pPr>
        <w:widowControl/>
      </w:pPr>
      <w:r>
        <w:t>（5）对车辆、任务、站点和能源设施运行状态进行统一监测，支持异常识别、预警处置和运营追溯。</w:t>
      </w:r>
    </w:p>
    <w:p>
      <w:pPr>
        <w:widowControl/>
      </w:pPr>
      <w:r>
        <w:t>（6）围绕运输、补能、车辆、租赁及维保形成成本分析，并为运营管理和决策提供智能辅助服务。</w:t>
      </w:r>
    </w:p>
    <w:p>
      <w:pPr>
        <w:pStyle w:val="Heading2"/>
      </w:pPr>
      <w:r>
        <w:t>1.4 建设范围</w:t>
      </w:r>
    </w:p>
    <w:p>
      <w:pPr>
        <w:widowControl/>
      </w:pPr>
      <w:r>
        <w:t>（1）业务范围：面向新能源重卡运输及交通能源协同场景，规划运输订单与交能调度、运输执行、充换电运营、能源协同、场站资源规划、运行安全、成本运营、AI辅助和基础管理等业务能力。</w:t>
      </w:r>
    </w:p>
    <w:p>
      <w:pPr>
        <w:widowControl/>
      </w:pPr>
      <w:r>
        <w:t>（2）场景范围：先导期优先面向庆阳市核心煤炭矿区短倒及其关联运输线路与试点场站，后续支持根据真实运营范围扩展。</w:t>
      </w:r>
    </w:p>
    <w:p>
      <w:pPr>
        <w:widowControl/>
      </w:pPr>
      <w:r>
        <w:t>（3）角色范围：本版沿用当前拟定的“平台管理员、司机”两类操作角色；相关运输企业、场站、能源方作为业务主体或外部数据提供方管理，是否开通独立操作端需评审确认。</w:t>
      </w:r>
    </w:p>
    <w:p>
      <w:pPr>
        <w:widowControl/>
      </w:pPr>
      <w:r>
        <w:t>（4）数据范围：包括运力订单、车辆与司机、定位轨迹、SOC/能耗、场站设备、充换电记录、电网负荷、储能与绿电、价格规则以及运营成本数据。对尚未接入的实时数据不得用无标识模拟数据替代。</w:t>
      </w:r>
    </w:p>
    <w:p>
      <w:pPr>
        <w:widowControl/>
      </w:pPr>
      <w:r>
        <w:t>（5）阶段范围：先导期以平台本地化适配、首批车辆和场站数据接入、基础运营为重点；超出当前能力的高精度模型、能源设备自动控制和大规模资源优化应依据数据接入条件及后续阶段审批确定。</w:t>
      </w:r>
    </w:p>
    <w:p>
      <w:pPr>
        <w:pStyle w:val="Heading2"/>
      </w:pPr>
      <w:r>
        <w:t>1.5 名词术语</w:t>
      </w:r>
    </w:p>
    <w:tbl>
      <w:tblPr>
        <w:tblStyle w:val="TableGrid"/>
        <w:tblW w:type="auto" w:w="0"/>
        <w:jc w:val="center"/>
        <w:tblLayout w:type="fixed"/>
        <w:tblLook w:firstColumn="1" w:firstRow="1" w:lastColumn="0" w:lastRow="0" w:noHBand="0" w:noVBand="1" w:val="04A0"/>
      </w:tblPr>
      <w:tblGrid>
        <w:gridCol w:w="737"/>
        <w:gridCol w:w="2154"/>
        <w:gridCol w:w="6236"/>
      </w:tblGrid>
      <w:tr>
        <w:trPr>
          <w:cantSplit/>
          <w:tblHeader w:val="true"/>
        </w:trPr>
        <w:tc>
          <w:tcPr>
            <w:tcW w:type="dxa" w:w="2986"/>
            <w:vAlign w:val="center"/>
            <w:shd w:fill="2A455F"/>
          </w:tcPr>
          <w:p>
            <w:pPr>
              <w:spacing w:line="293" w:lineRule="auto" w:after="20"/>
            </w:pPr>
            <w:r>
              <w:rPr>
                <w:b/>
                <w:color w:val="FFFFFF"/>
                <w:sz w:val="17"/>
              </w:rPr>
              <w:t>序号</w:t>
            </w:r>
          </w:p>
        </w:tc>
        <w:tc>
          <w:tcPr>
            <w:tcW w:type="dxa" w:w="2986"/>
            <w:vAlign w:val="center"/>
            <w:shd w:fill="2A455F"/>
          </w:tcPr>
          <w:p>
            <w:pPr>
              <w:spacing w:line="293" w:lineRule="auto" w:after="20"/>
            </w:pPr>
            <w:r>
              <w:rPr>
                <w:b/>
                <w:color w:val="FFFFFF"/>
                <w:sz w:val="17"/>
              </w:rPr>
              <w:t>名词术语</w:t>
            </w:r>
          </w:p>
        </w:tc>
        <w:tc>
          <w:tcPr>
            <w:tcW w:type="dxa" w:w="2986"/>
            <w:vAlign w:val="center"/>
            <w:shd w:fill="2A455F"/>
          </w:tcPr>
          <w:p>
            <w:pPr>
              <w:spacing w:line="293" w:lineRule="auto" w:after="20"/>
            </w:pPr>
            <w:r>
              <w:rPr>
                <w:b/>
                <w:color w:val="FFFFFF"/>
                <w:sz w:val="17"/>
              </w:rPr>
              <w:t>定义</w:t>
            </w:r>
          </w:p>
        </w:tc>
      </w:tr>
      <w:tr>
        <w:trPr>
          <w:cantSplit/>
        </w:trPr>
        <w:tc>
          <w:tcPr>
            <w:tcW w:type="dxa" w:w="737"/>
            <w:vAlign w:val="center"/>
          </w:tcPr>
          <w:p>
            <w:pPr>
              <w:spacing w:line="293" w:lineRule="auto" w:after="20"/>
            </w:pPr>
            <w:r>
              <w:rPr>
                <w:sz w:val="17"/>
              </w:rPr>
              <w:t>1</w:t>
            </w:r>
          </w:p>
        </w:tc>
        <w:tc>
          <w:tcPr>
            <w:tcW w:type="dxa" w:w="2154"/>
            <w:vAlign w:val="center"/>
          </w:tcPr>
          <w:p>
            <w:pPr>
              <w:spacing w:line="293" w:lineRule="auto" w:after="20"/>
            </w:pPr>
            <w:r>
              <w:rPr>
                <w:sz w:val="17"/>
              </w:rPr>
              <w:t>交能融合</w:t>
            </w:r>
          </w:p>
        </w:tc>
        <w:tc>
          <w:tcPr>
            <w:tcW w:type="dxa" w:w="6236"/>
            <w:vAlign w:val="center"/>
          </w:tcPr>
          <w:p>
            <w:pPr>
              <w:spacing w:line="293" w:lineRule="auto" w:after="20"/>
            </w:pPr>
            <w:r>
              <w:rPr>
                <w:sz w:val="17"/>
              </w:rPr>
              <w:t>交通运输需求、车辆运行与能源供给、补能服务等业务数据和调度决策的协同。</w:t>
            </w:r>
          </w:p>
        </w:tc>
      </w:tr>
      <w:tr>
        <w:trPr>
          <w:cantSplit/>
        </w:trPr>
        <w:tc>
          <w:tcPr>
            <w:tcW w:type="dxa" w:w="737"/>
            <w:vAlign w:val="center"/>
          </w:tcPr>
          <w:p>
            <w:pPr>
              <w:spacing w:line="293" w:lineRule="auto" w:after="20"/>
            </w:pPr>
            <w:r>
              <w:rPr>
                <w:sz w:val="17"/>
              </w:rPr>
              <w:t>2</w:t>
            </w:r>
          </w:p>
        </w:tc>
        <w:tc>
          <w:tcPr>
            <w:tcW w:type="dxa" w:w="2154"/>
            <w:vAlign w:val="center"/>
          </w:tcPr>
          <w:p>
            <w:pPr>
              <w:spacing w:line="293" w:lineRule="auto" w:after="20"/>
            </w:pPr>
            <w:r>
              <w:rPr>
                <w:sz w:val="17"/>
              </w:rPr>
              <w:t>交能推演</w:t>
            </w:r>
          </w:p>
        </w:tc>
        <w:tc>
          <w:tcPr>
            <w:tcW w:type="dxa" w:w="6236"/>
            <w:vAlign w:val="center"/>
          </w:tcPr>
          <w:p>
            <w:pPr>
              <w:spacing w:line="293" w:lineRule="auto" w:after="20"/>
            </w:pPr>
            <w:r>
              <w:rPr>
                <w:sz w:val="17"/>
              </w:rPr>
              <w:t>同时考虑运输运力、时序、路线和补能供能条件的候选执行方案测算。</w:t>
            </w:r>
          </w:p>
        </w:tc>
      </w:tr>
      <w:tr>
        <w:trPr>
          <w:cantSplit/>
        </w:trPr>
        <w:tc>
          <w:tcPr>
            <w:tcW w:type="dxa" w:w="737"/>
            <w:vAlign w:val="center"/>
          </w:tcPr>
          <w:p>
            <w:pPr>
              <w:spacing w:line="293" w:lineRule="auto" w:after="20"/>
            </w:pPr>
            <w:r>
              <w:rPr>
                <w:sz w:val="17"/>
              </w:rPr>
              <w:t>3</w:t>
            </w:r>
          </w:p>
        </w:tc>
        <w:tc>
          <w:tcPr>
            <w:tcW w:type="dxa" w:w="2154"/>
            <w:vAlign w:val="center"/>
          </w:tcPr>
          <w:p>
            <w:pPr>
              <w:spacing w:line="293" w:lineRule="auto" w:after="20"/>
            </w:pPr>
            <w:r>
              <w:rPr>
                <w:sz w:val="17"/>
              </w:rPr>
              <w:t>新能源重卡</w:t>
            </w:r>
          </w:p>
        </w:tc>
        <w:tc>
          <w:tcPr>
            <w:tcW w:type="dxa" w:w="6236"/>
            <w:vAlign w:val="center"/>
          </w:tcPr>
          <w:p>
            <w:pPr>
              <w:spacing w:line="293" w:lineRule="auto" w:after="20"/>
            </w:pPr>
            <w:r>
              <w:rPr>
                <w:sz w:val="17"/>
              </w:rPr>
              <w:t>本项目重点服务的以动力电池作为主要能源的重型运输车辆。</w:t>
            </w:r>
          </w:p>
        </w:tc>
      </w:tr>
      <w:tr>
        <w:trPr>
          <w:cantSplit/>
        </w:trPr>
        <w:tc>
          <w:tcPr>
            <w:tcW w:type="dxa" w:w="737"/>
            <w:vAlign w:val="center"/>
          </w:tcPr>
          <w:p>
            <w:pPr>
              <w:spacing w:line="293" w:lineRule="auto" w:after="20"/>
            </w:pPr>
            <w:r>
              <w:rPr>
                <w:sz w:val="17"/>
              </w:rPr>
              <w:t>4</w:t>
            </w:r>
          </w:p>
        </w:tc>
        <w:tc>
          <w:tcPr>
            <w:tcW w:type="dxa" w:w="2154"/>
            <w:vAlign w:val="center"/>
          </w:tcPr>
          <w:p>
            <w:pPr>
              <w:spacing w:line="293" w:lineRule="auto" w:after="20"/>
            </w:pPr>
            <w:r>
              <w:rPr>
                <w:sz w:val="17"/>
              </w:rPr>
              <w:t>SOC</w:t>
            </w:r>
          </w:p>
        </w:tc>
        <w:tc>
          <w:tcPr>
            <w:tcW w:type="dxa" w:w="6236"/>
            <w:vAlign w:val="center"/>
          </w:tcPr>
          <w:p>
            <w:pPr>
              <w:spacing w:line="293" w:lineRule="auto" w:after="20"/>
            </w:pPr>
            <w:r>
              <w:rPr>
                <w:sz w:val="17"/>
              </w:rPr>
              <w:t>电池荷电状态，通常以百分比表示剩余可用电量情况。</w:t>
            </w:r>
          </w:p>
        </w:tc>
      </w:tr>
      <w:tr>
        <w:trPr>
          <w:cantSplit/>
        </w:trPr>
        <w:tc>
          <w:tcPr>
            <w:tcW w:type="dxa" w:w="737"/>
            <w:vAlign w:val="center"/>
          </w:tcPr>
          <w:p>
            <w:pPr>
              <w:spacing w:line="293" w:lineRule="auto" w:after="20"/>
            </w:pPr>
            <w:r>
              <w:rPr>
                <w:sz w:val="17"/>
              </w:rPr>
              <w:t>5</w:t>
            </w:r>
          </w:p>
        </w:tc>
        <w:tc>
          <w:tcPr>
            <w:tcW w:type="dxa" w:w="2154"/>
            <w:vAlign w:val="center"/>
          </w:tcPr>
          <w:p>
            <w:pPr>
              <w:spacing w:line="293" w:lineRule="auto" w:after="20"/>
            </w:pPr>
            <w:r>
              <w:rPr>
                <w:sz w:val="17"/>
              </w:rPr>
              <w:t>充换电母站/子站</w:t>
            </w:r>
          </w:p>
        </w:tc>
        <w:tc>
          <w:tcPr>
            <w:tcW w:type="dxa" w:w="6236"/>
            <w:vAlign w:val="center"/>
          </w:tcPr>
          <w:p>
            <w:pPr>
              <w:spacing w:line="293" w:lineRule="auto" w:after="20"/>
            </w:pPr>
            <w:r>
              <w:rPr>
                <w:sz w:val="17"/>
              </w:rPr>
              <w:t>实施方案定义的充换电基础设施建设类别，具体设施和业务划分以场站资料为准。</w:t>
            </w:r>
          </w:p>
        </w:tc>
      </w:tr>
      <w:tr>
        <w:trPr>
          <w:cantSplit/>
        </w:trPr>
        <w:tc>
          <w:tcPr>
            <w:tcW w:type="dxa" w:w="737"/>
            <w:vAlign w:val="center"/>
          </w:tcPr>
          <w:p>
            <w:pPr>
              <w:spacing w:line="293" w:lineRule="auto" w:after="20"/>
            </w:pPr>
            <w:r>
              <w:rPr>
                <w:sz w:val="17"/>
              </w:rPr>
              <w:t>6</w:t>
            </w:r>
          </w:p>
        </w:tc>
        <w:tc>
          <w:tcPr>
            <w:tcW w:type="dxa" w:w="2154"/>
            <w:vAlign w:val="center"/>
          </w:tcPr>
          <w:p>
            <w:pPr>
              <w:spacing w:line="293" w:lineRule="auto" w:after="20"/>
            </w:pPr>
            <w:r>
              <w:rPr>
                <w:sz w:val="17"/>
              </w:rPr>
              <w:t>补能需求预测</w:t>
            </w:r>
          </w:p>
        </w:tc>
        <w:tc>
          <w:tcPr>
            <w:tcW w:type="dxa" w:w="6236"/>
            <w:vAlign w:val="center"/>
          </w:tcPr>
          <w:p>
            <w:pPr>
              <w:spacing w:line="293" w:lineRule="auto" w:after="20"/>
            </w:pPr>
            <w:r>
              <w:rPr>
                <w:sz w:val="17"/>
              </w:rPr>
              <w:t>对未来一定时段车辆到站、预计补能量和场站服务需求的估算。</w:t>
            </w:r>
          </w:p>
        </w:tc>
      </w:tr>
      <w:tr>
        <w:trPr>
          <w:cantSplit/>
        </w:trPr>
        <w:tc>
          <w:tcPr>
            <w:tcW w:type="dxa" w:w="737"/>
            <w:vAlign w:val="center"/>
          </w:tcPr>
          <w:p>
            <w:pPr>
              <w:spacing w:line="293" w:lineRule="auto" w:after="20"/>
            </w:pPr>
            <w:r>
              <w:rPr>
                <w:sz w:val="17"/>
              </w:rPr>
              <w:t>7</w:t>
            </w:r>
          </w:p>
        </w:tc>
        <w:tc>
          <w:tcPr>
            <w:tcW w:type="dxa" w:w="2154"/>
            <w:vAlign w:val="center"/>
          </w:tcPr>
          <w:p>
            <w:pPr>
              <w:spacing w:line="293" w:lineRule="auto" w:after="20"/>
            </w:pPr>
            <w:r>
              <w:rPr>
                <w:sz w:val="17"/>
              </w:rPr>
              <w:t>SPV</w:t>
            </w:r>
          </w:p>
        </w:tc>
        <w:tc>
          <w:tcPr>
            <w:tcW w:type="dxa" w:w="6236"/>
            <w:vAlign w:val="center"/>
          </w:tcPr>
          <w:p>
            <w:pPr>
              <w:spacing w:line="293" w:lineRule="auto" w:after="20"/>
            </w:pPr>
            <w:r>
              <w:rPr>
                <w:sz w:val="17"/>
              </w:rPr>
              <w:t>承担项目投融建管运职责的特殊目的项目公司，不等同于平台软件角色。</w:t>
            </w:r>
          </w:p>
        </w:tc>
      </w:tr>
      <w:tr>
        <w:trPr>
          <w:cantSplit/>
        </w:trPr>
        <w:tc>
          <w:tcPr>
            <w:tcW w:type="dxa" w:w="737"/>
            <w:vAlign w:val="center"/>
          </w:tcPr>
          <w:p>
            <w:pPr>
              <w:spacing w:line="293" w:lineRule="auto" w:after="20"/>
            </w:pPr>
            <w:r>
              <w:rPr>
                <w:sz w:val="17"/>
              </w:rPr>
              <w:t>8</w:t>
            </w:r>
          </w:p>
        </w:tc>
        <w:tc>
          <w:tcPr>
            <w:tcW w:type="dxa" w:w="2154"/>
            <w:vAlign w:val="center"/>
          </w:tcPr>
          <w:p>
            <w:pPr>
              <w:spacing w:line="293" w:lineRule="auto" w:after="20"/>
            </w:pPr>
            <w:r>
              <w:rPr>
                <w:sz w:val="17"/>
              </w:rPr>
              <w:t>电池银行</w:t>
            </w:r>
          </w:p>
        </w:tc>
        <w:tc>
          <w:tcPr>
            <w:tcW w:type="dxa" w:w="6236"/>
            <w:vAlign w:val="center"/>
          </w:tcPr>
          <w:p>
            <w:pPr>
              <w:spacing w:line="293" w:lineRule="auto" w:after="20"/>
            </w:pPr>
            <w:r>
              <w:rPr>
                <w:sz w:val="17"/>
              </w:rPr>
              <w:t>通过独立持有或运营电池资产支撑车电分离的业务组织机制。</w:t>
            </w:r>
          </w:p>
        </w:tc>
      </w:tr>
      <w:tr>
        <w:trPr>
          <w:cantSplit/>
        </w:trPr>
        <w:tc>
          <w:tcPr>
            <w:tcW w:type="dxa" w:w="737"/>
            <w:vAlign w:val="center"/>
          </w:tcPr>
          <w:p>
            <w:pPr>
              <w:spacing w:line="293" w:lineRule="auto" w:after="20"/>
            </w:pPr>
            <w:r>
              <w:rPr>
                <w:sz w:val="17"/>
              </w:rPr>
              <w:t>9</w:t>
            </w:r>
          </w:p>
        </w:tc>
        <w:tc>
          <w:tcPr>
            <w:tcW w:type="dxa" w:w="2154"/>
            <w:vAlign w:val="center"/>
          </w:tcPr>
          <w:p>
            <w:pPr>
              <w:spacing w:line="293" w:lineRule="auto" w:after="20"/>
            </w:pPr>
            <w:r>
              <w:rPr>
                <w:sz w:val="17"/>
              </w:rPr>
              <w:t>先导期</w:t>
            </w:r>
          </w:p>
        </w:tc>
        <w:tc>
          <w:tcPr>
            <w:tcW w:type="dxa" w:w="6236"/>
            <w:vAlign w:val="center"/>
          </w:tcPr>
          <w:p>
            <w:pPr>
              <w:spacing w:line="293" w:lineRule="auto" w:after="20"/>
            </w:pPr>
            <w:r>
              <w:rPr>
                <w:sz w:val="17"/>
              </w:rPr>
              <w:t>实施方案提出的平台本地化适配和首批车辆、场站、电网数据接入阶段。</w:t>
            </w:r>
          </w:p>
        </w:tc>
      </w:tr>
      <w:tr>
        <w:trPr>
          <w:cantSplit/>
        </w:trPr>
        <w:tc>
          <w:tcPr>
            <w:tcW w:type="dxa" w:w="737"/>
            <w:vAlign w:val="center"/>
          </w:tcPr>
          <w:p>
            <w:pPr>
              <w:spacing w:line="293" w:lineRule="auto" w:after="20"/>
            </w:pPr>
            <w:r>
              <w:rPr>
                <w:sz w:val="17"/>
              </w:rPr>
              <w:t>10</w:t>
            </w:r>
          </w:p>
        </w:tc>
        <w:tc>
          <w:tcPr>
            <w:tcW w:type="dxa" w:w="2154"/>
            <w:vAlign w:val="center"/>
          </w:tcPr>
          <w:p>
            <w:pPr>
              <w:spacing w:line="293" w:lineRule="auto" w:after="20"/>
            </w:pPr>
            <w:r>
              <w:rPr>
                <w:sz w:val="17"/>
              </w:rPr>
              <w:t>实际数据/预测数据/演示数据</w:t>
            </w:r>
          </w:p>
        </w:tc>
        <w:tc>
          <w:tcPr>
            <w:tcW w:type="dxa" w:w="6236"/>
            <w:vAlign w:val="center"/>
          </w:tcPr>
          <w:p>
            <w:pPr>
              <w:spacing w:line="293" w:lineRule="auto" w:after="20"/>
            </w:pPr>
            <w:r>
              <w:rPr>
                <w:sz w:val="17"/>
              </w:rPr>
              <w:t>分别指业务或设备产生的数据、模型计算结果和用于说明功能的模拟样例，平台应明确区分。</w:t>
            </w:r>
          </w:p>
        </w:tc>
      </w:tr>
    </w:tbl>
    <w:p>
      <w:pPr>
        <w:spacing w:after="0"/>
      </w:pPr>
    </w:p>
    <w:p>
      <w:pPr>
        <w:pStyle w:val="Heading1"/>
      </w:pPr>
      <w:r>
        <w:t>2 总体设计</w:t>
      </w:r>
    </w:p>
    <w:p>
      <w:pPr>
        <w:pStyle w:val="Heading2"/>
      </w:pPr>
      <w:r>
        <w:t>2.1 总体业务体系</w:t>
      </w:r>
    </w:p>
    <w:p>
      <w:pPr>
        <w:widowControl/>
      </w:pPr>
      <w:r>
        <w:t>平台围绕“运输需求—交能推演—任务派单—运输执行—充换电保障—能源协同—运营分析—资源规划”构建业务链条。运输订单与任务为交通侧业务主线，车辆、站点和能源数据为业务约束，AI智能体作为查询、解读和辅助决策工具，综合管理能力负责记录、监测与处置。</w:t>
      </w:r>
    </w:p>
    <w:p>
      <w:pPr>
        <w:widowControl/>
      </w:pPr>
      <w:r>
        <w:t>平台的主要业务能力分为九个业务模块：运输订单与交能协同调度、运输组织与执行管理、充换电运营管理、交通能源协同管理、场站智能布局与资源规划、运行监测与安全保障、成本管控与综合运营管理、AI智能体辅助服务、基础数据与系统管理。各模块共享业务对象标识和执行记录，确保计划结果可以回传形成数据闭环。</w:t>
      </w:r>
    </w:p>
    <w:p>
      <w:pPr>
        <w:pStyle w:val="Heading2"/>
      </w:pPr>
      <w:r>
        <w:t>2.2 业务角色</w:t>
      </w:r>
    </w:p>
    <w:tbl>
      <w:tblPr>
        <w:tblStyle w:val="TableGrid"/>
        <w:tblW w:type="auto" w:w="0"/>
        <w:jc w:val="center"/>
        <w:tblLayout w:type="fixed"/>
        <w:tblLook w:firstColumn="1" w:firstRow="1" w:lastColumn="0" w:lastRow="0" w:noHBand="0" w:noVBand="1" w:val="04A0"/>
      </w:tblPr>
      <w:tblGrid>
        <w:gridCol w:w="1587"/>
        <w:gridCol w:w="2154"/>
        <w:gridCol w:w="5386"/>
      </w:tblGrid>
      <w:tr>
        <w:trPr>
          <w:cantSplit/>
          <w:tblHeader w:val="true"/>
        </w:trPr>
        <w:tc>
          <w:tcPr>
            <w:tcW w:type="dxa" w:w="2986"/>
            <w:vAlign w:val="center"/>
            <w:shd w:fill="2A455F"/>
          </w:tcPr>
          <w:p>
            <w:pPr>
              <w:spacing w:line="293" w:lineRule="auto" w:after="20"/>
            </w:pPr>
            <w:r>
              <w:rPr>
                <w:b/>
                <w:color w:val="FFFFFF"/>
                <w:sz w:val="17"/>
              </w:rPr>
              <w:t>角色</w:t>
            </w:r>
          </w:p>
        </w:tc>
        <w:tc>
          <w:tcPr>
            <w:tcW w:type="dxa" w:w="2986"/>
            <w:vAlign w:val="center"/>
            <w:shd w:fill="2A455F"/>
          </w:tcPr>
          <w:p>
            <w:pPr>
              <w:spacing w:line="293" w:lineRule="auto" w:after="20"/>
            </w:pPr>
            <w:r>
              <w:rPr>
                <w:b/>
                <w:color w:val="FFFFFF"/>
                <w:sz w:val="17"/>
              </w:rPr>
              <w:t>使用主体</w:t>
            </w:r>
          </w:p>
        </w:tc>
        <w:tc>
          <w:tcPr>
            <w:tcW w:type="dxa" w:w="2986"/>
            <w:vAlign w:val="center"/>
            <w:shd w:fill="2A455F"/>
          </w:tcPr>
          <w:p>
            <w:pPr>
              <w:spacing w:line="293" w:lineRule="auto" w:after="20"/>
            </w:pPr>
            <w:r>
              <w:rPr>
                <w:b/>
                <w:color w:val="FFFFFF"/>
                <w:sz w:val="17"/>
              </w:rPr>
              <w:t>主要职责</w:t>
            </w:r>
          </w:p>
        </w:tc>
      </w:tr>
      <w:tr>
        <w:trPr>
          <w:cantSplit/>
        </w:trPr>
        <w:tc>
          <w:tcPr>
            <w:tcW w:type="dxa" w:w="1587"/>
            <w:vAlign w:val="center"/>
          </w:tcPr>
          <w:p>
            <w:pPr>
              <w:spacing w:line="293" w:lineRule="auto" w:after="20"/>
            </w:pPr>
            <w:r>
              <w:rPr>
                <w:sz w:val="17"/>
              </w:rPr>
              <w:t>平台管理员</w:t>
            </w:r>
          </w:p>
        </w:tc>
        <w:tc>
          <w:tcPr>
            <w:tcW w:type="dxa" w:w="2154"/>
            <w:vAlign w:val="center"/>
          </w:tcPr>
          <w:p>
            <w:pPr>
              <w:spacing w:line="293" w:lineRule="auto" w:after="20"/>
            </w:pPr>
            <w:r>
              <w:rPr>
                <w:sz w:val="17"/>
              </w:rPr>
              <w:t>平台运营及业务管理人员</w:t>
            </w:r>
          </w:p>
        </w:tc>
        <w:tc>
          <w:tcPr>
            <w:tcW w:type="dxa" w:w="5386"/>
            <w:vAlign w:val="center"/>
          </w:tcPr>
          <w:p>
            <w:pPr>
              <w:spacing w:line="293" w:lineRule="auto" w:after="20"/>
            </w:pPr>
            <w:r>
              <w:rPr>
                <w:sz w:val="17"/>
              </w:rPr>
              <w:t>运输需求和订单管理、交能推演、任务派发、车辆和场站维护、能源协同、异常处置、运营分析及系统配置。</w:t>
            </w:r>
          </w:p>
        </w:tc>
      </w:tr>
      <w:tr>
        <w:trPr>
          <w:cantSplit/>
        </w:trPr>
        <w:tc>
          <w:tcPr>
            <w:tcW w:type="dxa" w:w="1587"/>
            <w:vAlign w:val="center"/>
          </w:tcPr>
          <w:p>
            <w:pPr>
              <w:spacing w:line="293" w:lineRule="auto" w:after="20"/>
            </w:pPr>
            <w:r>
              <w:rPr>
                <w:sz w:val="17"/>
              </w:rPr>
              <w:t>司机</w:t>
            </w:r>
          </w:p>
        </w:tc>
        <w:tc>
          <w:tcPr>
            <w:tcW w:type="dxa" w:w="2154"/>
            <w:vAlign w:val="center"/>
          </w:tcPr>
          <w:p>
            <w:pPr>
              <w:spacing w:line="293" w:lineRule="auto" w:after="20"/>
            </w:pPr>
            <w:r>
              <w:rPr>
                <w:sz w:val="17"/>
              </w:rPr>
              <w:t>被指派任务的新能源重卡驾驶人员</w:t>
            </w:r>
          </w:p>
        </w:tc>
        <w:tc>
          <w:tcPr>
            <w:tcW w:type="dxa" w:w="5386"/>
            <w:vAlign w:val="center"/>
          </w:tcPr>
          <w:p>
            <w:pPr>
              <w:spacing w:line="293" w:lineRule="auto" w:after="20"/>
            </w:pPr>
            <w:r>
              <w:rPr>
                <w:sz w:val="17"/>
              </w:rPr>
              <w:t>接收任务、确认执行、查看任务与补能安排、更新执行节点、反馈异常和完工信息。</w:t>
            </w:r>
          </w:p>
        </w:tc>
      </w:tr>
    </w:tbl>
    <w:p>
      <w:pPr>
        <w:spacing w:after="0"/>
      </w:pPr>
    </w:p>
    <w:p>
      <w:pPr>
        <w:widowControl/>
      </w:pPr>
      <w:r>
        <w:t>说明：实施方案本身未规定软件账号角色及权限结构。上述角色沿用当前项目设计约束，正式实施时应由建设方确认；场站运营人员、运输企业管理人员等如需独立操作端，应另行补充需求。</w:t>
      </w:r>
    </w:p>
    <w:p>
      <w:pPr>
        <w:pStyle w:val="Heading2"/>
      </w:pPr>
      <w:r>
        <w:t>2.3 主要业务流程</w:t>
      </w:r>
    </w:p>
    <w:p>
      <w:pPr>
        <w:widowControl/>
      </w:pPr>
      <w:r>
        <w:t>（1）运输与补能协同流程运输需求登记 → 订单形成 → 数据核验 → 交能推演 → 方案比选与确认 → 生成运输与补能计划 → 派发任务 → 司机接收与执行 → 实际运输及补能数据回传 → 完工与分析。</w:t>
      </w:r>
    </w:p>
    <w:p>
      <w:pPr>
        <w:widowControl/>
      </w:pPr>
      <w:r>
        <w:t>（2）运行异常处置流程运输或场站数据接入 → 规则/模型识别风险 → 生成预警 → 管理员核实与处置 → 调整任务、补能或资源安排 → 处置结果确认与归档。</w:t>
      </w:r>
    </w:p>
    <w:p>
      <w:pPr>
        <w:widowControl/>
      </w:pPr>
      <w:r>
        <w:t>（3）场站规划流程归集真实运输及补能记录 → 分析交通流量与时段需求 → 评估候选位置与电网约束 → 站点容量及资源配置测算 → 多方案比选 → 形成人工审查的规划建议。</w:t>
      </w:r>
    </w:p>
    <w:p>
      <w:pPr>
        <w:pStyle w:val="Heading2"/>
      </w:pPr>
      <w:r>
        <w:t>2.4 数据接入需求</w:t>
      </w:r>
    </w:p>
    <w:tbl>
      <w:tblPr>
        <w:tblStyle w:val="TableGrid"/>
        <w:tblW w:type="auto" w:w="0"/>
        <w:jc w:val="center"/>
        <w:tblLayout w:type="fixed"/>
        <w:tblLook w:firstColumn="1" w:firstRow="1" w:lastColumn="0" w:lastRow="0" w:noHBand="0" w:noVBand="1" w:val="04A0"/>
      </w:tblPr>
      <w:tblGrid>
        <w:gridCol w:w="1417"/>
        <w:gridCol w:w="4252"/>
        <w:gridCol w:w="3458"/>
      </w:tblGrid>
      <w:tr>
        <w:trPr>
          <w:cantSplit/>
          <w:tblHeader w:val="true"/>
        </w:trPr>
        <w:tc>
          <w:tcPr>
            <w:tcW w:type="dxa" w:w="2986"/>
            <w:vAlign w:val="center"/>
            <w:shd w:fill="2A455F"/>
          </w:tcPr>
          <w:p>
            <w:pPr>
              <w:spacing w:line="293" w:lineRule="auto" w:after="20"/>
            </w:pPr>
            <w:r>
              <w:rPr>
                <w:b/>
                <w:color w:val="FFFFFF"/>
                <w:sz w:val="17"/>
              </w:rPr>
              <w:t>类别</w:t>
            </w:r>
          </w:p>
        </w:tc>
        <w:tc>
          <w:tcPr>
            <w:tcW w:type="dxa" w:w="2986"/>
            <w:vAlign w:val="center"/>
            <w:shd w:fill="2A455F"/>
          </w:tcPr>
          <w:p>
            <w:pPr>
              <w:spacing w:line="293" w:lineRule="auto" w:after="20"/>
            </w:pPr>
            <w:r>
              <w:rPr>
                <w:b/>
                <w:color w:val="FFFFFF"/>
                <w:sz w:val="17"/>
              </w:rPr>
              <w:t>主要数据内容</w:t>
            </w:r>
          </w:p>
        </w:tc>
        <w:tc>
          <w:tcPr>
            <w:tcW w:type="dxa" w:w="2986"/>
            <w:vAlign w:val="center"/>
            <w:shd w:fill="2A455F"/>
          </w:tcPr>
          <w:p>
            <w:pPr>
              <w:spacing w:line="293" w:lineRule="auto" w:after="20"/>
            </w:pPr>
            <w:r>
              <w:rPr>
                <w:b/>
                <w:color w:val="FFFFFF"/>
                <w:sz w:val="17"/>
              </w:rPr>
              <w:t>典型用途</w:t>
            </w:r>
          </w:p>
        </w:tc>
      </w:tr>
      <w:tr>
        <w:trPr>
          <w:cantSplit/>
        </w:trPr>
        <w:tc>
          <w:tcPr>
            <w:tcW w:type="dxa" w:w="1417"/>
            <w:vAlign w:val="center"/>
          </w:tcPr>
          <w:p>
            <w:pPr>
              <w:spacing w:line="293" w:lineRule="auto" w:after="20"/>
            </w:pPr>
            <w:r>
              <w:rPr>
                <w:sz w:val="17"/>
              </w:rPr>
              <w:t>运输业务</w:t>
            </w:r>
          </w:p>
        </w:tc>
        <w:tc>
          <w:tcPr>
            <w:tcW w:type="dxa" w:w="4252"/>
            <w:vAlign w:val="center"/>
          </w:tcPr>
          <w:p>
            <w:pPr>
              <w:spacing w:line="293" w:lineRule="auto" w:after="20"/>
            </w:pPr>
            <w:r>
              <w:rPr>
                <w:sz w:val="17"/>
              </w:rPr>
              <w:t>订单、货类、运量、起讫地、时效、任务及执行事件</w:t>
            </w:r>
          </w:p>
        </w:tc>
        <w:tc>
          <w:tcPr>
            <w:tcW w:type="dxa" w:w="3458"/>
            <w:vAlign w:val="center"/>
          </w:tcPr>
          <w:p>
            <w:pPr>
              <w:spacing w:line="293" w:lineRule="auto" w:after="20"/>
            </w:pPr>
            <w:r>
              <w:rPr>
                <w:sz w:val="17"/>
              </w:rPr>
              <w:t>派单、交能推演、履约统计</w:t>
            </w:r>
          </w:p>
        </w:tc>
      </w:tr>
      <w:tr>
        <w:trPr>
          <w:cantSplit/>
        </w:trPr>
        <w:tc>
          <w:tcPr>
            <w:tcW w:type="dxa" w:w="1417"/>
            <w:vAlign w:val="center"/>
          </w:tcPr>
          <w:p>
            <w:pPr>
              <w:spacing w:line="293" w:lineRule="auto" w:after="20"/>
            </w:pPr>
            <w:r>
              <w:rPr>
                <w:sz w:val="17"/>
              </w:rPr>
              <w:t>车辆运力</w:t>
            </w:r>
          </w:p>
        </w:tc>
        <w:tc>
          <w:tcPr>
            <w:tcW w:type="dxa" w:w="4252"/>
            <w:vAlign w:val="center"/>
          </w:tcPr>
          <w:p>
            <w:pPr>
              <w:spacing w:line="293" w:lineRule="auto" w:after="20"/>
            </w:pPr>
            <w:r>
              <w:rPr>
                <w:sz w:val="17"/>
              </w:rPr>
              <w:t>车辆、司机、车型、载重、可用状态、GPS、SOC、能耗</w:t>
            </w:r>
          </w:p>
        </w:tc>
        <w:tc>
          <w:tcPr>
            <w:tcW w:type="dxa" w:w="3458"/>
            <w:vAlign w:val="center"/>
          </w:tcPr>
          <w:p>
            <w:pPr>
              <w:spacing w:line="293" w:lineRule="auto" w:after="20"/>
            </w:pPr>
            <w:r>
              <w:rPr>
                <w:sz w:val="17"/>
              </w:rPr>
              <w:t>派车、路线与补能计算</w:t>
            </w:r>
          </w:p>
        </w:tc>
      </w:tr>
      <w:tr>
        <w:trPr>
          <w:cantSplit/>
        </w:trPr>
        <w:tc>
          <w:tcPr>
            <w:tcW w:type="dxa" w:w="1417"/>
            <w:vAlign w:val="center"/>
          </w:tcPr>
          <w:p>
            <w:pPr>
              <w:spacing w:line="293" w:lineRule="auto" w:after="20"/>
            </w:pPr>
            <w:r>
              <w:rPr>
                <w:sz w:val="17"/>
              </w:rPr>
              <w:t>交通路网</w:t>
            </w:r>
          </w:p>
        </w:tc>
        <w:tc>
          <w:tcPr>
            <w:tcW w:type="dxa" w:w="4252"/>
            <w:vAlign w:val="center"/>
          </w:tcPr>
          <w:p>
            <w:pPr>
              <w:spacing w:line="293" w:lineRule="auto" w:after="20"/>
            </w:pPr>
            <w:r>
              <w:rPr>
                <w:sz w:val="17"/>
              </w:rPr>
              <w:t>矿区、电厂、线路、道路、通行约束、行驶时间</w:t>
            </w:r>
          </w:p>
        </w:tc>
        <w:tc>
          <w:tcPr>
            <w:tcW w:type="dxa" w:w="3458"/>
            <w:vAlign w:val="center"/>
          </w:tcPr>
          <w:p>
            <w:pPr>
              <w:spacing w:line="293" w:lineRule="auto" w:after="20"/>
            </w:pPr>
            <w:r>
              <w:rPr>
                <w:sz w:val="17"/>
              </w:rPr>
              <w:t>路线与时序推演</w:t>
            </w:r>
          </w:p>
        </w:tc>
      </w:tr>
      <w:tr>
        <w:trPr>
          <w:cantSplit/>
        </w:trPr>
        <w:tc>
          <w:tcPr>
            <w:tcW w:type="dxa" w:w="1417"/>
            <w:vAlign w:val="center"/>
          </w:tcPr>
          <w:p>
            <w:pPr>
              <w:spacing w:line="293" w:lineRule="auto" w:after="20"/>
            </w:pPr>
            <w:r>
              <w:rPr>
                <w:sz w:val="17"/>
              </w:rPr>
              <w:t>场站设备</w:t>
            </w:r>
          </w:p>
        </w:tc>
        <w:tc>
          <w:tcPr>
            <w:tcW w:type="dxa" w:w="4252"/>
            <w:vAlign w:val="center"/>
          </w:tcPr>
          <w:p>
            <w:pPr>
              <w:spacing w:line="293" w:lineRule="auto" w:after="20"/>
            </w:pPr>
            <w:r>
              <w:rPr>
                <w:sz w:val="17"/>
              </w:rPr>
              <w:t>场站位置、设备状态、服务能力、工位占用、故障</w:t>
            </w:r>
          </w:p>
        </w:tc>
        <w:tc>
          <w:tcPr>
            <w:tcW w:type="dxa" w:w="3458"/>
            <w:vAlign w:val="center"/>
          </w:tcPr>
          <w:p>
            <w:pPr>
              <w:spacing w:line="293" w:lineRule="auto" w:after="20"/>
            </w:pPr>
            <w:r>
              <w:rPr>
                <w:sz w:val="17"/>
              </w:rPr>
              <w:t>补能安排、排队预测</w:t>
            </w:r>
          </w:p>
        </w:tc>
      </w:tr>
      <w:tr>
        <w:trPr>
          <w:cantSplit/>
        </w:trPr>
        <w:tc>
          <w:tcPr>
            <w:tcW w:type="dxa" w:w="1417"/>
            <w:vAlign w:val="center"/>
          </w:tcPr>
          <w:p>
            <w:pPr>
              <w:spacing w:line="293" w:lineRule="auto" w:after="20"/>
            </w:pPr>
            <w:r>
              <w:rPr>
                <w:sz w:val="17"/>
              </w:rPr>
              <w:t>补能业务</w:t>
            </w:r>
          </w:p>
        </w:tc>
        <w:tc>
          <w:tcPr>
            <w:tcW w:type="dxa" w:w="4252"/>
            <w:vAlign w:val="center"/>
          </w:tcPr>
          <w:p>
            <w:pPr>
              <w:spacing w:line="293" w:lineRule="auto" w:after="20"/>
            </w:pPr>
            <w:r>
              <w:rPr>
                <w:sz w:val="17"/>
              </w:rPr>
              <w:t>计划到站、实际到站、补能电量、时间、费用、换电记录</w:t>
            </w:r>
          </w:p>
        </w:tc>
        <w:tc>
          <w:tcPr>
            <w:tcW w:type="dxa" w:w="3458"/>
            <w:vAlign w:val="center"/>
          </w:tcPr>
          <w:p>
            <w:pPr>
              <w:spacing w:line="293" w:lineRule="auto" w:after="20"/>
            </w:pPr>
            <w:r>
              <w:rPr>
                <w:sz w:val="17"/>
              </w:rPr>
              <w:t>补能时序、成本分析</w:t>
            </w:r>
          </w:p>
        </w:tc>
      </w:tr>
      <w:tr>
        <w:trPr>
          <w:cantSplit/>
        </w:trPr>
        <w:tc>
          <w:tcPr>
            <w:tcW w:type="dxa" w:w="1417"/>
            <w:vAlign w:val="center"/>
          </w:tcPr>
          <w:p>
            <w:pPr>
              <w:spacing w:line="293" w:lineRule="auto" w:after="20"/>
            </w:pPr>
            <w:r>
              <w:rPr>
                <w:sz w:val="17"/>
              </w:rPr>
              <w:t>能源资源</w:t>
            </w:r>
          </w:p>
        </w:tc>
        <w:tc>
          <w:tcPr>
            <w:tcW w:type="dxa" w:w="4252"/>
            <w:vAlign w:val="center"/>
          </w:tcPr>
          <w:p>
            <w:pPr>
              <w:spacing w:line="293" w:lineRule="auto" w:after="20"/>
            </w:pPr>
            <w:r>
              <w:rPr>
                <w:sz w:val="17"/>
              </w:rPr>
              <w:t>电网容量、负荷、绿电出力、储能状态、能源约束</w:t>
            </w:r>
          </w:p>
        </w:tc>
        <w:tc>
          <w:tcPr>
            <w:tcW w:type="dxa" w:w="3458"/>
            <w:vAlign w:val="center"/>
          </w:tcPr>
          <w:p>
            <w:pPr>
              <w:spacing w:line="293" w:lineRule="auto" w:after="20"/>
            </w:pPr>
            <w:r>
              <w:rPr>
                <w:sz w:val="17"/>
              </w:rPr>
              <w:t>负荷预测、能源协同</w:t>
            </w:r>
          </w:p>
        </w:tc>
      </w:tr>
      <w:tr>
        <w:trPr>
          <w:cantSplit/>
        </w:trPr>
        <w:tc>
          <w:tcPr>
            <w:tcW w:type="dxa" w:w="1417"/>
            <w:vAlign w:val="center"/>
          </w:tcPr>
          <w:p>
            <w:pPr>
              <w:spacing w:line="293" w:lineRule="auto" w:after="20"/>
            </w:pPr>
            <w:r>
              <w:rPr>
                <w:sz w:val="17"/>
              </w:rPr>
              <w:t>价格成本</w:t>
            </w:r>
          </w:p>
        </w:tc>
        <w:tc>
          <w:tcPr>
            <w:tcW w:type="dxa" w:w="4252"/>
            <w:vAlign w:val="center"/>
          </w:tcPr>
          <w:p>
            <w:pPr>
              <w:spacing w:line="293" w:lineRule="auto" w:after="20"/>
            </w:pPr>
            <w:r>
              <w:rPr>
                <w:sz w:val="17"/>
              </w:rPr>
              <w:t>分时电价、服务费、车辆及运输成本规则</w:t>
            </w:r>
          </w:p>
        </w:tc>
        <w:tc>
          <w:tcPr>
            <w:tcW w:type="dxa" w:w="3458"/>
            <w:vAlign w:val="center"/>
          </w:tcPr>
          <w:p>
            <w:pPr>
              <w:spacing w:line="293" w:lineRule="auto" w:after="20"/>
            </w:pPr>
            <w:r>
              <w:rPr>
                <w:sz w:val="17"/>
              </w:rPr>
              <w:t>方案经济性与成本分析</w:t>
            </w:r>
          </w:p>
        </w:tc>
      </w:tr>
      <w:tr>
        <w:trPr>
          <w:cantSplit/>
        </w:trPr>
        <w:tc>
          <w:tcPr>
            <w:tcW w:type="dxa" w:w="1417"/>
            <w:vAlign w:val="center"/>
          </w:tcPr>
          <w:p>
            <w:pPr>
              <w:spacing w:line="293" w:lineRule="auto" w:after="20"/>
            </w:pPr>
            <w:r>
              <w:rPr>
                <w:sz w:val="17"/>
              </w:rPr>
              <w:t>规划资产</w:t>
            </w:r>
          </w:p>
        </w:tc>
        <w:tc>
          <w:tcPr>
            <w:tcW w:type="dxa" w:w="4252"/>
            <w:vAlign w:val="center"/>
          </w:tcPr>
          <w:p>
            <w:pPr>
              <w:spacing w:line="293" w:lineRule="auto" w:after="20"/>
            </w:pPr>
            <w:r>
              <w:rPr>
                <w:sz w:val="17"/>
              </w:rPr>
              <w:t>候选场站、车辆和电池档案、置换计划、合作运力</w:t>
            </w:r>
          </w:p>
        </w:tc>
        <w:tc>
          <w:tcPr>
            <w:tcW w:type="dxa" w:w="3458"/>
            <w:vAlign w:val="center"/>
          </w:tcPr>
          <w:p>
            <w:pPr>
              <w:spacing w:line="293" w:lineRule="auto" w:after="20"/>
            </w:pPr>
            <w:r>
              <w:rPr>
                <w:sz w:val="17"/>
              </w:rPr>
              <w:t>投资规划与资产运营</w:t>
            </w:r>
          </w:p>
        </w:tc>
      </w:tr>
    </w:tbl>
    <w:p>
      <w:pPr>
        <w:spacing w:after="0"/>
      </w:pPr>
    </w:p>
    <w:p>
      <w:pPr>
        <w:widowControl/>
      </w:pPr>
      <w:r>
        <w:t>数据接入采用“业务对象唯一标识+来源标识+采集时间”的基本要求；实时/准实时/人工登记/预测等数据状态应可区分，关键数据缺失时应记录影响并避免输出未经约束的高精度结果。</w:t>
      </w:r>
    </w:p>
    <w:p>
      <w:pPr>
        <w:pStyle w:val="Heading2"/>
      </w:pPr>
      <w:r>
        <w:t>2.5 功能模块总览</w:t>
      </w:r>
    </w:p>
    <w:tbl>
      <w:tblPr>
        <w:tblStyle w:val="TableGrid"/>
        <w:tblW w:type="auto" w:w="0"/>
        <w:jc w:val="center"/>
        <w:tblLayout w:type="fixed"/>
        <w:tblLook w:firstColumn="1" w:firstRow="1" w:lastColumn="0" w:lastRow="0" w:noHBand="0" w:noVBand="1" w:val="04A0"/>
      </w:tblPr>
      <w:tblGrid>
        <w:gridCol w:w="1247"/>
        <w:gridCol w:w="3005"/>
        <w:gridCol w:w="1134"/>
        <w:gridCol w:w="3572"/>
      </w:tblGrid>
      <w:tr>
        <w:trPr>
          <w:cantSplit/>
          <w:tblHeader w:val="true"/>
        </w:trPr>
        <w:tc>
          <w:tcPr>
            <w:tcW w:type="dxa" w:w="2239"/>
            <w:vAlign w:val="center"/>
            <w:shd w:fill="2A455F"/>
          </w:tcPr>
          <w:p>
            <w:pPr>
              <w:spacing w:line="293" w:lineRule="auto" w:after="20"/>
            </w:pPr>
            <w:r>
              <w:rPr>
                <w:b/>
                <w:color w:val="FFFFFF"/>
                <w:sz w:val="17"/>
              </w:rPr>
              <w:t>模块编号</w:t>
            </w:r>
          </w:p>
        </w:tc>
        <w:tc>
          <w:tcPr>
            <w:tcW w:type="dxa" w:w="2239"/>
            <w:vAlign w:val="center"/>
            <w:shd w:fill="2A455F"/>
          </w:tcPr>
          <w:p>
            <w:pPr>
              <w:spacing w:line="293" w:lineRule="auto" w:after="20"/>
            </w:pPr>
            <w:r>
              <w:rPr>
                <w:b/>
                <w:color w:val="FFFFFF"/>
                <w:sz w:val="17"/>
              </w:rPr>
              <w:t>模块名称</w:t>
            </w:r>
          </w:p>
        </w:tc>
        <w:tc>
          <w:tcPr>
            <w:tcW w:type="dxa" w:w="2239"/>
            <w:vAlign w:val="center"/>
            <w:shd w:fill="2A455F"/>
          </w:tcPr>
          <w:p>
            <w:pPr>
              <w:spacing w:line="293" w:lineRule="auto" w:after="20"/>
            </w:pPr>
            <w:r>
              <w:rPr>
                <w:b/>
                <w:color w:val="FFFFFF"/>
                <w:sz w:val="17"/>
              </w:rPr>
              <w:t>功能点数量</w:t>
            </w:r>
          </w:p>
        </w:tc>
        <w:tc>
          <w:tcPr>
            <w:tcW w:type="dxa" w:w="2239"/>
            <w:vAlign w:val="center"/>
            <w:shd w:fill="2A455F"/>
          </w:tcPr>
          <w:p>
            <w:pPr>
              <w:spacing w:line="293" w:lineRule="auto" w:after="20"/>
            </w:pPr>
            <w:r>
              <w:rPr>
                <w:b/>
                <w:color w:val="FFFFFF"/>
                <w:sz w:val="17"/>
              </w:rPr>
              <w:t>主要业务定位</w:t>
            </w:r>
          </w:p>
        </w:tc>
      </w:tr>
      <w:tr>
        <w:trPr>
          <w:cantSplit/>
        </w:trPr>
        <w:tc>
          <w:tcPr>
            <w:tcW w:type="dxa" w:w="1247"/>
            <w:vAlign w:val="center"/>
          </w:tcPr>
          <w:p>
            <w:pPr>
              <w:spacing w:line="293" w:lineRule="auto" w:after="20"/>
            </w:pPr>
            <w:r>
              <w:rPr>
                <w:sz w:val="17"/>
              </w:rPr>
              <w:t>模块1</w:t>
            </w:r>
          </w:p>
        </w:tc>
        <w:tc>
          <w:tcPr>
            <w:tcW w:type="dxa" w:w="3005"/>
            <w:vAlign w:val="center"/>
          </w:tcPr>
          <w:p>
            <w:pPr>
              <w:spacing w:line="293" w:lineRule="auto" w:after="20"/>
            </w:pPr>
            <w:r>
              <w:rPr>
                <w:sz w:val="17"/>
              </w:rPr>
              <w:t>运输订单与交能协同调度</w:t>
            </w:r>
          </w:p>
        </w:tc>
        <w:tc>
          <w:tcPr>
            <w:tcW w:type="dxa" w:w="1134"/>
            <w:vAlign w:val="center"/>
          </w:tcPr>
          <w:p>
            <w:pPr>
              <w:spacing w:line="293" w:lineRule="auto" w:after="20"/>
            </w:pPr>
            <w:r>
              <w:rPr>
                <w:sz w:val="17"/>
              </w:rPr>
              <w:t>5</w:t>
            </w:r>
          </w:p>
        </w:tc>
        <w:tc>
          <w:tcPr>
            <w:tcW w:type="dxa" w:w="3572"/>
            <w:vAlign w:val="center"/>
          </w:tcPr>
          <w:p>
            <w:pPr>
              <w:spacing w:line="293" w:lineRule="auto" w:after="20"/>
            </w:pPr>
            <w:r>
              <w:rPr>
                <w:sz w:val="17"/>
              </w:rPr>
              <w:t>交通与能源双侧调度</w:t>
            </w:r>
          </w:p>
        </w:tc>
      </w:tr>
      <w:tr>
        <w:trPr>
          <w:cantSplit/>
        </w:trPr>
        <w:tc>
          <w:tcPr>
            <w:tcW w:type="dxa" w:w="1247"/>
            <w:vAlign w:val="center"/>
          </w:tcPr>
          <w:p>
            <w:pPr>
              <w:spacing w:line="293" w:lineRule="auto" w:after="20"/>
            </w:pPr>
            <w:r>
              <w:rPr>
                <w:sz w:val="17"/>
              </w:rPr>
              <w:t>模块2</w:t>
            </w:r>
          </w:p>
        </w:tc>
        <w:tc>
          <w:tcPr>
            <w:tcW w:type="dxa" w:w="3005"/>
            <w:vAlign w:val="center"/>
          </w:tcPr>
          <w:p>
            <w:pPr>
              <w:spacing w:line="293" w:lineRule="auto" w:after="20"/>
            </w:pPr>
            <w:r>
              <w:rPr>
                <w:sz w:val="17"/>
              </w:rPr>
              <w:t>运输组织与执行管理</w:t>
            </w:r>
          </w:p>
        </w:tc>
        <w:tc>
          <w:tcPr>
            <w:tcW w:type="dxa" w:w="1134"/>
            <w:vAlign w:val="center"/>
          </w:tcPr>
          <w:p>
            <w:pPr>
              <w:spacing w:line="293" w:lineRule="auto" w:after="20"/>
            </w:pPr>
            <w:r>
              <w:rPr>
                <w:sz w:val="17"/>
              </w:rPr>
              <w:t>5</w:t>
            </w:r>
          </w:p>
        </w:tc>
        <w:tc>
          <w:tcPr>
            <w:tcW w:type="dxa" w:w="3572"/>
            <w:vAlign w:val="center"/>
          </w:tcPr>
          <w:p>
            <w:pPr>
              <w:spacing w:line="293" w:lineRule="auto" w:after="20"/>
            </w:pPr>
            <w:r>
              <w:rPr>
                <w:sz w:val="17"/>
              </w:rPr>
              <w:t>任务组织与司机执行</w:t>
            </w:r>
          </w:p>
        </w:tc>
      </w:tr>
      <w:tr>
        <w:trPr>
          <w:cantSplit/>
        </w:trPr>
        <w:tc>
          <w:tcPr>
            <w:tcW w:type="dxa" w:w="1247"/>
            <w:vAlign w:val="center"/>
          </w:tcPr>
          <w:p>
            <w:pPr>
              <w:spacing w:line="293" w:lineRule="auto" w:after="20"/>
            </w:pPr>
            <w:r>
              <w:rPr>
                <w:sz w:val="17"/>
              </w:rPr>
              <w:t>模块3</w:t>
            </w:r>
          </w:p>
        </w:tc>
        <w:tc>
          <w:tcPr>
            <w:tcW w:type="dxa" w:w="3005"/>
            <w:vAlign w:val="center"/>
          </w:tcPr>
          <w:p>
            <w:pPr>
              <w:spacing w:line="293" w:lineRule="auto" w:after="20"/>
            </w:pPr>
            <w:r>
              <w:rPr>
                <w:sz w:val="17"/>
              </w:rPr>
              <w:t>充换电运营管理</w:t>
            </w:r>
          </w:p>
        </w:tc>
        <w:tc>
          <w:tcPr>
            <w:tcW w:type="dxa" w:w="1134"/>
            <w:vAlign w:val="center"/>
          </w:tcPr>
          <w:p>
            <w:pPr>
              <w:spacing w:line="293" w:lineRule="auto" w:after="20"/>
            </w:pPr>
            <w:r>
              <w:rPr>
                <w:sz w:val="17"/>
              </w:rPr>
              <w:t>6</w:t>
            </w:r>
          </w:p>
        </w:tc>
        <w:tc>
          <w:tcPr>
            <w:tcW w:type="dxa" w:w="3572"/>
            <w:vAlign w:val="center"/>
          </w:tcPr>
          <w:p>
            <w:pPr>
              <w:spacing w:line="293" w:lineRule="auto" w:after="20"/>
            </w:pPr>
            <w:r>
              <w:rPr>
                <w:sz w:val="17"/>
              </w:rPr>
              <w:t>补能服务与到站预测</w:t>
            </w:r>
          </w:p>
        </w:tc>
      </w:tr>
      <w:tr>
        <w:trPr>
          <w:cantSplit/>
        </w:trPr>
        <w:tc>
          <w:tcPr>
            <w:tcW w:type="dxa" w:w="1247"/>
            <w:vAlign w:val="center"/>
          </w:tcPr>
          <w:p>
            <w:pPr>
              <w:spacing w:line="293" w:lineRule="auto" w:after="20"/>
            </w:pPr>
            <w:r>
              <w:rPr>
                <w:sz w:val="17"/>
              </w:rPr>
              <w:t>模块4</w:t>
            </w:r>
          </w:p>
        </w:tc>
        <w:tc>
          <w:tcPr>
            <w:tcW w:type="dxa" w:w="3005"/>
            <w:vAlign w:val="center"/>
          </w:tcPr>
          <w:p>
            <w:pPr>
              <w:spacing w:line="293" w:lineRule="auto" w:after="20"/>
            </w:pPr>
            <w:r>
              <w:rPr>
                <w:sz w:val="17"/>
              </w:rPr>
              <w:t>交通能源协同管理</w:t>
            </w:r>
          </w:p>
        </w:tc>
        <w:tc>
          <w:tcPr>
            <w:tcW w:type="dxa" w:w="1134"/>
            <w:vAlign w:val="center"/>
          </w:tcPr>
          <w:p>
            <w:pPr>
              <w:spacing w:line="293" w:lineRule="auto" w:after="20"/>
            </w:pPr>
            <w:r>
              <w:rPr>
                <w:sz w:val="17"/>
              </w:rPr>
              <w:t>5</w:t>
            </w:r>
          </w:p>
        </w:tc>
        <w:tc>
          <w:tcPr>
            <w:tcW w:type="dxa" w:w="3572"/>
            <w:vAlign w:val="center"/>
          </w:tcPr>
          <w:p>
            <w:pPr>
              <w:spacing w:line="293" w:lineRule="auto" w:after="20"/>
            </w:pPr>
            <w:r>
              <w:rPr>
                <w:sz w:val="17"/>
              </w:rPr>
              <w:t>能源供需与负荷协调</w:t>
            </w:r>
          </w:p>
        </w:tc>
      </w:tr>
      <w:tr>
        <w:trPr>
          <w:cantSplit/>
        </w:trPr>
        <w:tc>
          <w:tcPr>
            <w:tcW w:type="dxa" w:w="1247"/>
            <w:vAlign w:val="center"/>
          </w:tcPr>
          <w:p>
            <w:pPr>
              <w:spacing w:line="293" w:lineRule="auto" w:after="20"/>
            </w:pPr>
            <w:r>
              <w:rPr>
                <w:sz w:val="17"/>
              </w:rPr>
              <w:t>模块5</w:t>
            </w:r>
          </w:p>
        </w:tc>
        <w:tc>
          <w:tcPr>
            <w:tcW w:type="dxa" w:w="3005"/>
            <w:vAlign w:val="center"/>
          </w:tcPr>
          <w:p>
            <w:pPr>
              <w:spacing w:line="293" w:lineRule="auto" w:after="20"/>
            </w:pPr>
            <w:r>
              <w:rPr>
                <w:sz w:val="17"/>
              </w:rPr>
              <w:t>场站智能布局与资源规划</w:t>
            </w:r>
          </w:p>
        </w:tc>
        <w:tc>
          <w:tcPr>
            <w:tcW w:type="dxa" w:w="1134"/>
            <w:vAlign w:val="center"/>
          </w:tcPr>
          <w:p>
            <w:pPr>
              <w:spacing w:line="293" w:lineRule="auto" w:after="20"/>
            </w:pPr>
            <w:r>
              <w:rPr>
                <w:sz w:val="17"/>
              </w:rPr>
              <w:t>5</w:t>
            </w:r>
          </w:p>
        </w:tc>
        <w:tc>
          <w:tcPr>
            <w:tcW w:type="dxa" w:w="3572"/>
            <w:vAlign w:val="center"/>
          </w:tcPr>
          <w:p>
            <w:pPr>
              <w:spacing w:line="293" w:lineRule="auto" w:after="20"/>
            </w:pPr>
            <w:r>
              <w:rPr>
                <w:sz w:val="17"/>
              </w:rPr>
              <w:t>场站布局与投放决策</w:t>
            </w:r>
          </w:p>
        </w:tc>
      </w:tr>
      <w:tr>
        <w:trPr>
          <w:cantSplit/>
        </w:trPr>
        <w:tc>
          <w:tcPr>
            <w:tcW w:type="dxa" w:w="1247"/>
            <w:vAlign w:val="center"/>
          </w:tcPr>
          <w:p>
            <w:pPr>
              <w:spacing w:line="293" w:lineRule="auto" w:after="20"/>
            </w:pPr>
            <w:r>
              <w:rPr>
                <w:sz w:val="17"/>
              </w:rPr>
              <w:t>模块6</w:t>
            </w:r>
          </w:p>
        </w:tc>
        <w:tc>
          <w:tcPr>
            <w:tcW w:type="dxa" w:w="3005"/>
            <w:vAlign w:val="center"/>
          </w:tcPr>
          <w:p>
            <w:pPr>
              <w:spacing w:line="293" w:lineRule="auto" w:after="20"/>
            </w:pPr>
            <w:r>
              <w:rPr>
                <w:sz w:val="17"/>
              </w:rPr>
              <w:t>运行监测与安全保障</w:t>
            </w:r>
          </w:p>
        </w:tc>
        <w:tc>
          <w:tcPr>
            <w:tcW w:type="dxa" w:w="1134"/>
            <w:vAlign w:val="center"/>
          </w:tcPr>
          <w:p>
            <w:pPr>
              <w:spacing w:line="293" w:lineRule="auto" w:after="20"/>
            </w:pPr>
            <w:r>
              <w:rPr>
                <w:sz w:val="17"/>
              </w:rPr>
              <w:t>6</w:t>
            </w:r>
          </w:p>
        </w:tc>
        <w:tc>
          <w:tcPr>
            <w:tcW w:type="dxa" w:w="3572"/>
            <w:vAlign w:val="center"/>
          </w:tcPr>
          <w:p>
            <w:pPr>
              <w:spacing w:line="293" w:lineRule="auto" w:after="20"/>
            </w:pPr>
            <w:r>
              <w:rPr>
                <w:sz w:val="17"/>
              </w:rPr>
              <w:t>实时运行与异常闭环</w:t>
            </w:r>
          </w:p>
        </w:tc>
      </w:tr>
      <w:tr>
        <w:trPr>
          <w:cantSplit/>
        </w:trPr>
        <w:tc>
          <w:tcPr>
            <w:tcW w:type="dxa" w:w="1247"/>
            <w:vAlign w:val="center"/>
          </w:tcPr>
          <w:p>
            <w:pPr>
              <w:spacing w:line="293" w:lineRule="auto" w:after="20"/>
            </w:pPr>
            <w:r>
              <w:rPr>
                <w:sz w:val="17"/>
              </w:rPr>
              <w:t>模块7</w:t>
            </w:r>
          </w:p>
        </w:tc>
        <w:tc>
          <w:tcPr>
            <w:tcW w:type="dxa" w:w="3005"/>
            <w:vAlign w:val="center"/>
          </w:tcPr>
          <w:p>
            <w:pPr>
              <w:spacing w:line="293" w:lineRule="auto" w:after="20"/>
            </w:pPr>
            <w:r>
              <w:rPr>
                <w:sz w:val="17"/>
              </w:rPr>
              <w:t>成本管控与综合运营管理</w:t>
            </w:r>
          </w:p>
        </w:tc>
        <w:tc>
          <w:tcPr>
            <w:tcW w:type="dxa" w:w="1134"/>
            <w:vAlign w:val="center"/>
          </w:tcPr>
          <w:p>
            <w:pPr>
              <w:spacing w:line="293" w:lineRule="auto" w:after="20"/>
            </w:pPr>
            <w:r>
              <w:rPr>
                <w:sz w:val="17"/>
              </w:rPr>
              <w:t>5</w:t>
            </w:r>
          </w:p>
        </w:tc>
        <w:tc>
          <w:tcPr>
            <w:tcW w:type="dxa" w:w="3572"/>
            <w:vAlign w:val="center"/>
          </w:tcPr>
          <w:p>
            <w:pPr>
              <w:spacing w:line="293" w:lineRule="auto" w:after="20"/>
            </w:pPr>
            <w:r>
              <w:rPr>
                <w:sz w:val="17"/>
              </w:rPr>
              <w:t>运营成本与资产管理</w:t>
            </w:r>
          </w:p>
        </w:tc>
      </w:tr>
      <w:tr>
        <w:trPr>
          <w:cantSplit/>
        </w:trPr>
        <w:tc>
          <w:tcPr>
            <w:tcW w:type="dxa" w:w="1247"/>
            <w:vAlign w:val="center"/>
          </w:tcPr>
          <w:p>
            <w:pPr>
              <w:spacing w:line="293" w:lineRule="auto" w:after="20"/>
            </w:pPr>
            <w:r>
              <w:rPr>
                <w:sz w:val="17"/>
              </w:rPr>
              <w:t>模块8</w:t>
            </w:r>
          </w:p>
        </w:tc>
        <w:tc>
          <w:tcPr>
            <w:tcW w:type="dxa" w:w="3005"/>
            <w:vAlign w:val="center"/>
          </w:tcPr>
          <w:p>
            <w:pPr>
              <w:spacing w:line="293" w:lineRule="auto" w:after="20"/>
            </w:pPr>
            <w:r>
              <w:rPr>
                <w:sz w:val="17"/>
              </w:rPr>
              <w:t>AI智能体辅助服务</w:t>
            </w:r>
          </w:p>
        </w:tc>
        <w:tc>
          <w:tcPr>
            <w:tcW w:type="dxa" w:w="1134"/>
            <w:vAlign w:val="center"/>
          </w:tcPr>
          <w:p>
            <w:pPr>
              <w:spacing w:line="293" w:lineRule="auto" w:after="20"/>
            </w:pPr>
            <w:r>
              <w:rPr>
                <w:sz w:val="17"/>
              </w:rPr>
              <w:t>5</w:t>
            </w:r>
          </w:p>
        </w:tc>
        <w:tc>
          <w:tcPr>
            <w:tcW w:type="dxa" w:w="3572"/>
            <w:vAlign w:val="center"/>
          </w:tcPr>
          <w:p>
            <w:pPr>
              <w:spacing w:line="293" w:lineRule="auto" w:after="20"/>
            </w:pPr>
            <w:r>
              <w:rPr>
                <w:sz w:val="17"/>
              </w:rPr>
              <w:t>智能问答与辅助决策</w:t>
            </w:r>
          </w:p>
        </w:tc>
      </w:tr>
      <w:tr>
        <w:trPr>
          <w:cantSplit/>
        </w:trPr>
        <w:tc>
          <w:tcPr>
            <w:tcW w:type="dxa" w:w="1247"/>
            <w:vAlign w:val="center"/>
          </w:tcPr>
          <w:p>
            <w:pPr>
              <w:spacing w:line="293" w:lineRule="auto" w:after="20"/>
            </w:pPr>
            <w:r>
              <w:rPr>
                <w:sz w:val="17"/>
              </w:rPr>
              <w:t>模块9</w:t>
            </w:r>
          </w:p>
        </w:tc>
        <w:tc>
          <w:tcPr>
            <w:tcW w:type="dxa" w:w="3005"/>
            <w:vAlign w:val="center"/>
          </w:tcPr>
          <w:p>
            <w:pPr>
              <w:spacing w:line="293" w:lineRule="auto" w:after="20"/>
            </w:pPr>
            <w:r>
              <w:rPr>
                <w:sz w:val="17"/>
              </w:rPr>
              <w:t>基础数据与系统管理</w:t>
            </w:r>
          </w:p>
        </w:tc>
        <w:tc>
          <w:tcPr>
            <w:tcW w:type="dxa" w:w="1134"/>
            <w:vAlign w:val="center"/>
          </w:tcPr>
          <w:p>
            <w:pPr>
              <w:spacing w:line="293" w:lineRule="auto" w:after="20"/>
            </w:pPr>
            <w:r>
              <w:rPr>
                <w:sz w:val="17"/>
              </w:rPr>
              <w:t>5</w:t>
            </w:r>
          </w:p>
        </w:tc>
        <w:tc>
          <w:tcPr>
            <w:tcW w:type="dxa" w:w="3572"/>
            <w:vAlign w:val="center"/>
          </w:tcPr>
          <w:p>
            <w:pPr>
              <w:spacing w:line="293" w:lineRule="auto" w:after="20"/>
            </w:pPr>
            <w:r>
              <w:rPr>
                <w:sz w:val="17"/>
              </w:rPr>
              <w:t>基础数据、权限与日志</w:t>
            </w:r>
          </w:p>
        </w:tc>
      </w:tr>
    </w:tbl>
    <w:p>
      <w:pPr>
        <w:spacing w:after="0"/>
      </w:pPr>
    </w:p>
    <w:p>
      <w:pPr>
        <w:pStyle w:val="Heading1"/>
      </w:pPr>
      <w:r>
        <w:t>3 运输订单与交能协同调度</w:t>
      </w:r>
    </w:p>
    <w:p>
      <w:pPr>
        <w:widowControl/>
      </w:pPr>
      <w:r>
        <w:t>本模块围绕矿区、厂区及重点物流通道的新能源重卡运输需求，形成“需求登记—交能推演—方案确认—任务派单”的业务链条。交通侧综合订单、道路、车辆与司机资源，能源侧综合场站可用能力、补能需求和供电约束，协同形成可执行的运输组织方案。</w:t>
      </w:r>
    </w:p>
    <w:p>
      <w:pPr>
        <w:widowControl/>
      </w:pPr>
      <w:r>
        <w:t>本模块共包含5个功能点，包括：运输需求登记、订单管理、交能协同推演、方案比选与确认、任务派单。</w:t>
      </w:r>
    </w:p>
    <w:p>
      <w:pPr>
        <w:pStyle w:val="Heading2"/>
      </w:pPr>
      <w:r>
        <w:t>3.1 运输需求登记</w:t>
      </w:r>
    </w:p>
    <w:p>
      <w:pPr>
        <w:pStyle w:val="SubLabel"/>
        <w:widowControl/>
      </w:pPr>
      <w:r>
        <w:t>功能说明</w:t>
      </w:r>
    </w:p>
    <w:p>
      <w:pPr>
        <w:widowControl/>
      </w:pPr>
      <w:r>
        <w:t>支持平台管理员对煤炭、矿产品等运输需求进行登记、维护、查询和状态管理，记录起讫地、货物类别、计划运量、装卸时段、时效要求、委托主体和补充说明；支持按需求生成运输订单，并保留需求与后续任务之间的关联。</w:t>
      </w:r>
    </w:p>
    <w:p>
      <w:pPr>
        <w:pStyle w:val="SubLabel"/>
        <w:widowControl/>
      </w:pPr>
      <w:r>
        <w:t>应用场景</w:t>
      </w:r>
    </w:p>
    <w:p>
      <w:pPr>
        <w:widowControl/>
      </w:pPr>
      <w:r>
        <w:t>矿区或用货企业提出运输计划后，管理员在平台登记需求，核对基础信息并发起交能推演；当装卸时间或运量发生变化时，能够维护变更并保留操作记录。</w:t>
      </w:r>
    </w:p>
    <w:p>
      <w:pPr>
        <w:pStyle w:val="SubLabel"/>
        <w:widowControl/>
      </w:pPr>
      <w:r>
        <w:t>功能目标</w:t>
      </w:r>
    </w:p>
    <w:p>
      <w:pPr>
        <w:widowControl/>
      </w:pPr>
      <w:r>
        <w:t>实现运输需求的规范归集与可追溯管理，为运力配置、路径求解、补能测算和后续运营分析提供统一业务起点。</w:t>
      </w:r>
    </w:p>
    <w:p>
      <w:pPr>
        <w:pStyle w:val="Heading2"/>
      </w:pPr>
      <w:r>
        <w:t>3.2 订单管理</w:t>
      </w:r>
    </w:p>
    <w:p>
      <w:pPr>
        <w:pStyle w:val="SubLabel"/>
        <w:widowControl/>
      </w:pPr>
      <w:r>
        <w:t>功能说明</w:t>
      </w:r>
    </w:p>
    <w:p>
      <w:pPr>
        <w:widowControl/>
      </w:pPr>
      <w:r>
        <w:t>支持运输订单的新增、编辑、查询、取消、复制和状态跟踪，关联运输需求、线路、货物、计划批次和承接主体；对订单形成、待推演、已确认、执行中和已完成等状态进行统一管理，具体状态迁移以业务规则确认结果为准。</w:t>
      </w:r>
    </w:p>
    <w:p>
      <w:pPr>
        <w:pStyle w:val="SubLabel"/>
        <w:widowControl/>
      </w:pPr>
      <w:r>
        <w:t>应用场景</w:t>
      </w:r>
    </w:p>
    <w:p>
      <w:pPr>
        <w:widowControl/>
      </w:pPr>
      <w:r>
        <w:t>管理员接收一笔矿区短倒运输任务后，检查订单数量和时效约束；需要调整货量或装卸时段时，系统提示已有推演及派单方案受影响情况。</w:t>
      </w:r>
    </w:p>
    <w:p>
      <w:pPr>
        <w:pStyle w:val="SubLabel"/>
        <w:widowControl/>
      </w:pPr>
      <w:r>
        <w:t>功能目标</w:t>
      </w:r>
    </w:p>
    <w:p>
      <w:pPr>
        <w:widowControl/>
      </w:pPr>
      <w:r>
        <w:t>形成订单与方案、派单、运输执行、成本分析之间一致的业务链条，避免多环节信息重复录入。</w:t>
      </w:r>
    </w:p>
    <w:p>
      <w:pPr>
        <w:pStyle w:val="Heading2"/>
      </w:pPr>
      <w:r>
        <w:t>3.3 交能协同推演</w:t>
      </w:r>
    </w:p>
    <w:p>
      <w:pPr>
        <w:pStyle w:val="SubLabel"/>
        <w:widowControl/>
      </w:pPr>
      <w:r>
        <w:t>功能说明</w:t>
      </w:r>
    </w:p>
    <w:p>
      <w:pPr>
        <w:widowControl/>
      </w:pPr>
      <w:r>
        <w:t>基于订单、车辆载重和可用性、道路条件、行驶里程、车辆能耗、SOC、充换电站服务能力和能源约束，测算候选运输组织方案；支持对车辆数量、发车间隔、线路、补能位置、预计补能时间及任务完成时间进行联合推演。</w:t>
      </w:r>
    </w:p>
    <w:p>
      <w:pPr>
        <w:pStyle w:val="SubLabel"/>
        <w:widowControl/>
      </w:pPr>
      <w:r>
        <w:t>应用场景</w:t>
      </w:r>
    </w:p>
    <w:p>
      <w:pPr>
        <w:widowControl/>
      </w:pPr>
      <w:r>
        <w:t>管理员对固定矿区至电厂的运输需求发起推演，系统综合现有车队、道路及可用场站条件，输出不同车辆投入和补能安排下的执行方案。</w:t>
      </w:r>
    </w:p>
    <w:p>
      <w:pPr>
        <w:pStyle w:val="SubLabel"/>
        <w:widowControl/>
      </w:pPr>
      <w:r>
        <w:t>功能目标</w:t>
      </w:r>
    </w:p>
    <w:p>
      <w:pPr>
        <w:widowControl/>
      </w:pPr>
      <w:r>
        <w:t>实现交通组织与能源保障的协同求解，为可行的运输调度方案提供可解释依据；关键测算条件及数据来源应可追溯。</w:t>
      </w:r>
    </w:p>
    <w:p>
      <w:pPr>
        <w:pStyle w:val="Heading2"/>
      </w:pPr>
      <w:r>
        <w:t>3.4 方案比选与确认</w:t>
      </w:r>
    </w:p>
    <w:p>
      <w:pPr>
        <w:pStyle w:val="SubLabel"/>
        <w:widowControl/>
      </w:pPr>
      <w:r>
        <w:t>功能说明</w:t>
      </w:r>
    </w:p>
    <w:p>
      <w:pPr>
        <w:widowControl/>
      </w:pPr>
      <w:r>
        <w:t>支持对候选方案的预计用车数、车次、里程、运输时长、能耗、补能次数、等待时长及综合成本进行比较；允许管理员调整重要约束后重新推演，并确认一个方案作为派单依据。</w:t>
      </w:r>
    </w:p>
    <w:p>
      <w:pPr>
        <w:pStyle w:val="SubLabel"/>
        <w:widowControl/>
      </w:pPr>
      <w:r>
        <w:t>应用场景</w:t>
      </w:r>
    </w:p>
    <w:p>
      <w:pPr>
        <w:widowControl/>
      </w:pPr>
      <w:r>
        <w:t>当某方案运输时间较短但补能排队较高时，管理员可比较其他路线或发车节奏，复核业务限制后选定方案。</w:t>
      </w:r>
    </w:p>
    <w:p>
      <w:pPr>
        <w:pStyle w:val="SubLabel"/>
        <w:widowControl/>
      </w:pPr>
      <w:r>
        <w:t>功能目标</w:t>
      </w:r>
    </w:p>
    <w:p>
      <w:pPr>
        <w:widowControl/>
      </w:pPr>
      <w:r>
        <w:t>提高调度方案的可比性、可审查性和可执行性，减少仅以距离或车辆数量作为调度依据的片面性。</w:t>
      </w:r>
    </w:p>
    <w:p>
      <w:pPr>
        <w:pStyle w:val="Heading2"/>
      </w:pPr>
      <w:r>
        <w:t>3.5 任务派单</w:t>
      </w:r>
    </w:p>
    <w:p>
      <w:pPr>
        <w:pStyle w:val="SubLabel"/>
        <w:widowControl/>
      </w:pPr>
      <w:r>
        <w:t>功能说明</w:t>
      </w:r>
    </w:p>
    <w:p>
      <w:pPr>
        <w:widowControl/>
      </w:pPr>
      <w:r>
        <w:t>支持依据已确认的推演方案生成运输任务，按车辆、司机、批次或运输区段进行派单；支持在权限范围内人工调整车辆、执行时间及任务分配，并校验车辆可用性、任务冲突和补能安排。</w:t>
      </w:r>
    </w:p>
    <w:p>
      <w:pPr>
        <w:pStyle w:val="SubLabel"/>
        <w:widowControl/>
      </w:pPr>
      <w:r>
        <w:t>应用场景</w:t>
      </w:r>
    </w:p>
    <w:p>
      <w:pPr>
        <w:widowControl/>
      </w:pPr>
      <w:r>
        <w:t>管理员完成方案确认后生成多个执行批次，指定车辆和司机，向司机端推送任务；司机无法执行时可重新分配并记录变更原因。</w:t>
      </w:r>
    </w:p>
    <w:p>
      <w:pPr>
        <w:pStyle w:val="SubLabel"/>
        <w:widowControl/>
      </w:pPr>
      <w:r>
        <w:t>功能目标</w:t>
      </w:r>
    </w:p>
    <w:p>
      <w:pPr>
        <w:widowControl/>
      </w:pPr>
      <w:r>
        <w:t>实现从方案到执行任务的结构化转化，确保车辆、司机、时间、运输路线和补能计划之间具有关联关系。</w:t>
      </w:r>
    </w:p>
    <w:p>
      <w:pPr>
        <w:pStyle w:val="Heading1"/>
      </w:pPr>
      <w:r>
        <w:t>4 运输组织与执行管理</w:t>
      </w:r>
    </w:p>
    <w:p>
      <w:pPr>
        <w:widowControl/>
      </w:pPr>
      <w:r>
        <w:t>本模块承接运输订单与任务派单成果，覆盖运力维护、运输排程、司机接单、在途反馈和任务完结。围绕先导期煤炭短倒等重点场景，建立实际执行与计划推演之间的反馈机制，逐步形成可校准的运营数据基础。</w:t>
      </w:r>
    </w:p>
    <w:p>
      <w:pPr>
        <w:widowControl/>
      </w:pPr>
      <w:r>
        <w:t>本模块共包含5个功能点，包括：运力资源管理、运输计划与时序管理、司机任务接收、运输执行反馈、任务变更与完工确认。</w:t>
      </w:r>
    </w:p>
    <w:p>
      <w:pPr>
        <w:pStyle w:val="Heading2"/>
      </w:pPr>
      <w:r>
        <w:t>4.1 运力资源管理</w:t>
      </w:r>
    </w:p>
    <w:p>
      <w:pPr>
        <w:pStyle w:val="SubLabel"/>
        <w:widowControl/>
      </w:pPr>
      <w:r>
        <w:t>功能说明</w:t>
      </w:r>
    </w:p>
    <w:p>
      <w:pPr>
        <w:widowControl/>
      </w:pPr>
      <w:r>
        <w:t>支持车辆、司机、所属企业或车队、车型、额定载重、可用时间、电池容量、补能兼容方式等运力信息维护；记录可用、执行中、检修、停用等状态，支持关联车辆资产档案。</w:t>
      </w:r>
    </w:p>
    <w:p>
      <w:pPr>
        <w:pStyle w:val="SubLabel"/>
        <w:widowControl/>
      </w:pPr>
      <w:r>
        <w:t>应用场景</w:t>
      </w:r>
    </w:p>
    <w:p>
      <w:pPr>
        <w:widowControl/>
      </w:pPr>
      <w:r>
        <w:t>管理员组织试点车辆投入运输前，维护车辆和司机资源并确认当日可用情况；车辆进入检修后不再参与新的任务自动分配。</w:t>
      </w:r>
    </w:p>
    <w:p>
      <w:pPr>
        <w:pStyle w:val="SubLabel"/>
        <w:widowControl/>
      </w:pPr>
      <w:r>
        <w:t>功能目标</w:t>
      </w:r>
    </w:p>
    <w:p>
      <w:pPr>
        <w:widowControl/>
      </w:pPr>
      <w:r>
        <w:t>建立运力可用性底账，为交能推演、车辆调度和长期投放测算提供准确的约束数据。</w:t>
      </w:r>
    </w:p>
    <w:p>
      <w:pPr>
        <w:pStyle w:val="Heading2"/>
      </w:pPr>
      <w:r>
        <w:t>4.2 运输计划与时序管理</w:t>
      </w:r>
    </w:p>
    <w:p>
      <w:pPr>
        <w:pStyle w:val="SubLabel"/>
        <w:widowControl/>
      </w:pPr>
      <w:r>
        <w:t>功能说明</w:t>
      </w:r>
    </w:p>
    <w:p>
      <w:pPr>
        <w:widowControl/>
      </w:pPr>
      <w:r>
        <w:t>支持按照运输订单形成任务批次、发车顺序、计划到达时刻、预计装卸时长和返程安排；结合车站或矿区作业时间与补能排队信息，对计划冲突和时效风险进行提示。</w:t>
      </w:r>
    </w:p>
    <w:p>
      <w:pPr>
        <w:pStyle w:val="SubLabel"/>
        <w:widowControl/>
      </w:pPr>
      <w:r>
        <w:t>应用场景</w:t>
      </w:r>
    </w:p>
    <w:p>
      <w:pPr>
        <w:widowControl/>
      </w:pPr>
      <w:r>
        <w:t>矿区装货能力有限、车辆到达密集时，管理员调整车次间隔，避免运输排队与补能排队叠加造成整体效率下降。</w:t>
      </w:r>
    </w:p>
    <w:p>
      <w:pPr>
        <w:pStyle w:val="SubLabel"/>
        <w:widowControl/>
      </w:pPr>
      <w:r>
        <w:t>功能目标</w:t>
      </w:r>
    </w:p>
    <w:p>
      <w:pPr>
        <w:widowControl/>
      </w:pPr>
      <w:r>
        <w:t>实现车辆、装卸作业和补能环节的时序协调，降低车辆等待和闲置时间。</w:t>
      </w:r>
    </w:p>
    <w:p>
      <w:pPr>
        <w:pStyle w:val="Heading2"/>
      </w:pPr>
      <w:r>
        <w:t>4.3 司机任务接收</w:t>
      </w:r>
    </w:p>
    <w:p>
      <w:pPr>
        <w:pStyle w:val="SubLabel"/>
        <w:widowControl/>
      </w:pPr>
      <w:r>
        <w:t>功能说明</w:t>
      </w:r>
    </w:p>
    <w:p>
      <w:pPr>
        <w:widowControl/>
      </w:pPr>
      <w:r>
        <w:t>为司机提供待执行任务接收、确认、拒绝或异常反馈能力，展示任务编号、装卸位置、计划时间、运输要求、推荐路线及补能建议；任务反馈同步更新平台管理端状态。</w:t>
      </w:r>
    </w:p>
    <w:p>
      <w:pPr>
        <w:pStyle w:val="SubLabel"/>
        <w:widowControl/>
      </w:pPr>
      <w:r>
        <w:t>应用场景</w:t>
      </w:r>
    </w:p>
    <w:p>
      <w:pPr>
        <w:widowControl/>
      </w:pPr>
      <w:r>
        <w:t>管理员派单后司机在移动端查看运输任务，确认接收并开始执行；因车辆故障无法执行时提交原因，平台管理员据此安排替代运力。</w:t>
      </w:r>
    </w:p>
    <w:p>
      <w:pPr>
        <w:pStyle w:val="SubLabel"/>
        <w:widowControl/>
      </w:pPr>
      <w:r>
        <w:t>功能目标</w:t>
      </w:r>
    </w:p>
    <w:p>
      <w:pPr>
        <w:widowControl/>
      </w:pPr>
      <w:r>
        <w:t>打通管理端派单与司机端执行的双向反馈链路，保证实际承接情况可见、可查。</w:t>
      </w:r>
    </w:p>
    <w:p>
      <w:pPr>
        <w:pStyle w:val="Heading2"/>
      </w:pPr>
      <w:r>
        <w:t>4.4 运输执行反馈</w:t>
      </w:r>
    </w:p>
    <w:p>
      <w:pPr>
        <w:pStyle w:val="SubLabel"/>
        <w:widowControl/>
      </w:pPr>
      <w:r>
        <w:t>功能说明</w:t>
      </w:r>
    </w:p>
    <w:p>
      <w:pPr>
        <w:widowControl/>
      </w:pPr>
      <w:r>
        <w:t>支持任务开始、到达装货点、完成装货、途中运输、到达卸货点、完成交付等执行事件记录，并可接收定位、车辆状态或人工反馈信息；对计划时间和实际时间进行关联。</w:t>
      </w:r>
    </w:p>
    <w:p>
      <w:pPr>
        <w:pStyle w:val="SubLabel"/>
        <w:widowControl/>
      </w:pPr>
      <w:r>
        <w:t>应用场景</w:t>
      </w:r>
    </w:p>
    <w:p>
      <w:pPr>
        <w:widowControl/>
      </w:pPr>
      <w:r>
        <w:t>司机按运输节点反馈实际状态，系统同步显示运输进度；接入车辆终端时可依据真实定位和事件记录辅助核对进度。</w:t>
      </w:r>
    </w:p>
    <w:p>
      <w:pPr>
        <w:pStyle w:val="SubLabel"/>
        <w:widowControl/>
      </w:pPr>
      <w:r>
        <w:t>功能目标</w:t>
      </w:r>
    </w:p>
    <w:p>
      <w:pPr>
        <w:widowControl/>
      </w:pPr>
      <w:r>
        <w:t>形成可追溯的任务执行时间线，为延误分析、成本核算和推演模型校准提供真实依据。</w:t>
      </w:r>
    </w:p>
    <w:p>
      <w:pPr>
        <w:pStyle w:val="Heading2"/>
      </w:pPr>
      <w:r>
        <w:t>4.5 任务变更与完工确认</w:t>
      </w:r>
    </w:p>
    <w:p>
      <w:pPr>
        <w:pStyle w:val="SubLabel"/>
        <w:widowControl/>
      </w:pPr>
      <w:r>
        <w:t>功能说明</w:t>
      </w:r>
    </w:p>
    <w:p>
      <w:pPr>
        <w:widowControl/>
      </w:pPr>
      <w:r>
        <w:t>支持任务改派、取消、延后、补能计划变更及完工确认等处置，记录变更前后信息、原因和操作主体；对已完成任务归集实际车次、里程、用能、等待时长及相关凭证。</w:t>
      </w:r>
    </w:p>
    <w:p>
      <w:pPr>
        <w:pStyle w:val="SubLabel"/>
        <w:widowControl/>
      </w:pPr>
      <w:r>
        <w:t>应用场景</w:t>
      </w:r>
    </w:p>
    <w:p>
      <w:pPr>
        <w:widowControl/>
      </w:pPr>
      <w:r>
        <w:t>运输途中场站停机或车辆突发故障时，管理员调整任务或补能站点；任务结束后核对运输完成量与执行记录并确认完工。</w:t>
      </w:r>
    </w:p>
    <w:p>
      <w:pPr>
        <w:pStyle w:val="SubLabel"/>
        <w:widowControl/>
      </w:pPr>
      <w:r>
        <w:t>功能目标</w:t>
      </w:r>
    </w:p>
    <w:p>
      <w:pPr>
        <w:widowControl/>
      </w:pPr>
      <w:r>
        <w:t>实现运输任务异常调整与结果归档，保障订单、任务和实际运营数据一致。</w:t>
      </w:r>
    </w:p>
    <w:p>
      <w:pPr>
        <w:pStyle w:val="Heading1"/>
      </w:pPr>
      <w:r>
        <w:t>5 充换电运营管理</w:t>
      </w:r>
    </w:p>
    <w:p>
      <w:pPr>
        <w:widowControl/>
      </w:pPr>
      <w:r>
        <w:t>本模块面向先导期试点充换电站及后续扩展的母站、子站网络，统一掌握站点设施、设备可用性、车辆补能计划和实际补能事件，形成未来需求预测与排队优化能力。</w:t>
      </w:r>
    </w:p>
    <w:p>
      <w:pPr>
        <w:widowControl/>
      </w:pPr>
      <w:r>
        <w:t>本模块共包含6个功能点，包括：充换电场站管理、补能设备状态监测、车辆补能计划管理、未来补能需求预测、补能时序优化、充换电作业记录。</w:t>
      </w:r>
    </w:p>
    <w:p>
      <w:pPr>
        <w:pStyle w:val="Heading2"/>
      </w:pPr>
      <w:r>
        <w:t>5.1 充换电场站管理</w:t>
      </w:r>
    </w:p>
    <w:p>
      <w:pPr>
        <w:pStyle w:val="SubLabel"/>
        <w:widowControl/>
      </w:pPr>
      <w:r>
        <w:t>功能说明</w:t>
      </w:r>
    </w:p>
    <w:p>
      <w:pPr>
        <w:widowControl/>
      </w:pPr>
      <w:r>
        <w:t>支持场站位置、类型、运营主体、服务时间、充换电方式、设备总数、单设备功率、服务车型、配套电池及接入状态等信息管理；站点信息应关联地图和运输路网。</w:t>
      </w:r>
    </w:p>
    <w:p>
      <w:pPr>
        <w:pStyle w:val="SubLabel"/>
        <w:widowControl/>
      </w:pPr>
      <w:r>
        <w:t>应用场景</w:t>
      </w:r>
    </w:p>
    <w:p>
      <w:pPr>
        <w:widowControl/>
      </w:pPr>
      <w:r>
        <w:t>管理员在上线前建立试点场站档案，核对站点服务车型和供电能力；新增站点后可纳入运输方案求解范围。</w:t>
      </w:r>
    </w:p>
    <w:p>
      <w:pPr>
        <w:pStyle w:val="SubLabel"/>
        <w:widowControl/>
      </w:pPr>
      <w:r>
        <w:t>功能目标</w:t>
      </w:r>
    </w:p>
    <w:p>
      <w:pPr>
        <w:widowControl/>
      </w:pPr>
      <w:r>
        <w:t>建立统一的场站资源目录，支撑交通侧查询、补能方案安排及场站规划测算。</w:t>
      </w:r>
    </w:p>
    <w:p>
      <w:pPr>
        <w:pStyle w:val="Heading2"/>
      </w:pPr>
      <w:r>
        <w:t>5.2 补能设备状态监测</w:t>
      </w:r>
    </w:p>
    <w:p>
      <w:pPr>
        <w:pStyle w:val="SubLabel"/>
        <w:widowControl/>
      </w:pPr>
      <w:r>
        <w:t>功能说明</w:t>
      </w:r>
    </w:p>
    <w:p>
      <w:pPr>
        <w:widowControl/>
      </w:pPr>
      <w:r>
        <w:t>采集或维护充电桩、换电工位等设备的空闲、占用、故障、停用等状态和服务能力，记录状态时间戳；数据暂未接入时应明确显示未接入、离线或人工维护状态。</w:t>
      </w:r>
    </w:p>
    <w:p>
      <w:pPr>
        <w:pStyle w:val="SubLabel"/>
        <w:widowControl/>
      </w:pPr>
      <w:r>
        <w:t>应用场景</w:t>
      </w:r>
    </w:p>
    <w:p>
      <w:pPr>
        <w:widowControl/>
      </w:pPr>
      <w:r>
        <w:t>管理员查看某站充电设备实际占用与故障情况，识别设备停用是否影响已经计划到站的车辆。</w:t>
      </w:r>
    </w:p>
    <w:p>
      <w:pPr>
        <w:pStyle w:val="SubLabel"/>
        <w:widowControl/>
      </w:pPr>
      <w:r>
        <w:t>功能目标</w:t>
      </w:r>
    </w:p>
    <w:p>
      <w:pPr>
        <w:widowControl/>
      </w:pPr>
      <w:r>
        <w:t>提高场站服务能力信息的可用性和可信度，为补能时序安排提供实时或准实时约束。</w:t>
      </w:r>
    </w:p>
    <w:p>
      <w:pPr>
        <w:pStyle w:val="Heading2"/>
      </w:pPr>
      <w:r>
        <w:t>5.3 车辆补能计划管理</w:t>
      </w:r>
    </w:p>
    <w:p>
      <w:pPr>
        <w:pStyle w:val="SubLabel"/>
        <w:widowControl/>
      </w:pPr>
      <w:r>
        <w:t>功能说明</w:t>
      </w:r>
    </w:p>
    <w:p>
      <w:pPr>
        <w:widowControl/>
      </w:pPr>
      <w:r>
        <w:t>支持根据运输推演结果形成按车辆、站点、预计到达时刻、补能方式和预计补能量组织的补能计划；对计划时间窗口、车辆任务及场站设备能力进行关联校验。</w:t>
      </w:r>
    </w:p>
    <w:p>
      <w:pPr>
        <w:pStyle w:val="SubLabel"/>
        <w:widowControl/>
      </w:pPr>
      <w:r>
        <w:t>应用场景</w:t>
      </w:r>
    </w:p>
    <w:p>
      <w:pPr>
        <w:widowControl/>
      </w:pPr>
      <w:r>
        <w:t>任务派发时系统同步形成计划补能节点；运输途中到站时间发生偏差后，管理员可重新安排补能时段或替代站点。</w:t>
      </w:r>
    </w:p>
    <w:p>
      <w:pPr>
        <w:pStyle w:val="SubLabel"/>
        <w:widowControl/>
      </w:pPr>
      <w:r>
        <w:t>功能目标</w:t>
      </w:r>
    </w:p>
    <w:p>
      <w:pPr>
        <w:widowControl/>
      </w:pPr>
      <w:r>
        <w:t>使补能计划与运输计划同步生成、同步变更，降低车辆因缺乏能源保障而中断运输的风险。</w:t>
      </w:r>
    </w:p>
    <w:p>
      <w:pPr>
        <w:pStyle w:val="Heading2"/>
      </w:pPr>
      <w:r>
        <w:t>5.4 未来补能需求预测</w:t>
      </w:r>
    </w:p>
    <w:p>
      <w:pPr>
        <w:pStyle w:val="SubLabel"/>
        <w:widowControl/>
      </w:pPr>
      <w:r>
        <w:t>功能说明</w:t>
      </w:r>
    </w:p>
    <w:p>
      <w:pPr>
        <w:widowControl/>
      </w:pPr>
      <w:r>
        <w:t>综合当前设备占用、预计释放时间、未来计划到站车辆、车辆 SOC、预计补能量、补能服务时长及站点功率约束，预测未来数小时分时段补能需求和设备排队风险；支持对预测结果与实际记录进行偏差分析。</w:t>
      </w:r>
    </w:p>
    <w:p>
      <w:pPr>
        <w:pStyle w:val="SubLabel"/>
        <w:widowControl/>
      </w:pPr>
      <w:r>
        <w:t>应用场景</w:t>
      </w:r>
    </w:p>
    <w:p>
      <w:pPr>
        <w:widowControl/>
      </w:pPr>
      <w:r>
        <w:t>管理员查看未来三小时或六小时预计到达试点站的车辆，发现某时段需求超出服务能力后提前调整车辆到站时刻或推荐替代站点。</w:t>
      </w:r>
    </w:p>
    <w:p>
      <w:pPr>
        <w:pStyle w:val="SubLabel"/>
        <w:widowControl/>
      </w:pPr>
      <w:r>
        <w:t>功能目标</w:t>
      </w:r>
    </w:p>
    <w:p>
      <w:pPr>
        <w:widowControl/>
      </w:pPr>
      <w:r>
        <w:t>实现从当前站点状态监控向未来服务能力预测转变，为运输调度与场站运营提供前置决策支撑。</w:t>
      </w:r>
    </w:p>
    <w:p>
      <w:pPr>
        <w:pStyle w:val="Heading2"/>
      </w:pPr>
      <w:r>
        <w:t>5.5 补能时序优化</w:t>
      </w:r>
    </w:p>
    <w:p>
      <w:pPr>
        <w:pStyle w:val="SubLabel"/>
        <w:widowControl/>
      </w:pPr>
      <w:r>
        <w:t>功能说明</w:t>
      </w:r>
    </w:p>
    <w:p>
      <w:pPr>
        <w:widowControl/>
      </w:pPr>
      <w:r>
        <w:t>基于车辆任务时效、预计到站时刻、SOC、安全余量、场站设备能力和预计等待时间，推荐补能先后顺序、时段和站点；当设备故障、车辆延误或负荷限制出现时支持重新计算。</w:t>
      </w:r>
    </w:p>
    <w:p>
      <w:pPr>
        <w:pStyle w:val="SubLabel"/>
        <w:widowControl/>
      </w:pPr>
      <w:r>
        <w:t>应用场景</w:t>
      </w:r>
    </w:p>
    <w:p>
      <w:pPr>
        <w:widowControl/>
      </w:pPr>
      <w:r>
        <w:t>集中到达车辆数量超出换电工位短时服务能力时，平台综合司机任务紧急程度及等待成本生成优化建议。</w:t>
      </w:r>
    </w:p>
    <w:p>
      <w:pPr>
        <w:pStyle w:val="SubLabel"/>
        <w:widowControl/>
      </w:pPr>
      <w:r>
        <w:t>功能目标</w:t>
      </w:r>
    </w:p>
    <w:p>
      <w:pPr>
        <w:widowControl/>
      </w:pPr>
      <w:r>
        <w:t>减少无效排队与补能冲突，提高车辆出勤率和场站服务效率。</w:t>
      </w:r>
    </w:p>
    <w:p>
      <w:pPr>
        <w:pStyle w:val="Heading2"/>
      </w:pPr>
      <w:r>
        <w:t>5.6 充换电作业记录</w:t>
      </w:r>
    </w:p>
    <w:p>
      <w:pPr>
        <w:pStyle w:val="SubLabel"/>
        <w:widowControl/>
      </w:pPr>
      <w:r>
        <w:t>功能说明</w:t>
      </w:r>
    </w:p>
    <w:p>
      <w:pPr>
        <w:widowControl/>
      </w:pPr>
      <w:r>
        <w:t>记录每次补能的车辆、司机、场站、设备、实际开始与结束时间、补能电量或换电电池编号、费用及异常信息；支持与运输任务、能源计量和电池资产建立关联。</w:t>
      </w:r>
    </w:p>
    <w:p>
      <w:pPr>
        <w:pStyle w:val="SubLabel"/>
        <w:widowControl/>
      </w:pPr>
      <w:r>
        <w:t>应用场景</w:t>
      </w:r>
    </w:p>
    <w:p>
      <w:pPr>
        <w:widowControl/>
      </w:pPr>
      <w:r>
        <w:t>车辆完成充电或换电后，站点系统回传作业数据，管理员能够核对计划补能与实际执行差异。</w:t>
      </w:r>
    </w:p>
    <w:p>
      <w:pPr>
        <w:pStyle w:val="SubLabel"/>
        <w:widowControl/>
      </w:pPr>
      <w:r>
        <w:t>功能目标</w:t>
      </w:r>
    </w:p>
    <w:p>
      <w:pPr>
        <w:widowControl/>
      </w:pPr>
      <w:r>
        <w:t>形成站车能关联的补能业务记录，为运营成本、能源负荷与电池循环分析提供基础数据。</w:t>
      </w:r>
    </w:p>
    <w:p>
      <w:pPr>
        <w:pStyle w:val="Heading1"/>
      </w:pPr>
      <w:r>
        <w:t>6 交通能源协同管理</w:t>
      </w:r>
    </w:p>
    <w:p>
      <w:pPr>
        <w:widowControl/>
      </w:pPr>
      <w:r>
        <w:t>本模块落实实施方案提出的“双侧精准调度”和“充放电定制化”要求，衔接运输侧补能需求与能源侧供给能力，围绕站点负荷、电价、绿电和储能资源形成协同计划。实时控制类能力应以能源设备接口、安全策略和授权边界为前提。</w:t>
      </w:r>
    </w:p>
    <w:p>
      <w:pPr>
        <w:widowControl/>
      </w:pPr>
      <w:r>
        <w:t>本模块共包含5个功能点，包括：能源资源数据管理、场站用能负荷监测、分时段负荷预测、充放电策略优化、交能协同计划管理。</w:t>
      </w:r>
    </w:p>
    <w:p>
      <w:pPr>
        <w:pStyle w:val="Heading2"/>
      </w:pPr>
      <w:r>
        <w:t>6.1 能源资源数据管理</w:t>
      </w:r>
    </w:p>
    <w:p>
      <w:pPr>
        <w:pStyle w:val="SubLabel"/>
        <w:widowControl/>
      </w:pPr>
      <w:r>
        <w:t>功能说明</w:t>
      </w:r>
    </w:p>
    <w:p>
      <w:pPr>
        <w:widowControl/>
      </w:pPr>
      <w:r>
        <w:t>支持电网接入容量、场站变压器能力、绿电来源、光伏或风电出力、储能设施及充换电负荷等资源信息统一登记与数据接入，记录数据来源、更新时间和有效状态。</w:t>
      </w:r>
    </w:p>
    <w:p>
      <w:pPr>
        <w:pStyle w:val="SubLabel"/>
        <w:widowControl/>
      </w:pPr>
      <w:r>
        <w:t>应用场景</w:t>
      </w:r>
    </w:p>
    <w:p>
      <w:pPr>
        <w:widowControl/>
      </w:pPr>
      <w:r>
        <w:t>平台接入试点站电表及能源管理系统后，管理员可核对站点供电限制与实际补能需求是否匹配。</w:t>
      </w:r>
    </w:p>
    <w:p>
      <w:pPr>
        <w:pStyle w:val="SubLabel"/>
        <w:widowControl/>
      </w:pPr>
      <w:r>
        <w:t>功能目标</w:t>
      </w:r>
    </w:p>
    <w:p>
      <w:pPr>
        <w:widowControl/>
      </w:pPr>
      <w:r>
        <w:t>构建交通能源双侧协同所需的基础数据体系，为负荷预测和能源优化提供边界条件。</w:t>
      </w:r>
    </w:p>
    <w:p>
      <w:pPr>
        <w:pStyle w:val="Heading2"/>
      </w:pPr>
      <w:r>
        <w:t>6.2 场站用能负荷监测</w:t>
      </w:r>
    </w:p>
    <w:p>
      <w:pPr>
        <w:pStyle w:val="SubLabel"/>
        <w:widowControl/>
      </w:pPr>
      <w:r>
        <w:t>功能说明</w:t>
      </w:r>
    </w:p>
    <w:p>
      <w:pPr>
        <w:widowControl/>
      </w:pPr>
      <w:r>
        <w:t>采集站点当前总功率、分设备功率、历史用电曲线及负荷峰值，支持按场站、时段和来源维度统计；在数据中断时提示采集异常并停止以旧数据冒充实时值。</w:t>
      </w:r>
    </w:p>
    <w:p>
      <w:pPr>
        <w:pStyle w:val="SubLabel"/>
        <w:widowControl/>
      </w:pPr>
      <w:r>
        <w:t>应用场景</w:t>
      </w:r>
    </w:p>
    <w:p>
      <w:pPr>
        <w:widowControl/>
      </w:pPr>
      <w:r>
        <w:t>运行人员发现试点站用电功率接近接入上限，及时分析当前补能车辆数和设备负荷分布。</w:t>
      </w:r>
    </w:p>
    <w:p>
      <w:pPr>
        <w:pStyle w:val="SubLabel"/>
        <w:widowControl/>
      </w:pPr>
      <w:r>
        <w:t>功能目标</w:t>
      </w:r>
    </w:p>
    <w:p>
      <w:pPr>
        <w:widowControl/>
      </w:pPr>
      <w:r>
        <w:t>实现充换电运营与电力负荷的可视化关联，为超限预警和能源协调提供依据。</w:t>
      </w:r>
    </w:p>
    <w:p>
      <w:pPr>
        <w:pStyle w:val="Heading2"/>
      </w:pPr>
      <w:r>
        <w:t>6.3 分时段负荷预测</w:t>
      </w:r>
    </w:p>
    <w:p>
      <w:pPr>
        <w:pStyle w:val="SubLabel"/>
        <w:widowControl/>
      </w:pPr>
      <w:r>
        <w:t>功能说明</w:t>
      </w:r>
    </w:p>
    <w:p>
      <w:pPr>
        <w:widowControl/>
      </w:pPr>
      <w:r>
        <w:t>依据未来计划到站车辆、预计补能量、设备额定功率、历史负荷及能源限制，预测场站未来分时段负荷；支持预测区间、影响因素及实际偏差记录。</w:t>
      </w:r>
    </w:p>
    <w:p>
      <w:pPr>
        <w:pStyle w:val="SubLabel"/>
        <w:widowControl/>
      </w:pPr>
      <w:r>
        <w:t>应用场景</w:t>
      </w:r>
    </w:p>
    <w:p>
      <w:pPr>
        <w:widowControl/>
      </w:pPr>
      <w:r>
        <w:t>平台根据未来两小时运输任务测算某站电网需求峰值，提前提示场站供电能力不足的潜在风险。</w:t>
      </w:r>
    </w:p>
    <w:p>
      <w:pPr>
        <w:pStyle w:val="SubLabel"/>
        <w:widowControl/>
      </w:pPr>
      <w:r>
        <w:t>功能目标</w:t>
      </w:r>
    </w:p>
    <w:p>
      <w:pPr>
        <w:widowControl/>
      </w:pPr>
      <w:r>
        <w:t>把运输计划转换为可用于能源侧调度的时序用能需求，提高供能计划的前瞻性。</w:t>
      </w:r>
    </w:p>
    <w:p>
      <w:pPr>
        <w:pStyle w:val="Heading2"/>
      </w:pPr>
      <w:r>
        <w:t>6.4 充放电策略优化</w:t>
      </w:r>
    </w:p>
    <w:p>
      <w:pPr>
        <w:pStyle w:val="SubLabel"/>
        <w:widowControl/>
      </w:pPr>
      <w:r>
        <w:t>功能说明</w:t>
      </w:r>
    </w:p>
    <w:p>
      <w:pPr>
        <w:widowControl/>
      </w:pPr>
      <w:r>
        <w:t>结合峰谷分时电价、储能荷电状态、站点负荷与供电边界，测算充电时段调整、储能充放电和绿电优先利用等可选策略；未经安全验证和操作授权时只提供辅助决策建议。</w:t>
      </w:r>
    </w:p>
    <w:p>
      <w:pPr>
        <w:pStyle w:val="SubLabel"/>
        <w:widowControl/>
      </w:pPr>
      <w:r>
        <w:t>应用场景</w:t>
      </w:r>
    </w:p>
    <w:p>
      <w:pPr>
        <w:widowControl/>
      </w:pPr>
      <w:r>
        <w:t>在谷段电价较低但车辆集中补能的情况下，平台比较错峰充电与储能协同方案的成本和供能可行性。</w:t>
      </w:r>
    </w:p>
    <w:p>
      <w:pPr>
        <w:pStyle w:val="SubLabel"/>
        <w:widowControl/>
      </w:pPr>
      <w:r>
        <w:t>功能目标</w:t>
      </w:r>
    </w:p>
    <w:p>
      <w:pPr>
        <w:widowControl/>
      </w:pPr>
      <w:r>
        <w:t>降低综合用电成本并平抑负荷波动，支持后续条件成熟时接入受控执行流程。</w:t>
      </w:r>
    </w:p>
    <w:p>
      <w:pPr>
        <w:pStyle w:val="Heading2"/>
      </w:pPr>
      <w:r>
        <w:t>6.5 交能协同计划管理</w:t>
      </w:r>
    </w:p>
    <w:p>
      <w:pPr>
        <w:pStyle w:val="SubLabel"/>
        <w:widowControl/>
      </w:pPr>
      <w:r>
        <w:t>功能说明</w:t>
      </w:r>
    </w:p>
    <w:p>
      <w:pPr>
        <w:widowControl/>
      </w:pPr>
      <w:r>
        <w:t>形成运输侧补能需求、站点服务能力、电网约束、储能与绿电供给之间的协同计划，支持计划生成、版本比较、人工确认、变更和执行反馈，并保留采用的能源边界条件。</w:t>
      </w:r>
    </w:p>
    <w:p>
      <w:pPr>
        <w:pStyle w:val="SubLabel"/>
        <w:widowControl/>
      </w:pPr>
      <w:r>
        <w:t>应用场景</w:t>
      </w:r>
    </w:p>
    <w:p>
      <w:pPr>
        <w:widowControl/>
      </w:pPr>
      <w:r>
        <w:t>试点场站新增一批车辆运输计划后，系统提示峰值负荷超出当前可用能力，管理员协调修改到站时序并重新确认计划。</w:t>
      </w:r>
    </w:p>
    <w:p>
      <w:pPr>
        <w:pStyle w:val="SubLabel"/>
        <w:widowControl/>
      </w:pPr>
      <w:r>
        <w:t>功能目标</w:t>
      </w:r>
    </w:p>
    <w:p>
      <w:pPr>
        <w:widowControl/>
      </w:pPr>
      <w:r>
        <w:t>促进车辆调度、补能服务和能源供给之间的计划一致性，形成可审查的协同决策闭环。</w:t>
      </w:r>
    </w:p>
    <w:p>
      <w:pPr>
        <w:pStyle w:val="Heading1"/>
      </w:pPr>
      <w:r>
        <w:t>7 场站智能布局与资源规划</w:t>
      </w:r>
    </w:p>
    <w:p>
      <w:pPr>
        <w:widowControl/>
      </w:pPr>
      <w:r>
        <w:t>本模块面向实施方案提出的“以真实流量指导站点分级建设、以归集运力指导车辆投放、以补能数据优化电池配比”等要求，提供布局测算和资源规划能力。规划结果属于决策辅助建议，不替代法定审批、工程可研或电网接入评估。</w:t>
      </w:r>
    </w:p>
    <w:p>
      <w:pPr>
        <w:widowControl/>
      </w:pPr>
      <w:r>
        <w:t>本模块共包含5个功能点，包括：运输需求与交通流量分析、候选场站选址分析、站点等级与容量测算、车辆及电池投放测算、布局方案比选与成果管理。</w:t>
      </w:r>
    </w:p>
    <w:p>
      <w:pPr>
        <w:pStyle w:val="Heading2"/>
      </w:pPr>
      <w:r>
        <w:t>7.1 运输需求与交通流量分析</w:t>
      </w:r>
    </w:p>
    <w:p>
      <w:pPr>
        <w:pStyle w:val="SubLabel"/>
        <w:widowControl/>
      </w:pPr>
      <w:r>
        <w:t>功能说明</w:t>
      </w:r>
    </w:p>
    <w:p>
      <w:pPr>
        <w:widowControl/>
      </w:pPr>
      <w:r>
        <w:t>汇集重点矿区、工业园区、主要运输路线、订单起讫地、车辆轨迹及运输量，识别高频运输走廊、潜在补能节点和分时段出行规律；区分实际观测与推算结果。</w:t>
      </w:r>
    </w:p>
    <w:p>
      <w:pPr>
        <w:pStyle w:val="SubLabel"/>
        <w:widowControl/>
      </w:pPr>
      <w:r>
        <w:t>应用场景</w:t>
      </w:r>
    </w:p>
    <w:p>
      <w:pPr>
        <w:widowControl/>
      </w:pPr>
      <w:r>
        <w:t>规划人员分析煤炭短倒车辆的主要运行走廊和返程路径，判断现有场站服务覆盖与需求缺口。</w:t>
      </w:r>
    </w:p>
    <w:p>
      <w:pPr>
        <w:pStyle w:val="SubLabel"/>
        <w:widowControl/>
      </w:pPr>
      <w:r>
        <w:t>功能目标</w:t>
      </w:r>
    </w:p>
    <w:p>
      <w:pPr>
        <w:widowControl/>
      </w:pPr>
      <w:r>
        <w:t>形成面向充换电站规划的实际交通需求基础，避免仅凭经验确定站点位置。</w:t>
      </w:r>
    </w:p>
    <w:p>
      <w:pPr>
        <w:pStyle w:val="Heading2"/>
      </w:pPr>
      <w:r>
        <w:t>7.2 候选场站选址分析</w:t>
      </w:r>
    </w:p>
    <w:p>
      <w:pPr>
        <w:pStyle w:val="SubLabel"/>
        <w:widowControl/>
      </w:pPr>
      <w:r>
        <w:t>功能说明</w:t>
      </w:r>
    </w:p>
    <w:p>
      <w:pPr>
        <w:widowControl/>
      </w:pPr>
      <w:r>
        <w:t>支持结合矿区路网、重点物流节点、车辆续航、既有场站、潜在接电条件与用地限制，对候选位置开展服务半径、覆盖效率、通行绕行及需求规模分析。</w:t>
      </w:r>
    </w:p>
    <w:p>
      <w:pPr>
        <w:pStyle w:val="SubLabel"/>
        <w:widowControl/>
      </w:pPr>
      <w:r>
        <w:t>应用场景</w:t>
      </w:r>
    </w:p>
    <w:p>
      <w:pPr>
        <w:widowControl/>
      </w:pPr>
      <w:r>
        <w:t>管理员选择若干待评估地块，平台比较候选点对主要运输线路的覆盖程度和预计车流分流效果。</w:t>
      </w:r>
    </w:p>
    <w:p>
      <w:pPr>
        <w:pStyle w:val="SubLabel"/>
        <w:widowControl/>
      </w:pPr>
      <w:r>
        <w:t>功能目标</w:t>
      </w:r>
    </w:p>
    <w:p>
      <w:pPr>
        <w:widowControl/>
      </w:pPr>
      <w:r>
        <w:t>为站点布局筛选提供可量化依据，识别需要进一步核查的选址约束。</w:t>
      </w:r>
    </w:p>
    <w:p>
      <w:pPr>
        <w:pStyle w:val="Heading2"/>
      </w:pPr>
      <w:r>
        <w:t>7.3 站点等级与容量测算</w:t>
      </w:r>
    </w:p>
    <w:p>
      <w:pPr>
        <w:pStyle w:val="SubLabel"/>
        <w:widowControl/>
      </w:pPr>
      <w:r>
        <w:t>功能说明</w:t>
      </w:r>
    </w:p>
    <w:p>
      <w:pPr>
        <w:widowControl/>
      </w:pPr>
      <w:r>
        <w:t>依据预测到站车次、补能服务时长、峰值需求、设备可用率及电网可供能力，测算充换电设备规模、站点服务容量和需求峰谷分布；保留计算口径及假设条件。</w:t>
      </w:r>
    </w:p>
    <w:p>
      <w:pPr>
        <w:pStyle w:val="SubLabel"/>
        <w:widowControl/>
      </w:pPr>
      <w:r>
        <w:t>应用场景</w:t>
      </w:r>
    </w:p>
    <w:p>
      <w:pPr>
        <w:widowControl/>
      </w:pPr>
      <w:r>
        <w:t>某矿区运输规模预计扩大后，规划人员比较不同充电设备数量或换电工位配置下的等待时间和利用率。</w:t>
      </w:r>
    </w:p>
    <w:p>
      <w:pPr>
        <w:pStyle w:val="SubLabel"/>
        <w:widowControl/>
      </w:pPr>
      <w:r>
        <w:t>功能目标</w:t>
      </w:r>
    </w:p>
    <w:p>
      <w:pPr>
        <w:widowControl/>
      </w:pPr>
      <w:r>
        <w:t>支持站点分级建设与容量配置决策，减少过度建设或服务能力不足。</w:t>
      </w:r>
    </w:p>
    <w:p>
      <w:pPr>
        <w:pStyle w:val="Heading2"/>
      </w:pPr>
      <w:r>
        <w:t>7.4 车辆及电池投放测算</w:t>
      </w:r>
    </w:p>
    <w:p>
      <w:pPr>
        <w:pStyle w:val="SubLabel"/>
        <w:widowControl/>
      </w:pPr>
      <w:r>
        <w:t>功能说明</w:t>
      </w:r>
    </w:p>
    <w:p>
      <w:pPr>
        <w:widowControl/>
      </w:pPr>
      <w:r>
        <w:t>依据实际订单规模、运输里程、单车周转效率、充换电服务水平、车辆 SOC 与电池循环情况，估算适配的车辆和电池规模；可按阶段对规划数值进行滚动修正。</w:t>
      </w:r>
    </w:p>
    <w:p>
      <w:pPr>
        <w:pStyle w:val="SubLabel"/>
        <w:widowControl/>
      </w:pPr>
      <w:r>
        <w:t>应用场景</w:t>
      </w:r>
    </w:p>
    <w:p>
      <w:pPr>
        <w:widowControl/>
      </w:pPr>
      <w:r>
        <w:t>规划人员依据试点期订单与周转记录，测算新增运输线路所需的电动重卡数量及配套换电电池配置。</w:t>
      </w:r>
    </w:p>
    <w:p>
      <w:pPr>
        <w:pStyle w:val="SubLabel"/>
        <w:widowControl/>
      </w:pPr>
      <w:r>
        <w:t>功能目标</w:t>
      </w:r>
    </w:p>
    <w:p>
      <w:pPr>
        <w:widowControl/>
      </w:pPr>
      <w:r>
        <w:t>用实际运营数据支持运力、电池及能源设施的协同投放，为后续重资产投资提供业务测算依据。</w:t>
      </w:r>
    </w:p>
    <w:p>
      <w:pPr>
        <w:pStyle w:val="Heading2"/>
      </w:pPr>
      <w:r>
        <w:t>7.5 布局方案比选与成果管理</w:t>
      </w:r>
    </w:p>
    <w:p>
      <w:pPr>
        <w:pStyle w:val="SubLabel"/>
        <w:widowControl/>
      </w:pPr>
      <w:r>
        <w:t>功能说明</w:t>
      </w:r>
    </w:p>
    <w:p>
      <w:pPr>
        <w:widowControl/>
      </w:pPr>
      <w:r>
        <w:t>支持对多个站点网络布局或不同建设时序下的覆盖率、预计服务能力、车辆绕行、排队风险、能源约束及测算成本进行综合比选，并管理方案版本和评价依据。</w:t>
      </w:r>
    </w:p>
    <w:p>
      <w:pPr>
        <w:pStyle w:val="SubLabel"/>
        <w:widowControl/>
      </w:pPr>
      <w:r>
        <w:t>应用场景</w:t>
      </w:r>
    </w:p>
    <w:p>
      <w:pPr>
        <w:widowControl/>
      </w:pPr>
      <w:r>
        <w:t>项目推进过程中对比“优先建设矿区附近站点”与“优先覆盖干线节点”等方案，形成供决策审查的测算结果。</w:t>
      </w:r>
    </w:p>
    <w:p>
      <w:pPr>
        <w:pStyle w:val="SubLabel"/>
        <w:widowControl/>
      </w:pPr>
      <w:r>
        <w:t>功能目标</w:t>
      </w:r>
    </w:p>
    <w:p>
      <w:pPr>
        <w:widowControl/>
      </w:pPr>
      <w:r>
        <w:t>为站点选址、建设顺序及资源配置提供统一可追溯的比选依据。</w:t>
      </w:r>
    </w:p>
    <w:p>
      <w:pPr>
        <w:pStyle w:val="Heading1"/>
      </w:pPr>
      <w:r>
        <w:t>8 运行监测与安全保障</w:t>
      </w:r>
    </w:p>
    <w:p>
      <w:pPr>
        <w:widowControl/>
      </w:pPr>
      <w:r>
        <w:t>本模块支撑车辆、运输任务、补能站及关键能源设施运行的统一监测和异常闭环管理，为运输组织、场站运营及安全保障提供运行态势、预警线索和事件处置记录。</w:t>
      </w:r>
    </w:p>
    <w:p>
      <w:pPr>
        <w:widowControl/>
      </w:pPr>
      <w:r>
        <w:t>本模块共包含6个功能点，包括：综合运营态势、车辆实时运行监测、运输轨迹与过程回溯、场站运行状态监测、异常识别与分级预警、预警处置与应急协同。</w:t>
      </w:r>
    </w:p>
    <w:p>
      <w:pPr>
        <w:pStyle w:val="Heading2"/>
      </w:pPr>
      <w:r>
        <w:t>8.1 综合运营态势</w:t>
      </w:r>
    </w:p>
    <w:p>
      <w:pPr>
        <w:pStyle w:val="SubLabel"/>
        <w:widowControl/>
      </w:pPr>
      <w:r>
        <w:t>功能说明</w:t>
      </w:r>
    </w:p>
    <w:p>
      <w:pPr>
        <w:widowControl/>
      </w:pPr>
      <w:r>
        <w:t>汇集运输订单执行量、在途车辆、计划与实际补能车次、场站服务状态、用电负荷、预警事件等信息，形成交通与能源协同运行的总体视图，并支持按时间、场站和业务对象追溯。</w:t>
      </w:r>
    </w:p>
    <w:p>
      <w:pPr>
        <w:pStyle w:val="SubLabel"/>
        <w:widowControl/>
      </w:pPr>
      <w:r>
        <w:t>应用场景</w:t>
      </w:r>
    </w:p>
    <w:p>
      <w:pPr>
        <w:widowControl/>
      </w:pPr>
      <w:r>
        <w:t>管理员每日核查试点运输任务、车辆运行与场站能源保障总体状态，快速定位异常业务对象。</w:t>
      </w:r>
    </w:p>
    <w:p>
      <w:pPr>
        <w:pStyle w:val="SubLabel"/>
        <w:widowControl/>
      </w:pPr>
      <w:r>
        <w:t>功能目标</w:t>
      </w:r>
    </w:p>
    <w:p>
      <w:pPr>
        <w:widowControl/>
      </w:pPr>
      <w:r>
        <w:t>实现平台运行信息集中汇聚，为日常调度与管理决策提供整体态势。</w:t>
      </w:r>
    </w:p>
    <w:p>
      <w:pPr>
        <w:pStyle w:val="Heading2"/>
      </w:pPr>
      <w:r>
        <w:t>8.2 车辆实时运行监测</w:t>
      </w:r>
    </w:p>
    <w:p>
      <w:pPr>
        <w:pStyle w:val="SubLabel"/>
        <w:widowControl/>
      </w:pPr>
      <w:r>
        <w:t>功能说明</w:t>
      </w:r>
    </w:p>
    <w:p>
      <w:pPr>
        <w:widowControl/>
      </w:pPr>
      <w:r>
        <w:t>对接车辆定位与基础车况数据，展示车辆位置、行驶状态、SOC 和任务关联信息；支持对离线、数据延迟及定位异常状态做明显标识，不把未接入数据解释为实时状态。</w:t>
      </w:r>
    </w:p>
    <w:p>
      <w:pPr>
        <w:pStyle w:val="SubLabel"/>
        <w:widowControl/>
      </w:pPr>
      <w:r>
        <w:t>应用场景</w:t>
      </w:r>
    </w:p>
    <w:p>
      <w:pPr>
        <w:widowControl/>
      </w:pPr>
      <w:r>
        <w:t>管理员跟进重点煤炭运输任务，查看车辆实际位置、剩余电量及是否按计划驶向装卸点或补能站。</w:t>
      </w:r>
    </w:p>
    <w:p>
      <w:pPr>
        <w:pStyle w:val="SubLabel"/>
        <w:widowControl/>
      </w:pPr>
      <w:r>
        <w:t>功能目标</w:t>
      </w:r>
    </w:p>
    <w:p>
      <w:pPr>
        <w:widowControl/>
      </w:pPr>
      <w:r>
        <w:t>提高车辆在途可视性，支撑运输过程干预和补能风险提前识别。</w:t>
      </w:r>
    </w:p>
    <w:p>
      <w:pPr>
        <w:pStyle w:val="Heading2"/>
      </w:pPr>
      <w:r>
        <w:t>8.3 运输轨迹与过程回溯</w:t>
      </w:r>
    </w:p>
    <w:p>
      <w:pPr>
        <w:pStyle w:val="SubLabel"/>
        <w:widowControl/>
      </w:pPr>
      <w:r>
        <w:t>功能说明</w:t>
      </w:r>
    </w:p>
    <w:p>
      <w:pPr>
        <w:widowControl/>
      </w:pPr>
      <w:r>
        <w:t>支持按车辆、运输任务及时间范围检索历史轨迹和运输事件，关联装卸、补能、异常和司机反馈信息，形成可回溯的完整执行过程。</w:t>
      </w:r>
    </w:p>
    <w:p>
      <w:pPr>
        <w:pStyle w:val="SubLabel"/>
        <w:widowControl/>
      </w:pPr>
      <w:r>
        <w:t>应用场景</w:t>
      </w:r>
    </w:p>
    <w:p>
      <w:pPr>
        <w:widowControl/>
      </w:pPr>
      <w:r>
        <w:t>任务出现超时或充电排队争议后，管理员调取车辆轨迹和实际补能记录，分析延误发生节点。</w:t>
      </w:r>
    </w:p>
    <w:p>
      <w:pPr>
        <w:pStyle w:val="SubLabel"/>
        <w:widowControl/>
      </w:pPr>
      <w:r>
        <w:t>功能目标</w:t>
      </w:r>
    </w:p>
    <w:p>
      <w:pPr>
        <w:widowControl/>
      </w:pPr>
      <w:r>
        <w:t>形成运输全过程留痕机制，为业务复盘、安全分析及算法校准提供依据。</w:t>
      </w:r>
    </w:p>
    <w:p>
      <w:pPr>
        <w:pStyle w:val="Heading2"/>
      </w:pPr>
      <w:r>
        <w:t>8.4 场站运行状态监测</w:t>
      </w:r>
    </w:p>
    <w:p>
      <w:pPr>
        <w:pStyle w:val="SubLabel"/>
        <w:widowControl/>
      </w:pPr>
      <w:r>
        <w:t>功能说明</w:t>
      </w:r>
    </w:p>
    <w:p>
      <w:pPr>
        <w:widowControl/>
      </w:pPr>
      <w:r>
        <w:t>对场站在线情况、设备占用、故障、可服务车次、当前负荷及预计到站需求进行统一监测，并关联未来供需冲突提示。</w:t>
      </w:r>
    </w:p>
    <w:p>
      <w:pPr>
        <w:pStyle w:val="SubLabel"/>
        <w:widowControl/>
      </w:pPr>
      <w:r>
        <w:t>应用场景</w:t>
      </w:r>
    </w:p>
    <w:p>
      <w:pPr>
        <w:widowControl/>
      </w:pPr>
      <w:r>
        <w:t>某试点场站发生设备离线后，平台同步识别已安排前往该站的车辆及可能受影响的补能计划。</w:t>
      </w:r>
    </w:p>
    <w:p>
      <w:pPr>
        <w:pStyle w:val="SubLabel"/>
        <w:widowControl/>
      </w:pPr>
      <w:r>
        <w:t>功能目标</w:t>
      </w:r>
    </w:p>
    <w:p>
      <w:pPr>
        <w:widowControl/>
      </w:pPr>
      <w:r>
        <w:t>提高充换电保障能力可见性，支撑场站运营与运输侧快速协同。</w:t>
      </w:r>
    </w:p>
    <w:p>
      <w:pPr>
        <w:pStyle w:val="Heading2"/>
      </w:pPr>
      <w:r>
        <w:t>8.5 异常识别与分级预警</w:t>
      </w:r>
    </w:p>
    <w:p>
      <w:pPr>
        <w:pStyle w:val="SubLabel"/>
        <w:widowControl/>
      </w:pPr>
      <w:r>
        <w:t>功能说明</w:t>
      </w:r>
    </w:p>
    <w:p>
      <w:pPr>
        <w:widowControl/>
      </w:pPr>
      <w:r>
        <w:t>围绕车辆低电量、路线异常、运行延误、站点排队、设备故障、负荷超限和数据接入中断等场景设置预警规则，记录触发阈值、对象、时间、等级与处置状态。</w:t>
      </w:r>
    </w:p>
    <w:p>
      <w:pPr>
        <w:pStyle w:val="SubLabel"/>
        <w:widowControl/>
      </w:pPr>
      <w:r>
        <w:t>应用场景</w:t>
      </w:r>
    </w:p>
    <w:p>
      <w:pPr>
        <w:widowControl/>
      </w:pPr>
      <w:r>
        <w:t>车辆预计到站 SOC 低于安全余量，或计划补能需求高于站点可用能力时，系统生成预警并关联受影响任务。</w:t>
      </w:r>
    </w:p>
    <w:p>
      <w:pPr>
        <w:pStyle w:val="SubLabel"/>
        <w:widowControl/>
      </w:pPr>
      <w:r>
        <w:t>功能目标</w:t>
      </w:r>
    </w:p>
    <w:p>
      <w:pPr>
        <w:widowControl/>
      </w:pPr>
      <w:r>
        <w:t>实现交通和能源风险的统一识别与前置提示，为及时处置提供依据。</w:t>
      </w:r>
    </w:p>
    <w:p>
      <w:pPr>
        <w:pStyle w:val="Heading2"/>
      </w:pPr>
      <w:r>
        <w:t>8.6 预警处置与应急协同</w:t>
      </w:r>
    </w:p>
    <w:p>
      <w:pPr>
        <w:pStyle w:val="SubLabel"/>
        <w:widowControl/>
      </w:pPr>
      <w:r>
        <w:t>功能说明</w:t>
      </w:r>
    </w:p>
    <w:p>
      <w:pPr>
        <w:widowControl/>
      </w:pPr>
      <w:r>
        <w:t>支持预警受理、指派、处理记录、处置结果确认和关闭归档；对车辆故障、停运及需要救援的情况记录位置、联系人、处置措施和关联任务。</w:t>
      </w:r>
    </w:p>
    <w:p>
      <w:pPr>
        <w:pStyle w:val="SubLabel"/>
        <w:widowControl/>
      </w:pPr>
      <w:r>
        <w:t>应用场景</w:t>
      </w:r>
    </w:p>
    <w:p>
      <w:pPr>
        <w:widowControl/>
      </w:pPr>
      <w:r>
        <w:t>司机上报途中故障后，管理员关联车辆与运输任务，安排替代运力或救援，并跟踪处置直至恢复或结束。</w:t>
      </w:r>
    </w:p>
    <w:p>
      <w:pPr>
        <w:pStyle w:val="SubLabel"/>
        <w:widowControl/>
      </w:pPr>
      <w:r>
        <w:t>功能目标</w:t>
      </w:r>
    </w:p>
    <w:p>
      <w:pPr>
        <w:widowControl/>
      </w:pPr>
      <w:r>
        <w:t>形成异常事件从发现到处置的闭环，提高运输安全保障和应急响应的可追溯性。</w:t>
      </w:r>
    </w:p>
    <w:p>
      <w:pPr>
        <w:pStyle w:val="Heading1"/>
      </w:pPr>
      <w:r>
        <w:t>9 成本管控与综合运营管理</w:t>
      </w:r>
    </w:p>
    <w:p>
      <w:pPr>
        <w:widowControl/>
      </w:pPr>
      <w:r>
        <w:t>本模块落实实施方案中购车、租赁、用电、维保、运输等全链路成本测算，以及车辆置换、个体运输户合作、车电分离和资产管理等运营要求，实现以实际记录为依据的运营管理与成本优化。</w:t>
      </w:r>
    </w:p>
    <w:p>
      <w:pPr>
        <w:widowControl/>
      </w:pPr>
      <w:r>
        <w:t>本模块共包含5个功能点，包括：运输成本测算、能源费用与补能成本管理、车辆与电池资产管理、车辆置换与合作运力管理、运营分析与报表。</w:t>
      </w:r>
    </w:p>
    <w:p>
      <w:pPr>
        <w:pStyle w:val="Heading2"/>
      </w:pPr>
      <w:r>
        <w:t>9.1 运输成本测算</w:t>
      </w:r>
    </w:p>
    <w:p>
      <w:pPr>
        <w:pStyle w:val="SubLabel"/>
        <w:widowControl/>
      </w:pPr>
      <w:r>
        <w:t>功能说明</w:t>
      </w:r>
    </w:p>
    <w:p>
      <w:pPr>
        <w:widowControl/>
      </w:pPr>
      <w:r>
        <w:t>支持根据运输里程、车辆能耗、补能电费、司机与车辆运营费用、装卸等待及其他已确认费用规则，测算任务预计成本和实际成本，区分测算值与已发生支出。</w:t>
      </w:r>
    </w:p>
    <w:p>
      <w:pPr>
        <w:pStyle w:val="SubLabel"/>
        <w:widowControl/>
      </w:pPr>
      <w:r>
        <w:t>应用场景</w:t>
      </w:r>
    </w:p>
    <w:p>
      <w:pPr>
        <w:widowControl/>
      </w:pPr>
      <w:r>
        <w:t>管理员比较同一订单采用不同车辆数量、路线和补能安排时的综合成本，并在完工后核对成本差异。</w:t>
      </w:r>
    </w:p>
    <w:p>
      <w:pPr>
        <w:pStyle w:val="SubLabel"/>
        <w:widowControl/>
      </w:pPr>
      <w:r>
        <w:t>功能目标</w:t>
      </w:r>
    </w:p>
    <w:p>
      <w:pPr>
        <w:widowControl/>
      </w:pPr>
      <w:r>
        <w:t>提供以订单和任务为对象的透明成本依据，支持运输组织方案经济性评估。</w:t>
      </w:r>
    </w:p>
    <w:p>
      <w:pPr>
        <w:pStyle w:val="Heading2"/>
      </w:pPr>
      <w:r>
        <w:t>9.2 能源费用与补能成本管理</w:t>
      </w:r>
    </w:p>
    <w:p>
      <w:pPr>
        <w:pStyle w:val="SubLabel"/>
        <w:widowControl/>
      </w:pPr>
      <w:r>
        <w:t>功能说明</w:t>
      </w:r>
    </w:p>
    <w:p>
      <w:pPr>
        <w:widowControl/>
      </w:pPr>
      <w:r>
        <w:t>关联分时电价、站点服务费、实际补能电量、储能使用及可获得的绿电供应数据，对单车、单站和运输任务的补能费用进行统计与分析。</w:t>
      </w:r>
    </w:p>
    <w:p>
      <w:pPr>
        <w:pStyle w:val="SubLabel"/>
        <w:widowControl/>
      </w:pPr>
      <w:r>
        <w:t>应用场景</w:t>
      </w:r>
    </w:p>
    <w:p>
      <w:pPr>
        <w:widowControl/>
      </w:pPr>
      <w:r>
        <w:t>场站分时电价调整后，管理员复核补能策略及任务预计费用；月度汇总不同站点的单车补能成本。</w:t>
      </w:r>
    </w:p>
    <w:p>
      <w:pPr>
        <w:pStyle w:val="SubLabel"/>
        <w:widowControl/>
      </w:pPr>
      <w:r>
        <w:t>功能目标</w:t>
      </w:r>
    </w:p>
    <w:p>
      <w:pPr>
        <w:widowControl/>
      </w:pPr>
      <w:r>
        <w:t>提升用能成本透明度，为峰谷优化和场站运营提供依据。</w:t>
      </w:r>
    </w:p>
    <w:p>
      <w:pPr>
        <w:pStyle w:val="Heading2"/>
      </w:pPr>
      <w:r>
        <w:t>9.3 车辆与电池资产管理</w:t>
      </w:r>
    </w:p>
    <w:p>
      <w:pPr>
        <w:pStyle w:val="SubLabel"/>
        <w:widowControl/>
      </w:pPr>
      <w:r>
        <w:t>功能说明</w:t>
      </w:r>
    </w:p>
    <w:p>
      <w:pPr>
        <w:widowControl/>
      </w:pPr>
      <w:r>
        <w:t>管理车辆及电池的基础档案、持有或租赁属性、状态、投运时间、维保记录及关联关系；对适用的换电模式支持电池出入站和装卸更换记录。</w:t>
      </w:r>
    </w:p>
    <w:p>
      <w:pPr>
        <w:pStyle w:val="SubLabel"/>
        <w:widowControl/>
      </w:pPr>
      <w:r>
        <w:t>应用场景</w:t>
      </w:r>
    </w:p>
    <w:p>
      <w:pPr>
        <w:widowControl/>
      </w:pPr>
      <w:r>
        <w:t>电池银行管理试点电池资产与车辆配套情况，平台记录电池使用状态，辅助判断库存和周转需求。</w:t>
      </w:r>
    </w:p>
    <w:p>
      <w:pPr>
        <w:pStyle w:val="SubLabel"/>
        <w:widowControl/>
      </w:pPr>
      <w:r>
        <w:t>功能目标</w:t>
      </w:r>
    </w:p>
    <w:p>
      <w:pPr>
        <w:widowControl/>
      </w:pPr>
      <w:r>
        <w:t>形成车、电、站资产的统一底账，为车电分离运营、维护及投放分析提供数据支撑。</w:t>
      </w:r>
    </w:p>
    <w:p>
      <w:pPr>
        <w:pStyle w:val="Heading2"/>
      </w:pPr>
      <w:r>
        <w:t>9.4 车辆置换与合作运力管理</w:t>
      </w:r>
    </w:p>
    <w:p>
      <w:pPr>
        <w:pStyle w:val="SubLabel"/>
        <w:widowControl/>
      </w:pPr>
      <w:r>
        <w:t>功能说明</w:t>
      </w:r>
    </w:p>
    <w:p>
      <w:pPr>
        <w:widowControl/>
      </w:pPr>
      <w:r>
        <w:t>支持燃油重卡置换计划、置换实施记录、车辆投运状态及合作车队、个体运输户、挂靠关系等资料维护，关联可核验的业务证明和运营记录。</w:t>
      </w:r>
    </w:p>
    <w:p>
      <w:pPr>
        <w:pStyle w:val="SubLabel"/>
        <w:widowControl/>
      </w:pPr>
      <w:r>
        <w:t>应用场景</w:t>
      </w:r>
    </w:p>
    <w:p>
      <w:pPr>
        <w:widowControl/>
      </w:pPr>
      <w:r>
        <w:t>平台管理员登记拟置换车辆及合作运输主体，跟踪车辆转为新能源重卡后的投运情况，为阶段性替代目标核算提供依据。</w:t>
      </w:r>
    </w:p>
    <w:p>
      <w:pPr>
        <w:pStyle w:val="SubLabel"/>
        <w:widowControl/>
      </w:pPr>
      <w:r>
        <w:t>功能目标</w:t>
      </w:r>
    </w:p>
    <w:p>
      <w:pPr>
        <w:widowControl/>
      </w:pPr>
      <w:r>
        <w:t>支撑新能源重卡梯度投放和社会运力合作管理，形成可统计、可追踪的业务台账。</w:t>
      </w:r>
    </w:p>
    <w:p>
      <w:pPr>
        <w:pStyle w:val="Heading2"/>
      </w:pPr>
      <w:r>
        <w:t>9.5 运营分析与报表</w:t>
      </w:r>
    </w:p>
    <w:p>
      <w:pPr>
        <w:pStyle w:val="SubLabel"/>
        <w:widowControl/>
      </w:pPr>
      <w:r>
        <w:t>功能说明</w:t>
      </w:r>
    </w:p>
    <w:p>
      <w:pPr>
        <w:widowControl/>
      </w:pPr>
      <w:r>
        <w:t>围绕订单履约、车辆周转、补能效率、站点利用率、能源负荷、成本变化及预警处置情况形成多维分析和报表，支持按时间、地区、场站和运营主体等维度筛选。</w:t>
      </w:r>
    </w:p>
    <w:p>
      <w:pPr>
        <w:pStyle w:val="SubLabel"/>
        <w:widowControl/>
      </w:pPr>
      <w:r>
        <w:t>应用场景</w:t>
      </w:r>
    </w:p>
    <w:p>
      <w:pPr>
        <w:widowControl/>
      </w:pPr>
      <w:r>
        <w:t>项目阶段评估时，平台按试点站点和车队汇总业务规模、服务时效与补能成本，为滚动投资与运营优化提供数据基础。</w:t>
      </w:r>
    </w:p>
    <w:p>
      <w:pPr>
        <w:pStyle w:val="SubLabel"/>
        <w:widowControl/>
      </w:pPr>
      <w:r>
        <w:t>功能目标</w:t>
      </w:r>
    </w:p>
    <w:p>
      <w:pPr>
        <w:widowControl/>
      </w:pPr>
      <w:r>
        <w:t>将沉淀的交通与能源运营数据转化为管理分析成果，支持动态优化和项目成效评估。</w:t>
      </w:r>
    </w:p>
    <w:p>
      <w:pPr>
        <w:pStyle w:val="Heading1"/>
      </w:pPr>
      <w:r>
        <w:t>10 AI智能体辅助服务</w:t>
      </w:r>
    </w:p>
    <w:p>
      <w:pPr>
        <w:widowControl/>
      </w:pPr>
      <w:r>
        <w:t>本模块作为上述业务模块的智能辅助能力，面向平台管理员提供自然语言查询、调度建议、补能预测解读、规划结果解释与风险研判。智能体不得将未经验证的推测等同于真实业务数据，不得绕过业务审批直接执行涉及车辆、场站或电力设备的控制动作。</w:t>
      </w:r>
    </w:p>
    <w:p>
      <w:pPr>
        <w:widowControl/>
      </w:pPr>
      <w:r>
        <w:t>本模块共包含5个功能点，包括：智能业务问答、交能调度辅助智能体、补能预测解读智能体、站点规划辅助智能体、风险研判与处置建议。</w:t>
      </w:r>
    </w:p>
    <w:p>
      <w:pPr>
        <w:pStyle w:val="Heading2"/>
      </w:pPr>
      <w:r>
        <w:t>10.1 智能业务问答</w:t>
      </w:r>
    </w:p>
    <w:p>
      <w:pPr>
        <w:pStyle w:val="SubLabel"/>
        <w:widowControl/>
      </w:pPr>
      <w:r>
        <w:t>功能说明</w:t>
      </w:r>
    </w:p>
    <w:p>
      <w:pPr>
        <w:widowControl/>
      </w:pPr>
      <w:r>
        <w:t>支持围绕订单、运输任务、车辆、场站、补能计划及运营指标开展自然语言查询，回答应基于权限范围内的已接入数据或明确标识的数据资料，并允许定位关联业务记录。</w:t>
      </w:r>
    </w:p>
    <w:p>
      <w:pPr>
        <w:pStyle w:val="SubLabel"/>
        <w:widowControl/>
      </w:pPr>
      <w:r>
        <w:t>应用场景</w:t>
      </w:r>
    </w:p>
    <w:p>
      <w:pPr>
        <w:widowControl/>
      </w:pPr>
      <w:r>
        <w:t>管理员询问“今天哪些运输任务可能延误”“试点站当前可用换电工位有多少”，平台从业务系统获取相关信息并解释。</w:t>
      </w:r>
    </w:p>
    <w:p>
      <w:pPr>
        <w:pStyle w:val="SubLabel"/>
        <w:widowControl/>
      </w:pPr>
      <w:r>
        <w:t>功能目标</w:t>
      </w:r>
    </w:p>
    <w:p>
      <w:pPr>
        <w:widowControl/>
      </w:pPr>
      <w:r>
        <w:t>降低业务信息检索成本，提供可追溯、有数据依据的智能辅助查询能力。</w:t>
      </w:r>
    </w:p>
    <w:p>
      <w:pPr>
        <w:pStyle w:val="Heading2"/>
      </w:pPr>
      <w:r>
        <w:t>10.2 交能调度辅助智能体</w:t>
      </w:r>
    </w:p>
    <w:p>
      <w:pPr>
        <w:pStyle w:val="SubLabel"/>
        <w:widowControl/>
      </w:pPr>
      <w:r>
        <w:t>功能说明</w:t>
      </w:r>
    </w:p>
    <w:p>
      <w:pPr>
        <w:widowControl/>
      </w:pPr>
      <w:r>
        <w:t>理解运输需求和调度目标，调用既有推演能力生成候选方案，并解释车辆数、路线、能源约束和计划差异；调度结果需要由管理员确认后才能正式派单。</w:t>
      </w:r>
    </w:p>
    <w:p>
      <w:pPr>
        <w:pStyle w:val="SubLabel"/>
        <w:widowControl/>
      </w:pPr>
      <w:r>
        <w:t>应用场景</w:t>
      </w:r>
    </w:p>
    <w:p>
      <w:pPr>
        <w:widowControl/>
      </w:pPr>
      <w:r>
        <w:t>用户提出“这批煤炭运输任务能否减少车辆投入且避免集中补能”，智能体调用求解结果回答并说明限制条件。</w:t>
      </w:r>
    </w:p>
    <w:p>
      <w:pPr>
        <w:pStyle w:val="SubLabel"/>
        <w:widowControl/>
      </w:pPr>
      <w:r>
        <w:t>功能目标</w:t>
      </w:r>
    </w:p>
    <w:p>
      <w:pPr>
        <w:widowControl/>
      </w:pPr>
      <w:r>
        <w:t>提升复杂交能方案分析效率，但保持调度决策可复核与人工可控。</w:t>
      </w:r>
    </w:p>
    <w:p>
      <w:pPr>
        <w:pStyle w:val="Heading2"/>
      </w:pPr>
      <w:r>
        <w:t>10.3 补能预测解读智能体</w:t>
      </w:r>
    </w:p>
    <w:p>
      <w:pPr>
        <w:pStyle w:val="SubLabel"/>
        <w:widowControl/>
      </w:pPr>
      <w:r>
        <w:t>功能说明</w:t>
      </w:r>
    </w:p>
    <w:p>
      <w:pPr>
        <w:widowControl/>
      </w:pPr>
      <w:r>
        <w:t>对站点未来车辆到达、服务能力、预计排队和负荷变化等计算结果进行解释，说明影响因素、数据时效及关键假设，并给出可操作的调整建议。</w:t>
      </w:r>
    </w:p>
    <w:p>
      <w:pPr>
        <w:pStyle w:val="SubLabel"/>
        <w:widowControl/>
      </w:pPr>
      <w:r>
        <w:t>应用场景</w:t>
      </w:r>
    </w:p>
    <w:p>
      <w:pPr>
        <w:widowControl/>
      </w:pPr>
      <w:r>
        <w:t>管理员询问“为什么下午四点预测排队”，智能体指出预计到站车辆密集、设备占用延长或站点功率限制等实际依据。</w:t>
      </w:r>
    </w:p>
    <w:p>
      <w:pPr>
        <w:pStyle w:val="SubLabel"/>
        <w:widowControl/>
      </w:pPr>
      <w:r>
        <w:t>功能目标</w:t>
      </w:r>
    </w:p>
    <w:p>
      <w:pPr>
        <w:widowControl/>
      </w:pPr>
      <w:r>
        <w:t>提高补能需求预测的可解释性，便于管理人员理解和采纳预测结果。</w:t>
      </w:r>
    </w:p>
    <w:p>
      <w:pPr>
        <w:pStyle w:val="Heading2"/>
      </w:pPr>
      <w:r>
        <w:t>10.4 站点规划辅助智能体</w:t>
      </w:r>
    </w:p>
    <w:p>
      <w:pPr>
        <w:pStyle w:val="SubLabel"/>
        <w:widowControl/>
      </w:pPr>
      <w:r>
        <w:t>功能说明</w:t>
      </w:r>
    </w:p>
    <w:p>
      <w:pPr>
        <w:widowControl/>
      </w:pPr>
      <w:r>
        <w:t>协助整理候选站点、交通流量、既有补能网络和容量测算结果，形成规划比选说明及待验证条件，不得替代工程选址与审批结论。</w:t>
      </w:r>
    </w:p>
    <w:p>
      <w:pPr>
        <w:pStyle w:val="SubLabel"/>
        <w:widowControl/>
      </w:pPr>
      <w:r>
        <w:t>应用场景</w:t>
      </w:r>
    </w:p>
    <w:p>
      <w:pPr>
        <w:widowControl/>
      </w:pPr>
      <w:r>
        <w:t>管理员要求比较两个候选站点的覆盖效率和预计服务车次，智能体汇总规划计算结果并指出缺少的电网接入资料。</w:t>
      </w:r>
    </w:p>
    <w:p>
      <w:pPr>
        <w:pStyle w:val="SubLabel"/>
        <w:widowControl/>
      </w:pPr>
      <w:r>
        <w:t>功能目标</w:t>
      </w:r>
    </w:p>
    <w:p>
      <w:pPr>
        <w:widowControl/>
      </w:pPr>
      <w:r>
        <w:t>提升规划分析效率并确保规划结果的证据边界清晰。</w:t>
      </w:r>
    </w:p>
    <w:p>
      <w:pPr>
        <w:pStyle w:val="Heading2"/>
      </w:pPr>
      <w:r>
        <w:t>10.5 风险研判与处置建议</w:t>
      </w:r>
    </w:p>
    <w:p>
      <w:pPr>
        <w:pStyle w:val="SubLabel"/>
        <w:widowControl/>
      </w:pPr>
      <w:r>
        <w:t>功能说明</w:t>
      </w:r>
    </w:p>
    <w:p>
      <w:pPr>
        <w:widowControl/>
      </w:pPr>
      <w:r>
        <w:t>综合车辆低电量、任务延误、设备故障、负荷超限、预测排队等预警信息，给出处置优先级与建议动作，展示依据和可能影响对象。</w:t>
      </w:r>
    </w:p>
    <w:p>
      <w:pPr>
        <w:pStyle w:val="SubLabel"/>
        <w:widowControl/>
      </w:pPr>
      <w:r>
        <w:t>应用场景</w:t>
      </w:r>
    </w:p>
    <w:p>
      <w:pPr>
        <w:widowControl/>
      </w:pPr>
      <w:r>
        <w:t>同一时段某站设备故障且多辆车计划到站，智能体汇总受影响任务并建议调整到站计划或改派其他站点。</w:t>
      </w:r>
    </w:p>
    <w:p>
      <w:pPr>
        <w:pStyle w:val="SubLabel"/>
        <w:widowControl/>
      </w:pPr>
      <w:r>
        <w:t>功能目标</w:t>
      </w:r>
    </w:p>
    <w:p>
      <w:pPr>
        <w:widowControl/>
      </w:pPr>
      <w:r>
        <w:t>支撑跨运输与能源场景的综合风险研判，辅助管理员及时处置。</w:t>
      </w:r>
    </w:p>
    <w:p>
      <w:pPr>
        <w:pStyle w:val="Heading1"/>
      </w:pPr>
      <w:r>
        <w:t>11 基础数据与系统管理</w:t>
      </w:r>
    </w:p>
    <w:p>
      <w:pPr>
        <w:widowControl/>
      </w:pPr>
      <w:r>
        <w:t>本模块负责平台基础档案、数据接入、权限控制及操作留痕，为各业务模块提供统一的数据质量与基础管理能力。应明确本平台以业务运营服务为主，不将 SPV 投融资、工程施工或生产设备控制系统的全部功能直接纳入本期平台建设范围。</w:t>
      </w:r>
    </w:p>
    <w:p>
      <w:pPr>
        <w:widowControl/>
      </w:pPr>
      <w:r>
        <w:t>本模块共包含5个功能点，包括：业务主体与基础档案、车辆与场站数据接入、数据质量与追溯、用户角色与访问控制、日志审计与基础配置。</w:t>
      </w:r>
    </w:p>
    <w:p>
      <w:pPr>
        <w:pStyle w:val="Heading2"/>
      </w:pPr>
      <w:r>
        <w:t>11.1 业务主体与基础档案</w:t>
      </w:r>
    </w:p>
    <w:p>
      <w:pPr>
        <w:pStyle w:val="SubLabel"/>
        <w:widowControl/>
      </w:pPr>
      <w:r>
        <w:t>功能说明</w:t>
      </w:r>
    </w:p>
    <w:p>
      <w:pPr>
        <w:widowControl/>
      </w:pPr>
      <w:r>
        <w:t>维护运输企业、车队、司机、矿区、厂区、重点线路、场站和设备等基础信息，支持编码、关联、状态管理与历史变更记录，避免同一业务对象重复建档。</w:t>
      </w:r>
    </w:p>
    <w:p>
      <w:pPr>
        <w:pStyle w:val="SubLabel"/>
        <w:widowControl/>
      </w:pPr>
      <w:r>
        <w:t>应用场景</w:t>
      </w:r>
    </w:p>
    <w:p>
      <w:pPr>
        <w:widowControl/>
      </w:pPr>
      <w:r>
        <w:t>管理员启动试点前，统一录入矿区、电厂、合作车队、车辆、司机和场站基础资料，供订单与调度模块复用。</w:t>
      </w:r>
    </w:p>
    <w:p>
      <w:pPr>
        <w:pStyle w:val="SubLabel"/>
        <w:widowControl/>
      </w:pPr>
      <w:r>
        <w:t>功能目标</w:t>
      </w:r>
    </w:p>
    <w:p>
      <w:pPr>
        <w:widowControl/>
      </w:pPr>
      <w:r>
        <w:t>建立跨模块一致的主数据基础，降低信息重复维护和业务关联错误。</w:t>
      </w:r>
    </w:p>
    <w:p>
      <w:pPr>
        <w:pStyle w:val="Heading2"/>
      </w:pPr>
      <w:r>
        <w:t>11.2 车辆与场站数据接入</w:t>
      </w:r>
    </w:p>
    <w:p>
      <w:pPr>
        <w:pStyle w:val="SubLabel"/>
        <w:widowControl/>
      </w:pPr>
      <w:r>
        <w:t>功能说明</w:t>
      </w:r>
    </w:p>
    <w:p>
      <w:pPr>
        <w:widowControl/>
      </w:pPr>
      <w:r>
        <w:t>支持与车辆定位终端、车况或 SOC 数据源、充换电设备系统、能源管理系统及相关订单数据来源进行标准化接入和同步；记录接口状态、数据映射、异常和更新时延。</w:t>
      </w:r>
    </w:p>
    <w:p>
      <w:pPr>
        <w:pStyle w:val="SubLabel"/>
        <w:widowControl/>
      </w:pPr>
      <w:r>
        <w:t>应用场景</w:t>
      </w:r>
    </w:p>
    <w:p>
      <w:pPr>
        <w:widowControl/>
      </w:pPr>
      <w:r>
        <w:t>接入试点场站系统时，管理员核查设备状态、补能记录和站点负荷是否能够稳定返回业务平台。</w:t>
      </w:r>
    </w:p>
    <w:p>
      <w:pPr>
        <w:pStyle w:val="SubLabel"/>
        <w:widowControl/>
      </w:pPr>
      <w:r>
        <w:t>功能目标</w:t>
      </w:r>
    </w:p>
    <w:p>
      <w:pPr>
        <w:widowControl/>
      </w:pPr>
      <w:r>
        <w:t>保障交通、场站和能源数据持续、可靠进入平台，支撑实际运营与智能计算。</w:t>
      </w:r>
    </w:p>
    <w:p>
      <w:pPr>
        <w:pStyle w:val="Heading2"/>
      </w:pPr>
      <w:r>
        <w:t>11.3 数据质量与追溯</w:t>
      </w:r>
    </w:p>
    <w:p>
      <w:pPr>
        <w:pStyle w:val="SubLabel"/>
        <w:widowControl/>
      </w:pPr>
      <w:r>
        <w:t>功能说明</w:t>
      </w:r>
    </w:p>
    <w:p>
      <w:pPr>
        <w:widowControl/>
      </w:pPr>
      <w:r>
        <w:t>对关键数据记录来源、采集时间、有效性、业务对象标识和缺失情况；支持异常数据检查与纠正记录，并将真实接入、人工登记、推算预测和演示模拟数据明确区分。</w:t>
      </w:r>
    </w:p>
    <w:p>
      <w:pPr>
        <w:pStyle w:val="SubLabel"/>
        <w:widowControl/>
      </w:pPr>
      <w:r>
        <w:t>应用场景</w:t>
      </w:r>
    </w:p>
    <w:p>
      <w:pPr>
        <w:widowControl/>
      </w:pPr>
      <w:r>
        <w:t>车辆 SOC 超过允许范围或场站状态长时间未更新时，平台标记该数据异常，避免继续用于不受约束的精确推演。</w:t>
      </w:r>
    </w:p>
    <w:p>
      <w:pPr>
        <w:pStyle w:val="SubLabel"/>
        <w:widowControl/>
      </w:pPr>
      <w:r>
        <w:t>功能目标</w:t>
      </w:r>
    </w:p>
    <w:p>
      <w:pPr>
        <w:widowControl/>
      </w:pPr>
      <w:r>
        <w:t>提高平台数据可信程度，使智能体预测、调度和规划输出具有可解释数据基础。</w:t>
      </w:r>
    </w:p>
    <w:p>
      <w:pPr>
        <w:pStyle w:val="Heading2"/>
      </w:pPr>
      <w:r>
        <w:t>11.4 用户角色与访问控制</w:t>
      </w:r>
    </w:p>
    <w:p>
      <w:pPr>
        <w:pStyle w:val="SubLabel"/>
        <w:widowControl/>
      </w:pPr>
      <w:r>
        <w:t>功能说明</w:t>
      </w:r>
    </w:p>
    <w:p>
      <w:pPr>
        <w:widowControl/>
      </w:pPr>
      <w:r>
        <w:t>按平台管理员和司机两类当前拟定角色配置可访问业务与操作权限；对订单、车辆、司机、成本和能源数据进行必要的范围控制，并对重要变更、派单和确认动作留痕。</w:t>
      </w:r>
    </w:p>
    <w:p>
      <w:pPr>
        <w:pStyle w:val="SubLabel"/>
        <w:widowControl/>
      </w:pPr>
      <w:r>
        <w:t>应用场景</w:t>
      </w:r>
    </w:p>
    <w:p>
      <w:pPr>
        <w:widowControl/>
      </w:pPr>
      <w:r>
        <w:t>平台管理员维护运营配置、查看综合数据，司机仅查看自身关联任务与必要补能信息，不能修改系统调度规则。</w:t>
      </w:r>
    </w:p>
    <w:p>
      <w:pPr>
        <w:pStyle w:val="SubLabel"/>
        <w:widowControl/>
      </w:pPr>
      <w:r>
        <w:t>功能目标</w:t>
      </w:r>
    </w:p>
    <w:p>
      <w:pPr>
        <w:widowControl/>
      </w:pPr>
      <w:r>
        <w:t>确保平台信息按职责使用和关键业务操作可审计；如后续增加主体角色，应经需求变更确认。</w:t>
      </w:r>
    </w:p>
    <w:p>
      <w:pPr>
        <w:pStyle w:val="Heading2"/>
      </w:pPr>
      <w:r>
        <w:t>11.5 日志审计与基础配置</w:t>
      </w:r>
    </w:p>
    <w:p>
      <w:pPr>
        <w:pStyle w:val="SubLabel"/>
        <w:widowControl/>
      </w:pPr>
      <w:r>
        <w:t>功能说明</w:t>
      </w:r>
    </w:p>
    <w:p>
      <w:pPr>
        <w:widowControl/>
      </w:pPr>
      <w:r>
        <w:t>记录关键操作日志、数据同步日志、异常日志、推演方案版本、通知状态及规则配置变更；支持基础字典、阈值和必要业务参数的授权维护。</w:t>
      </w:r>
    </w:p>
    <w:p>
      <w:pPr>
        <w:pStyle w:val="SubLabel"/>
        <w:widowControl/>
      </w:pPr>
      <w:r>
        <w:t>应用场景</w:t>
      </w:r>
    </w:p>
    <w:p>
      <w:pPr>
        <w:widowControl/>
      </w:pPr>
      <w:r>
        <w:t>管理员复核某运输任务为何调整补能站点，可追溯调度方案版本、触发告警及执行修改记录。</w:t>
      </w:r>
    </w:p>
    <w:p>
      <w:pPr>
        <w:pStyle w:val="SubLabel"/>
        <w:widowControl/>
      </w:pPr>
      <w:r>
        <w:t>功能目标</w:t>
      </w:r>
    </w:p>
    <w:p>
      <w:pPr>
        <w:widowControl/>
      </w:pPr>
      <w:r>
        <w:t>形成可维护、可追溯的系统运行基础，支持持续改进和业务复盘。</w:t>
      </w:r>
    </w:p>
    <w:p>
      <w:pPr>
        <w:pStyle w:val="Heading1"/>
      </w:pPr>
      <w:r>
        <w:t>12 非功能需求</w:t>
      </w:r>
    </w:p>
    <w:p>
      <w:pPr>
        <w:pStyle w:val="Heading2"/>
      </w:pPr>
      <w:r>
        <w:t>12.1 可靠性</w:t>
      </w:r>
    </w:p>
    <w:p>
      <w:pPr>
        <w:widowControl/>
      </w:pPr>
      <w:r>
        <w:t>平台应确保运输订单、任务执行、补能计划及异常处置等关键业务数据持续可用，具备数据备份、故障恢复和关键处理失败重试机制。车辆和场站设备离线时不得将历史数据误判为实时数据，系统应记录同步中断及恢复过程。</w:t>
      </w:r>
    </w:p>
    <w:p>
      <w:pPr>
        <w:pStyle w:val="Heading2"/>
      </w:pPr>
      <w:r>
        <w:t>12.2 安全性</w:t>
      </w:r>
    </w:p>
    <w:p>
      <w:pPr>
        <w:widowControl/>
      </w:pPr>
      <w:r>
        <w:t>平台应具备身份认证、分角色访问控制、敏感信息保护、操作日志和接口调用审计等能力；车辆定位、司机身份、企业经营数据及用能信息应按合法合规、最小必要原则处理。涉及场站电力设备控制的能力须以独立授权、安全联锁和可审计审批为前提。</w:t>
      </w:r>
    </w:p>
    <w:p>
      <w:pPr>
        <w:pStyle w:val="Heading2"/>
      </w:pPr>
      <w:r>
        <w:t>12.3 数据真实性与可追溯性</w:t>
      </w:r>
    </w:p>
    <w:p>
      <w:pPr>
        <w:widowControl/>
      </w:pPr>
      <w:r>
        <w:t>关键业务数据应标记真实采集、人工录入、算法推算和演示模拟属性，并保留来源、时间戳及变更记录。预测类结果应明确计算依据和约束条件；当样本不足或关键输入缺失时，应提示可靠性风险，不能宣称已经掌握真实运行态势。</w:t>
      </w:r>
    </w:p>
    <w:p>
      <w:pPr>
        <w:pStyle w:val="Heading2"/>
      </w:pPr>
      <w:r>
        <w:t>12.4 性能与时效性</w:t>
      </w:r>
    </w:p>
    <w:p>
      <w:pPr>
        <w:widowControl/>
      </w:pPr>
      <w:r>
        <w:t>平台应能在试点车辆和场站接入规模下稳定响应常用订单查询、任务处理和运行监测操作。位置数据、设备状态、负荷预测与推演耗时的定量指标，应在确定真实数据源、接入频率和一期规模后进一步确认，不能在本版无依据设定具体秒数。</w:t>
      </w:r>
    </w:p>
    <w:p>
      <w:pPr>
        <w:pStyle w:val="Heading2"/>
      </w:pPr>
      <w:r>
        <w:t>12.5 可扩展性</w:t>
      </w:r>
    </w:p>
    <w:p>
      <w:pPr>
        <w:widowControl/>
      </w:pPr>
      <w:r>
        <w:t>平台应支持新增车辆、场站、线路、能源设备、合作运营主体及业务模块，支持由试点矿区和场站逐步扩展至更多物流走廊，并保持业务对象、接口和数据字典的一致性。</w:t>
      </w:r>
    </w:p>
    <w:p>
      <w:pPr>
        <w:pStyle w:val="Heading2"/>
      </w:pPr>
      <w:r>
        <w:t>12.6 易用性</w:t>
      </w:r>
    </w:p>
    <w:p>
      <w:pPr>
        <w:widowControl/>
      </w:pPr>
      <w:r>
        <w:t>平台业务操作应符合运输调度和场站管理人员的日常习惯，确保订单、推演、派单、异常处置等关键流程清晰，重要变更操作有明确反馈；司机端应突出任务接收、执行和异常反馈的便捷性。</w:t>
      </w:r>
    </w:p>
    <w:p>
      <w:pPr>
        <w:pStyle w:val="Heading2"/>
      </w:pPr>
      <w:r>
        <w:t>12.7 接口与兼容性</w:t>
      </w:r>
    </w:p>
    <w:p>
      <w:pPr>
        <w:widowControl/>
      </w:pPr>
      <w:r>
        <w:t>平台应提供规范化的数据接口，兼容经确认的车辆定位、SOC、场站设备、能源管理、运输订单等数据来源。外部接口异常时应留存错误原因并支持重试或人工处理，不应影响无关业务的基本查询能力。</w:t>
      </w:r>
    </w:p>
    <w:p>
      <w:pPr>
        <w:pStyle w:val="Heading2"/>
      </w:pPr>
      <w:r>
        <w:t>12.8 可维护性</w:t>
      </w:r>
    </w:p>
    <w:p>
      <w:pPr>
        <w:widowControl/>
      </w:pPr>
      <w:r>
        <w:t>平台应具备基础参数管理、数据接口日志、异常追踪、规则配置版本及必要的运行诊断信息。业务模型参数调整和重要系统配置变更应可追溯，并保留相应历史版本。</w:t>
      </w:r>
    </w:p>
    <w:p>
      <w:pPr>
        <w:pStyle w:val="Heading2"/>
      </w:pPr>
      <w:r>
        <w:t>12.9 智能体可信与安全</w:t>
      </w:r>
    </w:p>
    <w:p>
      <w:pPr>
        <w:widowControl/>
      </w:pPr>
      <w:r>
        <w:t>智能体回答应优先引用平台权限范围内的真实数据或经批准的资料，对缺失数据、推断结论和模拟结果做明确区分；对调度、费用和规划建议应提供可核查依据，不得未经授权直接修改订单、派单或控制充放电设备。</w:t>
      </w:r>
    </w:p>
    <w:p>
      <w:pPr>
        <w:pStyle w:val="Heading1"/>
      </w:pPr>
      <w:r>
        <w:t>13 需求边界与待确认事项</w:t>
      </w:r>
    </w:p>
    <w:p>
      <w:pPr>
        <w:pStyle w:val="Heading2"/>
      </w:pPr>
      <w:r>
        <w:t>13.1 平台边界说明</w:t>
      </w:r>
    </w:p>
    <w:p>
      <w:pPr>
        <w:widowControl/>
      </w:pPr>
      <w:r>
        <w:t>（1）平台建设范围聚焦软件业务能力与数据协同，不直接包含新能源重卡采购、电池生产、充换电站土建、电网增容、零碳产业园实体建设等工程实施。</w:t>
      </w:r>
    </w:p>
    <w:p>
      <w:pPr>
        <w:widowControl/>
      </w:pPr>
      <w:r>
        <w:t>（2）SPV股权、项目融资、施工许可、产业基金和实体投资审批由相应业务和管理体系承担，平台仅在数据具备且业务确认时提供运营指标与辅助分析，不默认建设财务投融资管理全套功能。</w:t>
      </w:r>
    </w:p>
    <w:p>
      <w:pPr>
        <w:widowControl/>
      </w:pPr>
      <w:r>
        <w:t>（3）文档提出的4781辆、5座母站、60座子站、5740组电池等均为产业项目累计目标，不应写入先导期系统实际在线数量或采集规模。</w:t>
      </w:r>
    </w:p>
    <w:p>
      <w:pPr>
        <w:widowControl/>
      </w:pPr>
      <w:r>
        <w:t>（4）能源侧自动控制、充放电调节命令、电网调度和涉及安全联锁的执行功能不在本稿中默认开放，需另行明确接口、安全策略、审批权限及责任边界。</w:t>
      </w:r>
    </w:p>
    <w:p>
      <w:pPr>
        <w:widowControl/>
      </w:pPr>
      <w:r>
        <w:t>（5）具体软件页面设计、交互布局、技术方案和开发实施计划不属于本需求规格说明书范围。</w:t>
      </w:r>
    </w:p>
    <w:p>
      <w:pPr>
        <w:pStyle w:val="Heading2"/>
      </w:pPr>
      <w:r>
        <w:t>13.2 待确认需求清单</w:t>
      </w:r>
    </w:p>
    <w:tbl>
      <w:tblPr>
        <w:tblStyle w:val="TableGrid"/>
        <w:tblW w:type="auto" w:w="0"/>
        <w:jc w:val="center"/>
        <w:tblLayout w:type="fixed"/>
        <w:tblLook w:firstColumn="1" w:firstRow="1" w:lastColumn="0" w:lastRow="0" w:noHBand="0" w:noVBand="1" w:val="04A0"/>
      </w:tblPr>
      <w:tblGrid>
        <w:gridCol w:w="1191"/>
        <w:gridCol w:w="7937"/>
      </w:tblGrid>
      <w:tr>
        <w:trPr>
          <w:cantSplit/>
          <w:tblHeader w:val="true"/>
        </w:trPr>
        <w:tc>
          <w:tcPr>
            <w:tcW w:type="dxa" w:w="4479"/>
            <w:vAlign w:val="center"/>
            <w:shd w:fill="2A455F"/>
          </w:tcPr>
          <w:p>
            <w:pPr>
              <w:spacing w:line="293" w:lineRule="auto" w:after="20"/>
            </w:pPr>
            <w:r>
              <w:rPr>
                <w:b/>
                <w:color w:val="FFFFFF"/>
                <w:sz w:val="17"/>
              </w:rPr>
              <w:t>编号</w:t>
            </w:r>
          </w:p>
        </w:tc>
        <w:tc>
          <w:tcPr>
            <w:tcW w:type="dxa" w:w="4479"/>
            <w:vAlign w:val="center"/>
            <w:shd w:fill="2A455F"/>
          </w:tcPr>
          <w:p>
            <w:pPr>
              <w:spacing w:line="293" w:lineRule="auto" w:after="20"/>
            </w:pPr>
            <w:r>
              <w:rPr>
                <w:b/>
                <w:color w:val="FFFFFF"/>
                <w:sz w:val="17"/>
              </w:rPr>
              <w:t>待确认事项</w:t>
            </w:r>
          </w:p>
        </w:tc>
      </w:tr>
      <w:tr>
        <w:trPr>
          <w:cantSplit/>
        </w:trPr>
        <w:tc>
          <w:tcPr>
            <w:tcW w:type="dxa" w:w="1191"/>
            <w:vAlign w:val="center"/>
          </w:tcPr>
          <w:p>
            <w:pPr>
              <w:spacing w:line="293" w:lineRule="auto" w:after="20"/>
            </w:pPr>
            <w:r>
              <w:rPr>
                <w:sz w:val="17"/>
              </w:rPr>
              <w:t>QC-01</w:t>
            </w:r>
          </w:p>
        </w:tc>
        <w:tc>
          <w:tcPr>
            <w:tcW w:type="dxa" w:w="7937"/>
            <w:vAlign w:val="center"/>
          </w:tcPr>
          <w:p>
            <w:pPr>
              <w:spacing w:line="293" w:lineRule="auto" w:after="20"/>
            </w:pPr>
            <w:r>
              <w:rPr>
                <w:sz w:val="17"/>
              </w:rPr>
              <w:t>先导期实际对接的运输订单来源、矿区与厂区主体、是否支持外部订单同步。</w:t>
            </w:r>
          </w:p>
        </w:tc>
      </w:tr>
      <w:tr>
        <w:trPr>
          <w:cantSplit/>
        </w:trPr>
        <w:tc>
          <w:tcPr>
            <w:tcW w:type="dxa" w:w="1191"/>
            <w:vAlign w:val="center"/>
          </w:tcPr>
          <w:p>
            <w:pPr>
              <w:spacing w:line="293" w:lineRule="auto" w:after="20"/>
            </w:pPr>
            <w:r>
              <w:rPr>
                <w:sz w:val="17"/>
              </w:rPr>
              <w:t>QC-02</w:t>
            </w:r>
          </w:p>
        </w:tc>
        <w:tc>
          <w:tcPr>
            <w:tcW w:type="dxa" w:w="7937"/>
            <w:vAlign w:val="center"/>
          </w:tcPr>
          <w:p>
            <w:pPr>
              <w:spacing w:line="293" w:lineRule="auto" w:after="20"/>
            </w:pPr>
            <w:r>
              <w:rPr>
                <w:sz w:val="17"/>
              </w:rPr>
              <w:t>司机端是否仅做任务接收、执行反馈，是否需要微信小程序或其他移动端形态。</w:t>
            </w:r>
          </w:p>
        </w:tc>
      </w:tr>
      <w:tr>
        <w:trPr>
          <w:cantSplit/>
        </w:trPr>
        <w:tc>
          <w:tcPr>
            <w:tcW w:type="dxa" w:w="1191"/>
            <w:vAlign w:val="center"/>
          </w:tcPr>
          <w:p>
            <w:pPr>
              <w:spacing w:line="293" w:lineRule="auto" w:after="20"/>
            </w:pPr>
            <w:r>
              <w:rPr>
                <w:sz w:val="17"/>
              </w:rPr>
              <w:t>QC-03</w:t>
            </w:r>
          </w:p>
        </w:tc>
        <w:tc>
          <w:tcPr>
            <w:tcW w:type="dxa" w:w="7937"/>
            <w:vAlign w:val="center"/>
          </w:tcPr>
          <w:p>
            <w:pPr>
              <w:spacing w:line="293" w:lineRule="auto" w:after="20"/>
            </w:pPr>
            <w:r>
              <w:rPr>
                <w:sz w:val="17"/>
              </w:rPr>
              <w:t>试点车型与车辆数据接口情况：GPS、SOC、能耗、里程和故障数据可用范围。</w:t>
            </w:r>
          </w:p>
        </w:tc>
      </w:tr>
      <w:tr>
        <w:trPr>
          <w:cantSplit/>
        </w:trPr>
        <w:tc>
          <w:tcPr>
            <w:tcW w:type="dxa" w:w="1191"/>
            <w:vAlign w:val="center"/>
          </w:tcPr>
          <w:p>
            <w:pPr>
              <w:spacing w:line="293" w:lineRule="auto" w:after="20"/>
            </w:pPr>
            <w:r>
              <w:rPr>
                <w:sz w:val="17"/>
              </w:rPr>
              <w:t>QC-04</w:t>
            </w:r>
          </w:p>
        </w:tc>
        <w:tc>
          <w:tcPr>
            <w:tcW w:type="dxa" w:w="7937"/>
            <w:vAlign w:val="center"/>
          </w:tcPr>
          <w:p>
            <w:pPr>
              <w:spacing w:line="293" w:lineRule="auto" w:after="20"/>
            </w:pPr>
            <w:r>
              <w:rPr>
                <w:sz w:val="17"/>
              </w:rPr>
              <w:t>首批场站的设备接入协议、可用工位信息、换电电池信息和计费数据来源。</w:t>
            </w:r>
          </w:p>
        </w:tc>
      </w:tr>
      <w:tr>
        <w:trPr>
          <w:cantSplit/>
        </w:trPr>
        <w:tc>
          <w:tcPr>
            <w:tcW w:type="dxa" w:w="1191"/>
            <w:vAlign w:val="center"/>
          </w:tcPr>
          <w:p>
            <w:pPr>
              <w:spacing w:line="293" w:lineRule="auto" w:after="20"/>
            </w:pPr>
            <w:r>
              <w:rPr>
                <w:sz w:val="17"/>
              </w:rPr>
              <w:t>QC-05</w:t>
            </w:r>
          </w:p>
        </w:tc>
        <w:tc>
          <w:tcPr>
            <w:tcW w:type="dxa" w:w="7937"/>
            <w:vAlign w:val="center"/>
          </w:tcPr>
          <w:p>
            <w:pPr>
              <w:spacing w:line="293" w:lineRule="auto" w:after="20"/>
            </w:pPr>
            <w:r>
              <w:rPr>
                <w:sz w:val="17"/>
              </w:rPr>
              <w:t>电网、绿电和储能数据是否可获取；是否仅进行策略建议而不下发控制命令。</w:t>
            </w:r>
          </w:p>
        </w:tc>
      </w:tr>
      <w:tr>
        <w:trPr>
          <w:cantSplit/>
        </w:trPr>
        <w:tc>
          <w:tcPr>
            <w:tcW w:type="dxa" w:w="1191"/>
            <w:vAlign w:val="center"/>
          </w:tcPr>
          <w:p>
            <w:pPr>
              <w:spacing w:line="293" w:lineRule="auto" w:after="20"/>
            </w:pPr>
            <w:r>
              <w:rPr>
                <w:sz w:val="17"/>
              </w:rPr>
              <w:t>QC-06</w:t>
            </w:r>
          </w:p>
        </w:tc>
        <w:tc>
          <w:tcPr>
            <w:tcW w:type="dxa" w:w="7937"/>
            <w:vAlign w:val="center"/>
          </w:tcPr>
          <w:p>
            <w:pPr>
              <w:spacing w:line="293" w:lineRule="auto" w:after="20"/>
            </w:pPr>
            <w:r>
              <w:rPr>
                <w:sz w:val="17"/>
              </w:rPr>
              <w:t>交能推演核心计算约束、优先优化目标、车辆与司机派单规则、订单状态标准。</w:t>
            </w:r>
          </w:p>
        </w:tc>
      </w:tr>
      <w:tr>
        <w:trPr>
          <w:cantSplit/>
        </w:trPr>
        <w:tc>
          <w:tcPr>
            <w:tcW w:type="dxa" w:w="1191"/>
            <w:vAlign w:val="center"/>
          </w:tcPr>
          <w:p>
            <w:pPr>
              <w:spacing w:line="293" w:lineRule="auto" w:after="20"/>
            </w:pPr>
            <w:r>
              <w:rPr>
                <w:sz w:val="17"/>
              </w:rPr>
              <w:t>QC-07</w:t>
            </w:r>
          </w:p>
        </w:tc>
        <w:tc>
          <w:tcPr>
            <w:tcW w:type="dxa" w:w="7937"/>
            <w:vAlign w:val="center"/>
          </w:tcPr>
          <w:p>
            <w:pPr>
              <w:spacing w:line="293" w:lineRule="auto" w:after="20"/>
            </w:pPr>
            <w:r>
              <w:rPr>
                <w:sz w:val="17"/>
              </w:rPr>
              <w:t>补能需求预测的时间粒度、预测窗口和排队模型所需数据真实性与完整性。</w:t>
            </w:r>
          </w:p>
        </w:tc>
      </w:tr>
      <w:tr>
        <w:trPr>
          <w:cantSplit/>
        </w:trPr>
        <w:tc>
          <w:tcPr>
            <w:tcW w:type="dxa" w:w="1191"/>
            <w:vAlign w:val="center"/>
          </w:tcPr>
          <w:p>
            <w:pPr>
              <w:spacing w:line="293" w:lineRule="auto" w:after="20"/>
            </w:pPr>
            <w:r>
              <w:rPr>
                <w:sz w:val="17"/>
              </w:rPr>
              <w:t>QC-08</w:t>
            </w:r>
          </w:p>
        </w:tc>
        <w:tc>
          <w:tcPr>
            <w:tcW w:type="dxa" w:w="7937"/>
            <w:vAlign w:val="center"/>
          </w:tcPr>
          <w:p>
            <w:pPr>
              <w:spacing w:line="293" w:lineRule="auto" w:after="20"/>
            </w:pPr>
            <w:r>
              <w:rPr>
                <w:sz w:val="17"/>
              </w:rPr>
              <w:t>成本计算口径、分时电价与服务费、车辆租赁和维保相关数据来源。</w:t>
            </w:r>
          </w:p>
        </w:tc>
      </w:tr>
      <w:tr>
        <w:trPr>
          <w:cantSplit/>
        </w:trPr>
        <w:tc>
          <w:tcPr>
            <w:tcW w:type="dxa" w:w="1191"/>
            <w:vAlign w:val="center"/>
          </w:tcPr>
          <w:p>
            <w:pPr>
              <w:spacing w:line="293" w:lineRule="auto" w:after="20"/>
            </w:pPr>
            <w:r>
              <w:rPr>
                <w:sz w:val="17"/>
              </w:rPr>
              <w:t>QC-09</w:t>
            </w:r>
          </w:p>
        </w:tc>
        <w:tc>
          <w:tcPr>
            <w:tcW w:type="dxa" w:w="7937"/>
            <w:vAlign w:val="center"/>
          </w:tcPr>
          <w:p>
            <w:pPr>
              <w:spacing w:line="293" w:lineRule="auto" w:after="20"/>
            </w:pPr>
            <w:r>
              <w:rPr>
                <w:sz w:val="17"/>
              </w:rPr>
              <w:t>站点选址、电网接入、土地约束和投资成本数据的可信来源及方案审批主体。</w:t>
            </w:r>
          </w:p>
        </w:tc>
      </w:tr>
      <w:tr>
        <w:trPr>
          <w:cantSplit/>
        </w:trPr>
        <w:tc>
          <w:tcPr>
            <w:tcW w:type="dxa" w:w="1191"/>
            <w:vAlign w:val="center"/>
          </w:tcPr>
          <w:p>
            <w:pPr>
              <w:spacing w:line="293" w:lineRule="auto" w:after="20"/>
            </w:pPr>
            <w:r>
              <w:rPr>
                <w:sz w:val="17"/>
              </w:rPr>
              <w:t>QC-10</w:t>
            </w:r>
          </w:p>
        </w:tc>
        <w:tc>
          <w:tcPr>
            <w:tcW w:type="dxa" w:w="7937"/>
            <w:vAlign w:val="center"/>
          </w:tcPr>
          <w:p>
            <w:pPr>
              <w:spacing w:line="293" w:lineRule="auto" w:after="20"/>
            </w:pPr>
            <w:r>
              <w:rPr>
                <w:sz w:val="17"/>
              </w:rPr>
              <w:t>是否需要除平台管理员、司机之外的车队、场站、电网等独立操作角色。</w:t>
            </w:r>
          </w:p>
        </w:tc>
      </w:tr>
      <w:tr>
        <w:trPr>
          <w:cantSplit/>
        </w:trPr>
        <w:tc>
          <w:tcPr>
            <w:tcW w:type="dxa" w:w="1191"/>
            <w:vAlign w:val="center"/>
          </w:tcPr>
          <w:p>
            <w:pPr>
              <w:spacing w:line="293" w:lineRule="auto" w:after="20"/>
            </w:pPr>
            <w:r>
              <w:rPr>
                <w:sz w:val="17"/>
              </w:rPr>
              <w:t>QC-11</w:t>
            </w:r>
          </w:p>
        </w:tc>
        <w:tc>
          <w:tcPr>
            <w:tcW w:type="dxa" w:w="7937"/>
            <w:vAlign w:val="center"/>
          </w:tcPr>
          <w:p>
            <w:pPr>
              <w:spacing w:line="293" w:lineRule="auto" w:after="20"/>
            </w:pPr>
            <w:r>
              <w:rPr>
                <w:sz w:val="17"/>
              </w:rPr>
              <w:t>实施方案所称“既有系统迁移”的具体系统、可复用模块和历史数据范围。</w:t>
            </w:r>
          </w:p>
        </w:tc>
      </w:tr>
      <w:tr>
        <w:trPr>
          <w:cantSplit/>
        </w:trPr>
        <w:tc>
          <w:tcPr>
            <w:tcW w:type="dxa" w:w="1191"/>
            <w:vAlign w:val="center"/>
          </w:tcPr>
          <w:p>
            <w:pPr>
              <w:spacing w:line="293" w:lineRule="auto" w:after="20"/>
            </w:pPr>
            <w:r>
              <w:rPr>
                <w:sz w:val="17"/>
              </w:rPr>
              <w:t>QC-12</w:t>
            </w:r>
          </w:p>
        </w:tc>
        <w:tc>
          <w:tcPr>
            <w:tcW w:type="dxa" w:w="7937"/>
            <w:vAlign w:val="center"/>
          </w:tcPr>
          <w:p>
            <w:pPr>
              <w:spacing w:line="293" w:lineRule="auto" w:after="20"/>
            </w:pPr>
            <w:r>
              <w:rPr>
                <w:sz w:val="17"/>
              </w:rPr>
              <w:t>软件一期验收的车辆数、站点数、接口数、响应时效和数据质量要求。</w:t>
            </w:r>
          </w:p>
        </w:tc>
      </w:tr>
    </w:tbl>
    <w:p>
      <w:pPr>
        <w:spacing w:after="0"/>
      </w:pPr>
    </w:p>
    <w:p>
      <w:pPr>
        <w:widowControl/>
      </w:pPr>
      <w:r>
        <w:t>说明：以上条目属于文档未作详细规定但可能影响交付范围或可行性的事项。本需求稿可用于组织业务评审；未确认事项不得在后续开发中被默认为已通过的业务规则。</w:t>
      </w:r>
    </w:p>
    <w:p>
      <w:pPr>
        <w:pStyle w:val="Heading1"/>
      </w:pPr>
      <w:r>
        <w:t>附录A 需求与实施方案对应关系</w:t>
      </w:r>
    </w:p>
    <w:p>
      <w:pPr>
        <w:widowControl/>
      </w:pPr>
      <w:r>
        <w:t>本表用于标识需求规格与《庆阳市交能融合产业项目落地推进实施方案》的主要依据关系。对应章节为需求来源说明，不表示本说明书中每一个细分功能均已由原方案逐字规定。</w:t>
      </w:r>
    </w:p>
    <w:tbl>
      <w:tblPr>
        <w:tblStyle w:val="TableGrid"/>
        <w:tblW w:type="auto" w:w="0"/>
        <w:jc w:val="center"/>
        <w:tblLayout w:type="fixed"/>
        <w:tblLook w:firstColumn="1" w:firstRow="1" w:lastColumn="0" w:lastRow="0" w:noHBand="0" w:noVBand="1" w:val="04A0"/>
      </w:tblPr>
      <w:tblGrid>
        <w:gridCol w:w="2324"/>
        <w:gridCol w:w="3742"/>
        <w:gridCol w:w="3005"/>
      </w:tblGrid>
      <w:tr>
        <w:trPr>
          <w:cantSplit/>
          <w:tblHeader w:val="true"/>
        </w:trPr>
        <w:tc>
          <w:tcPr>
            <w:tcW w:type="dxa" w:w="2986"/>
            <w:vAlign w:val="center"/>
            <w:shd w:fill="2A455F"/>
          </w:tcPr>
          <w:p>
            <w:pPr>
              <w:spacing w:line="293" w:lineRule="auto" w:after="20"/>
            </w:pPr>
            <w:r>
              <w:rPr>
                <w:b/>
                <w:color w:val="FFFFFF"/>
                <w:sz w:val="17"/>
              </w:rPr>
              <w:t>实施方案来源</w:t>
            </w:r>
          </w:p>
        </w:tc>
        <w:tc>
          <w:tcPr>
            <w:tcW w:type="dxa" w:w="2986"/>
            <w:vAlign w:val="center"/>
            <w:shd w:fill="2A455F"/>
          </w:tcPr>
          <w:p>
            <w:pPr>
              <w:spacing w:line="293" w:lineRule="auto" w:after="20"/>
            </w:pPr>
            <w:r>
              <w:rPr>
                <w:b/>
                <w:color w:val="FFFFFF"/>
                <w:sz w:val="17"/>
              </w:rPr>
              <w:t>原文核心要求</w:t>
            </w:r>
          </w:p>
        </w:tc>
        <w:tc>
          <w:tcPr>
            <w:tcW w:type="dxa" w:w="2986"/>
            <w:vAlign w:val="center"/>
            <w:shd w:fill="2A455F"/>
          </w:tcPr>
          <w:p>
            <w:pPr>
              <w:spacing w:line="293" w:lineRule="auto" w:after="20"/>
            </w:pPr>
            <w:r>
              <w:rPr>
                <w:b/>
                <w:color w:val="FFFFFF"/>
                <w:sz w:val="17"/>
              </w:rPr>
              <w:t>本需求规格承接章节</w:t>
            </w:r>
          </w:p>
        </w:tc>
      </w:tr>
      <w:tr>
        <w:trPr>
          <w:cantSplit/>
        </w:trPr>
        <w:tc>
          <w:tcPr>
            <w:tcW w:type="dxa" w:w="2324"/>
            <w:vAlign w:val="center"/>
          </w:tcPr>
          <w:p>
            <w:pPr>
              <w:spacing w:line="293" w:lineRule="auto" w:after="20"/>
            </w:pPr>
            <w:r>
              <w:rPr>
                <w:sz w:val="17"/>
              </w:rPr>
              <w:t>第三部分（二）第1项</w:t>
            </w:r>
          </w:p>
        </w:tc>
        <w:tc>
          <w:tcPr>
            <w:tcW w:type="dxa" w:w="3742"/>
            <w:vAlign w:val="center"/>
          </w:tcPr>
          <w:p>
            <w:pPr>
              <w:spacing w:line="293" w:lineRule="auto" w:after="20"/>
            </w:pPr>
            <w:r>
              <w:rPr>
                <w:sz w:val="17"/>
              </w:rPr>
              <w:t>双侧精准调度：交通与能源数据采集、一体匹配</w:t>
            </w:r>
          </w:p>
        </w:tc>
        <w:tc>
          <w:tcPr>
            <w:tcW w:type="dxa" w:w="3005"/>
            <w:vAlign w:val="center"/>
          </w:tcPr>
          <w:p>
            <w:pPr>
              <w:spacing w:line="293" w:lineRule="auto" w:after="20"/>
            </w:pPr>
            <w:r>
              <w:rPr>
                <w:sz w:val="17"/>
              </w:rPr>
              <w:t>第3章、第6章</w:t>
            </w:r>
          </w:p>
        </w:tc>
      </w:tr>
      <w:tr>
        <w:trPr>
          <w:cantSplit/>
        </w:trPr>
        <w:tc>
          <w:tcPr>
            <w:tcW w:type="dxa" w:w="2324"/>
            <w:vAlign w:val="center"/>
          </w:tcPr>
          <w:p>
            <w:pPr>
              <w:spacing w:line="293" w:lineRule="auto" w:after="20"/>
            </w:pPr>
            <w:r>
              <w:rPr>
                <w:sz w:val="17"/>
              </w:rPr>
              <w:t>第三部分（二）第2项</w:t>
            </w:r>
          </w:p>
        </w:tc>
        <w:tc>
          <w:tcPr>
            <w:tcW w:type="dxa" w:w="3742"/>
            <w:vAlign w:val="center"/>
          </w:tcPr>
          <w:p>
            <w:pPr>
              <w:spacing w:line="293" w:lineRule="auto" w:after="20"/>
            </w:pPr>
            <w:r>
              <w:rPr>
                <w:sz w:val="17"/>
              </w:rPr>
              <w:t>场站智能布局：交通流量、矿区路网、订单大数据</w:t>
            </w:r>
          </w:p>
        </w:tc>
        <w:tc>
          <w:tcPr>
            <w:tcW w:type="dxa" w:w="3005"/>
            <w:vAlign w:val="center"/>
          </w:tcPr>
          <w:p>
            <w:pPr>
              <w:spacing w:line="293" w:lineRule="auto" w:after="20"/>
            </w:pPr>
            <w:r>
              <w:rPr>
                <w:sz w:val="17"/>
              </w:rPr>
              <w:t>第7章</w:t>
            </w:r>
          </w:p>
        </w:tc>
      </w:tr>
      <w:tr>
        <w:trPr>
          <w:cantSplit/>
        </w:trPr>
        <w:tc>
          <w:tcPr>
            <w:tcW w:type="dxa" w:w="2324"/>
            <w:vAlign w:val="center"/>
          </w:tcPr>
          <w:p>
            <w:pPr>
              <w:spacing w:line="293" w:lineRule="auto" w:after="20"/>
            </w:pPr>
            <w:r>
              <w:rPr>
                <w:sz w:val="17"/>
              </w:rPr>
              <w:t>第三部分（二）第3项</w:t>
            </w:r>
          </w:p>
        </w:tc>
        <w:tc>
          <w:tcPr>
            <w:tcW w:type="dxa" w:w="3742"/>
            <w:vAlign w:val="center"/>
          </w:tcPr>
          <w:p>
            <w:pPr>
              <w:spacing w:line="293" w:lineRule="auto" w:after="20"/>
            </w:pPr>
            <w:r>
              <w:rPr>
                <w:sz w:val="17"/>
              </w:rPr>
              <w:t>运营时序优化：车辆充换电时序与最优路径</w:t>
            </w:r>
          </w:p>
        </w:tc>
        <w:tc>
          <w:tcPr>
            <w:tcW w:type="dxa" w:w="3005"/>
            <w:vAlign w:val="center"/>
          </w:tcPr>
          <w:p>
            <w:pPr>
              <w:spacing w:line="293" w:lineRule="auto" w:after="20"/>
            </w:pPr>
            <w:r>
              <w:rPr>
                <w:sz w:val="17"/>
              </w:rPr>
              <w:t>第3—5章</w:t>
            </w:r>
          </w:p>
        </w:tc>
      </w:tr>
      <w:tr>
        <w:trPr>
          <w:cantSplit/>
        </w:trPr>
        <w:tc>
          <w:tcPr>
            <w:tcW w:type="dxa" w:w="2324"/>
            <w:vAlign w:val="center"/>
          </w:tcPr>
          <w:p>
            <w:pPr>
              <w:spacing w:line="293" w:lineRule="auto" w:after="20"/>
            </w:pPr>
            <w:r>
              <w:rPr>
                <w:sz w:val="17"/>
              </w:rPr>
              <w:t>第三部分（二）第4项</w:t>
            </w:r>
          </w:p>
        </w:tc>
        <w:tc>
          <w:tcPr>
            <w:tcW w:type="dxa" w:w="3742"/>
            <w:vAlign w:val="center"/>
          </w:tcPr>
          <w:p>
            <w:pPr>
              <w:spacing w:line="293" w:lineRule="auto" w:after="20"/>
            </w:pPr>
            <w:r>
              <w:rPr>
                <w:sz w:val="17"/>
              </w:rPr>
              <w:t>充放电定制化：交通流量、电价与峰谷用电策略</w:t>
            </w:r>
          </w:p>
        </w:tc>
        <w:tc>
          <w:tcPr>
            <w:tcW w:type="dxa" w:w="3005"/>
            <w:vAlign w:val="center"/>
          </w:tcPr>
          <w:p>
            <w:pPr>
              <w:spacing w:line="293" w:lineRule="auto" w:after="20"/>
            </w:pPr>
            <w:r>
              <w:rPr>
                <w:sz w:val="17"/>
              </w:rPr>
              <w:t>第5—6章</w:t>
            </w:r>
          </w:p>
        </w:tc>
      </w:tr>
      <w:tr>
        <w:trPr>
          <w:cantSplit/>
        </w:trPr>
        <w:tc>
          <w:tcPr>
            <w:tcW w:type="dxa" w:w="2324"/>
            <w:vAlign w:val="center"/>
          </w:tcPr>
          <w:p>
            <w:pPr>
              <w:spacing w:line="293" w:lineRule="auto" w:after="20"/>
            </w:pPr>
            <w:r>
              <w:rPr>
                <w:sz w:val="17"/>
              </w:rPr>
              <w:t>第三部分（二）第5项</w:t>
            </w:r>
          </w:p>
        </w:tc>
        <w:tc>
          <w:tcPr>
            <w:tcW w:type="dxa" w:w="3742"/>
            <w:vAlign w:val="center"/>
          </w:tcPr>
          <w:p>
            <w:pPr>
              <w:spacing w:line="293" w:lineRule="auto" w:after="20"/>
            </w:pPr>
            <w:r>
              <w:rPr>
                <w:sz w:val="17"/>
              </w:rPr>
              <w:t>成本智能管控：购车、租赁、用电、维保和运输成本</w:t>
            </w:r>
          </w:p>
        </w:tc>
        <w:tc>
          <w:tcPr>
            <w:tcW w:type="dxa" w:w="3005"/>
            <w:vAlign w:val="center"/>
          </w:tcPr>
          <w:p>
            <w:pPr>
              <w:spacing w:line="293" w:lineRule="auto" w:after="20"/>
            </w:pPr>
            <w:r>
              <w:rPr>
                <w:sz w:val="17"/>
              </w:rPr>
              <w:t>第9章</w:t>
            </w:r>
          </w:p>
        </w:tc>
      </w:tr>
      <w:tr>
        <w:trPr>
          <w:cantSplit/>
        </w:trPr>
        <w:tc>
          <w:tcPr>
            <w:tcW w:type="dxa" w:w="2324"/>
            <w:vAlign w:val="center"/>
          </w:tcPr>
          <w:p>
            <w:pPr>
              <w:spacing w:line="293" w:lineRule="auto" w:after="20"/>
            </w:pPr>
            <w:r>
              <w:rPr>
                <w:sz w:val="17"/>
              </w:rPr>
              <w:t>第三部分（二）第6项</w:t>
            </w:r>
          </w:p>
        </w:tc>
        <w:tc>
          <w:tcPr>
            <w:tcW w:type="dxa" w:w="3742"/>
            <w:vAlign w:val="center"/>
          </w:tcPr>
          <w:p>
            <w:pPr>
              <w:spacing w:line="293" w:lineRule="auto" w:after="20"/>
            </w:pPr>
            <w:r>
              <w:rPr>
                <w:sz w:val="17"/>
              </w:rPr>
              <w:t>综合运营：车辆置换、任务派发、安全、故障救援、挂靠合作</w:t>
            </w:r>
          </w:p>
        </w:tc>
        <w:tc>
          <w:tcPr>
            <w:tcW w:type="dxa" w:w="3005"/>
            <w:vAlign w:val="center"/>
          </w:tcPr>
          <w:p>
            <w:pPr>
              <w:spacing w:line="293" w:lineRule="auto" w:after="20"/>
            </w:pPr>
            <w:r>
              <w:rPr>
                <w:sz w:val="17"/>
              </w:rPr>
              <w:t>第4章、第8—9章</w:t>
            </w:r>
          </w:p>
        </w:tc>
      </w:tr>
      <w:tr>
        <w:trPr>
          <w:cantSplit/>
        </w:trPr>
        <w:tc>
          <w:tcPr>
            <w:tcW w:type="dxa" w:w="2324"/>
            <w:vAlign w:val="center"/>
          </w:tcPr>
          <w:p>
            <w:pPr>
              <w:spacing w:line="293" w:lineRule="auto" w:after="20"/>
            </w:pPr>
            <w:r>
              <w:rPr>
                <w:sz w:val="17"/>
              </w:rPr>
              <w:t>第三部分（三）（四）</w:t>
            </w:r>
          </w:p>
        </w:tc>
        <w:tc>
          <w:tcPr>
            <w:tcW w:type="dxa" w:w="3742"/>
            <w:vAlign w:val="center"/>
          </w:tcPr>
          <w:p>
            <w:pPr>
              <w:spacing w:line="293" w:lineRule="auto" w:after="20"/>
            </w:pPr>
            <w:r>
              <w:rPr>
                <w:sz w:val="17"/>
              </w:rPr>
              <w:t>先导接入首批车辆/场站/电网数据；运营数据牵引投资</w:t>
            </w:r>
          </w:p>
        </w:tc>
        <w:tc>
          <w:tcPr>
            <w:tcW w:type="dxa" w:w="3005"/>
            <w:vAlign w:val="center"/>
          </w:tcPr>
          <w:p>
            <w:pPr>
              <w:spacing w:line="293" w:lineRule="auto" w:after="20"/>
            </w:pPr>
            <w:r>
              <w:rPr>
                <w:sz w:val="17"/>
              </w:rPr>
              <w:t>第2章、第7章、第11章</w:t>
            </w:r>
          </w:p>
        </w:tc>
      </w:tr>
      <w:tr>
        <w:trPr>
          <w:cantSplit/>
        </w:trPr>
        <w:tc>
          <w:tcPr>
            <w:tcW w:type="dxa" w:w="2324"/>
            <w:vAlign w:val="center"/>
          </w:tcPr>
          <w:p>
            <w:pPr>
              <w:spacing w:line="293" w:lineRule="auto" w:after="20"/>
            </w:pPr>
            <w:r>
              <w:rPr>
                <w:sz w:val="17"/>
              </w:rPr>
              <w:t>项目总体目标、分期里程碑</w:t>
            </w:r>
          </w:p>
        </w:tc>
        <w:tc>
          <w:tcPr>
            <w:tcW w:type="dxa" w:w="3742"/>
            <w:vAlign w:val="center"/>
          </w:tcPr>
          <w:p>
            <w:pPr>
              <w:spacing w:line="293" w:lineRule="auto" w:after="20"/>
            </w:pPr>
            <w:r>
              <w:rPr>
                <w:sz w:val="17"/>
              </w:rPr>
              <w:t>重卡、场站、电池、绿电等产业目标与规划约束</w:t>
            </w:r>
          </w:p>
        </w:tc>
        <w:tc>
          <w:tcPr>
            <w:tcW w:type="dxa" w:w="3005"/>
            <w:vAlign w:val="center"/>
          </w:tcPr>
          <w:p>
            <w:pPr>
              <w:spacing w:line="293" w:lineRule="auto" w:after="20"/>
            </w:pPr>
            <w:r>
              <w:rPr>
                <w:sz w:val="17"/>
              </w:rPr>
              <w:t>第1章、第13章</w:t>
            </w:r>
          </w:p>
        </w:tc>
      </w:tr>
    </w:tbl>
    <w:p>
      <w:pPr>
        <w:spacing w:after="0"/>
      </w:pPr>
    </w:p>
    <w:p>
      <w:pPr>
        <w:widowControl/>
      </w:pPr>
      <w:r>
        <w:t>参考资料：（1）《庆阳市交能融合产业项目落地推进实施方案》，华系投资有限公司，2026年9月；（2）《无人快递车监管平台需求说明书V1.0》（作为结构与表达方式参考，不作为本项目业务需求来源）。</w:t>
      </w:r>
    </w:p>
    <w:sectPr w:rsidR="00FC693F" w:rsidRPr="0006063C" w:rsidSect="00034616">
      <w:headerReference w:type="default" r:id="rId9"/>
      <w:footerReference w:type="default" r:id="rId10"/>
      <w:pgSz w:w="11906" w:h="16838"/>
      <w:pgMar w:top="1219" w:right="1389" w:bottom="1134" w:left="1559" w:header="510" w:footer="45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D8791"/>
        <w:sz w:val="16"/>
      </w:rPr>
      <w:t xml:space="preserve">需求规格说明书（初稿）  ·  第 </w:t>
    </w:r>
    <w:fldSimple w:instr="PAGE"/>
    <w:r>
      <w:rPr>
        <w:color w:val="7D8791"/>
        <w:sz w:val="16"/>
      </w:rPr>
      <w:t xml:space="preserve"> 页</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微软雅黑" w:hAnsi="微软雅黑"/>
        <w:color w:val="778597"/>
        <w:sz w:val="16"/>
      </w:rPr>
      <w:t>庆阳市交能融合智能体平台  |  需求规格说明书</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53" w:lineRule="auto" w:after="80"/>
    </w:pPr>
    <w:rPr>
      <w:rFonts w:ascii="宋体" w:hAnsi="宋体" w:eastAsia="宋体"/>
      <w:color w:val="2C3543"/>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360" w:after="200"/>
      <w:outlineLvl w:val="0"/>
    </w:pPr>
    <w:rPr>
      <w:rFonts w:asciiTheme="majorHAnsi" w:eastAsiaTheme="majorEastAsia" w:hAnsiTheme="majorHAnsi" w:cstheme="majorBidi" w:ascii="微软雅黑" w:hAnsi="微软雅黑" w:eastAsia="微软雅黑"/>
      <w:b/>
      <w:bCs/>
      <w:color w:val="1D3750"/>
      <w:sz w:val="31"/>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微软雅黑" w:hAnsi="微软雅黑" w:eastAsia="微软雅黑"/>
      <w:b/>
      <w:bCs/>
      <w:color w:val="1D415D"/>
      <w:sz w:val="25"/>
      <w:szCs w:val="26"/>
    </w:rPr>
  </w:style>
  <w:style w:type="paragraph" w:styleId="Heading3">
    <w:name w:val="heading 3"/>
    <w:basedOn w:val="Normal"/>
    <w:next w:val="Normal"/>
    <w:link w:val="Heading3Char"/>
    <w:uiPriority w:val="9"/>
    <w:unhideWhenUsed/>
    <w:qFormat/>
    <w:rsid w:val="00FC693F"/>
    <w:pPr>
      <w:keepNext/>
      <w:keepLines/>
      <w:spacing w:before="200" w:after="80"/>
      <w:outlineLvl w:val="2"/>
    </w:pPr>
    <w:rPr>
      <w:rFonts w:asciiTheme="majorHAnsi" w:eastAsiaTheme="majorEastAsia" w:hAnsiTheme="majorHAnsi" w:cstheme="majorBidi" w:ascii="微软雅黑" w:hAnsi="微软雅黑" w:eastAsia="微软雅黑"/>
      <w:b/>
      <w:bCs/>
      <w:color w:val="2F425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pBdr>
        <w:bottom w:val="single" w:sz="8" w:space="4" w:color="4F81BD" w:themeColor="accent1"/>
      </w:pBdr>
      <w:spacing w:after="400" w:line="240" w:lineRule="auto" w:before="0"/>
      <w:contextualSpacing/>
    </w:pPr>
    <w:rPr>
      <w:rFonts w:asciiTheme="majorHAnsi" w:eastAsiaTheme="majorEastAsia" w:hAnsiTheme="majorHAnsi" w:cstheme="majorBidi" w:ascii="微软雅黑" w:hAnsi="微软雅黑" w:eastAsia="微软雅黑"/>
      <w:b/>
      <w:color w:val="1E2F45"/>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ubLabel">
    <w:name w:val="SubLabel"/>
    <w:basedOn w:val="Normal"/>
    <w:pPr>
      <w:keepNext/>
      <w:spacing w:before="60" w:after="20"/>
    </w:pPr>
    <w:rPr>
      <w:rFonts w:ascii="微软雅黑" w:hAnsi="微软雅黑" w:eastAsia="微软雅黑"/>
      <w:b/>
      <w:color w:val="203E5C"/>
      <w:sz w:val="21"/>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庆阳市交能融合智能体平台需求规格说明书</dc:title>
  <dc:subject>软件功能与非功能需求</dc:subject>
  <dc:creator/>
  <cp:keywords>交能融合,智能体,需求规格说明,庆阳市</cp:keywords>
  <dc:description>generated by python-docx</dc:description>
  <cp:lastModifiedBy/>
  <cp:revision>1</cp:revision>
  <dcterms:created xsi:type="dcterms:W3CDTF">2013-12-23T23:15:00Z</dcterms:created>
  <dcterms:modified xsi:type="dcterms:W3CDTF">2013-12-23T23:15:00Z</dcterms:modified>
  <cp:category/>
</cp:coreProperties>
</file>