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389D1">
      <w:pPr>
        <w:spacing w:line="448" w:lineRule="exact"/>
      </w:pPr>
    </w:p>
    <w:p w14:paraId="48FB0D63">
      <w:pPr>
        <w:spacing w:line="448" w:lineRule="exact"/>
      </w:pPr>
    </w:p>
    <w:p w14:paraId="623D6F8C">
      <w:pPr>
        <w:spacing w:line="448" w:lineRule="exact"/>
      </w:pPr>
    </w:p>
    <w:p w14:paraId="69ED2CDE">
      <w:pPr>
        <w:spacing w:line="448" w:lineRule="exact"/>
      </w:pPr>
    </w:p>
    <w:p w14:paraId="4ADF26C6">
      <w:pPr>
        <w:spacing w:line="680" w:lineRule="exact"/>
        <w:jc w:val="center"/>
      </w:pPr>
      <w:r>
        <w:rPr>
          <w:rFonts w:eastAsia="黑体"/>
          <w:b/>
          <w:sz w:val="44"/>
        </w:rPr>
        <w:t>庆阳市交能融合产业项目</w:t>
      </w:r>
    </w:p>
    <w:p w14:paraId="6DDF69DF">
      <w:pPr>
        <w:spacing w:line="680" w:lineRule="exact"/>
        <w:jc w:val="center"/>
      </w:pPr>
      <w:r>
        <w:rPr>
          <w:rFonts w:eastAsia="黑体"/>
          <w:b/>
          <w:sz w:val="44"/>
        </w:rPr>
        <w:t>落地推进实施方案</w:t>
      </w:r>
    </w:p>
    <w:p w14:paraId="2EED7817">
      <w:pPr>
        <w:spacing w:line="448" w:lineRule="exact"/>
      </w:pPr>
    </w:p>
    <w:p w14:paraId="6724C95E">
      <w:pPr>
        <w:jc w:val="center"/>
      </w:pPr>
      <w:r>
        <w:rPr>
          <w:rFonts w:eastAsia="楷体"/>
          <w:sz w:val="30"/>
        </w:rPr>
        <w:t>——以交能融合智能体平台为先导的SPV一体化推进方案</w:t>
      </w:r>
    </w:p>
    <w:p w14:paraId="094E1223">
      <w:pPr>
        <w:spacing w:line="448" w:lineRule="exact"/>
      </w:pPr>
    </w:p>
    <w:p w14:paraId="131A8D47">
      <w:pPr>
        <w:spacing w:line="448" w:lineRule="exact"/>
      </w:pPr>
    </w:p>
    <w:p w14:paraId="7CAA97FC">
      <w:pPr>
        <w:spacing w:line="448" w:lineRule="exact"/>
      </w:pPr>
    </w:p>
    <w:p w14:paraId="37958B6B">
      <w:pPr>
        <w:spacing w:line="448" w:lineRule="exact"/>
      </w:pPr>
    </w:p>
    <w:p w14:paraId="7F125EDC">
      <w:pPr>
        <w:spacing w:line="448" w:lineRule="exact"/>
      </w:pPr>
    </w:p>
    <w:p w14:paraId="7ECE19B3">
      <w:pPr>
        <w:spacing w:line="448" w:lineRule="exact"/>
      </w:pPr>
    </w:p>
    <w:p w14:paraId="43BCEAED">
      <w:pPr>
        <w:spacing w:line="448" w:lineRule="exact"/>
      </w:pPr>
    </w:p>
    <w:p w14:paraId="418D6C86">
      <w:pPr>
        <w:spacing w:line="448" w:lineRule="exact"/>
      </w:pPr>
    </w:p>
    <w:p w14:paraId="69893621">
      <w:pPr>
        <w:spacing w:line="448" w:lineRule="exact"/>
      </w:pPr>
    </w:p>
    <w:p w14:paraId="4FEE8DF1">
      <w:pPr>
        <w:spacing w:line="448" w:lineRule="exact"/>
      </w:pPr>
    </w:p>
    <w:p w14:paraId="0DC83D5B">
      <w:pPr>
        <w:spacing w:line="560" w:lineRule="exact"/>
        <w:jc w:val="center"/>
      </w:pPr>
      <w:r>
        <w:rPr>
          <w:sz w:val="30"/>
        </w:rPr>
        <w:t>报送单位：华系投资有限公司</w:t>
      </w:r>
    </w:p>
    <w:p w14:paraId="55E687A0">
      <w:pPr>
        <w:spacing w:line="560" w:lineRule="exact"/>
        <w:jc w:val="center"/>
      </w:pPr>
      <w:r>
        <w:rPr>
          <w:sz w:val="30"/>
        </w:rPr>
        <w:t>报送对象：庆阳市人民政府</w:t>
      </w:r>
    </w:p>
    <w:p w14:paraId="07EDEE7A">
      <w:pPr>
        <w:spacing w:line="560" w:lineRule="exact"/>
        <w:jc w:val="center"/>
      </w:pPr>
      <w:r>
        <w:rPr>
          <w:sz w:val="30"/>
        </w:rPr>
        <w:t>二〇二六年九月</w:t>
      </w:r>
    </w:p>
    <w:p w14:paraId="4DE280A2">
      <w:pPr>
        <w:sectPr>
          <w:headerReference r:id="rId6" w:type="first"/>
          <w:footerReference r:id="rId8" w:type="first"/>
          <w:headerReference r:id="rId5" w:type="even"/>
          <w:footerReference r:id="rId7" w:type="even"/>
          <w:pgSz w:w="11906" w:h="16838"/>
          <w:pgMar w:top="2098" w:right="1474" w:bottom="1984" w:left="1587" w:header="720" w:footer="720" w:gutter="0"/>
          <w:pgNumType w:fmt="decimal"/>
          <w:cols w:space="720" w:num="1"/>
          <w:docGrid w:linePitch="360" w:charSpace="0"/>
        </w:sectPr>
      </w:pPr>
    </w:p>
    <w:p w14:paraId="056D972E">
      <w:pPr>
        <w:spacing w:after="200"/>
        <w:jc w:val="center"/>
      </w:pPr>
      <w:r>
        <w:rPr>
          <w:rFonts w:eastAsia="黑体"/>
          <w:b/>
          <w:sz w:val="36"/>
        </w:rPr>
        <w:t>目录</w:t>
      </w:r>
    </w:p>
    <w:p w14:paraId="57B78457">
      <w:pPr>
        <w:pStyle w:val="26"/>
        <w:tabs>
          <w:tab w:val="right" w:leader="dot" w:pos="8835"/>
        </w:tabs>
        <w:spacing w:after="20" w:line="360" w:lineRule="exact"/>
        <w:rPr>
          <w:rFonts w:hint="eastAsia" w:asciiTheme="minorHAnsi" w:hAnsiTheme="minorHAnsi" w:eastAsiaTheme="minorEastAsia" w:cstheme="minorBidi"/>
          <w:color w:val="auto"/>
          <w:kern w:val="2"/>
          <w:sz w:val="24"/>
          <w:szCs w:val="24"/>
          <w:lang w:eastAsia="zh-CN"/>
          <w14:ligatures w14:val="standardContextual"/>
        </w:rPr>
      </w:pPr>
      <w:r>
        <w:rPr>
          <w:sz w:val="24"/>
        </w:rPr>
        <w:fldChar w:fldCharType="begin"/>
      </w:r>
      <w:r>
        <w:rPr>
          <w:sz w:val="24"/>
        </w:rPr>
        <w:instrText xml:space="preserve">TOC \o "1-2" \h \z \u</w:instrText>
      </w:r>
      <w:r>
        <w:rPr>
          <w:sz w:val="24"/>
        </w:rPr>
        <w:fldChar w:fldCharType="separate"/>
      </w:r>
      <w:r>
        <w:fldChar w:fldCharType="begin"/>
      </w:r>
      <w:r>
        <w:instrText xml:space="preserve"> HYPERLINK \l "_Toc239250973" </w:instrText>
      </w:r>
      <w:r>
        <w:fldChar w:fldCharType="separate"/>
      </w:r>
      <w:r>
        <w:rPr>
          <w:rStyle w:val="137"/>
          <w:rFonts w:hint="eastAsia" w:eastAsia="黑体"/>
          <w:sz w:val="24"/>
        </w:rPr>
        <w:t>一、总体考虑与工作目标</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_Toc239250973 \h</w:instrText>
      </w:r>
      <w:r>
        <w:rPr>
          <w:rFonts w:hint="eastAsia"/>
          <w:sz w:val="24"/>
        </w:rPr>
        <w:instrText xml:space="preserve"> </w:instrText>
      </w:r>
      <w:r>
        <w:rPr>
          <w:rFonts w:hint="eastAsia"/>
          <w:sz w:val="24"/>
        </w:rPr>
        <w:fldChar w:fldCharType="separate"/>
      </w:r>
      <w:r>
        <w:rPr>
          <w:sz w:val="24"/>
        </w:rPr>
        <w:t>1</w:t>
      </w:r>
      <w:r>
        <w:rPr>
          <w:rFonts w:hint="eastAsia"/>
          <w:sz w:val="24"/>
        </w:rPr>
        <w:fldChar w:fldCharType="end"/>
      </w:r>
      <w:r>
        <w:rPr>
          <w:rFonts w:hint="eastAsia"/>
          <w:sz w:val="24"/>
        </w:rPr>
        <w:fldChar w:fldCharType="end"/>
      </w:r>
    </w:p>
    <w:p w14:paraId="365CDE44">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"_Toc239250974" </w:instrText>
      </w:r>
      <w:r>
        <w:fldChar w:fldCharType="separate"/>
      </w:r>
      <w:r>
        <w:rPr>
          <w:rStyle w:val="137"/>
          <w:rFonts w:hint="eastAsia" w:eastAsia="楷体"/>
          <w:sz w:val="24"/>
        </w:rPr>
        <w:t>（一）总体思路</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_Toc239250974 \h</w:instrText>
      </w:r>
      <w:r>
        <w:rPr>
          <w:rFonts w:hint="eastAsia"/>
          <w:sz w:val="24"/>
        </w:rPr>
        <w:instrText xml:space="preserve"> </w:instrText>
      </w:r>
      <w:r>
        <w:rPr>
          <w:rFonts w:hint="eastAsia"/>
          <w:sz w:val="24"/>
        </w:rPr>
        <w:fldChar w:fldCharType="separate"/>
      </w:r>
      <w:r>
        <w:rPr>
          <w:sz w:val="24"/>
        </w:rPr>
        <w:t>1</w:t>
      </w:r>
      <w:r>
        <w:rPr>
          <w:rFonts w:hint="eastAsia"/>
          <w:sz w:val="24"/>
        </w:rPr>
        <w:fldChar w:fldCharType="end"/>
      </w:r>
      <w:r>
        <w:rPr>
          <w:rFonts w:hint="eastAsia"/>
          <w:sz w:val="24"/>
        </w:rPr>
        <w:fldChar w:fldCharType="end"/>
      </w:r>
    </w:p>
    <w:p w14:paraId="23C79652">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"_Toc239250975" </w:instrText>
      </w:r>
      <w:r>
        <w:fldChar w:fldCharType="separate"/>
      </w:r>
      <w:r>
        <w:rPr>
          <w:rStyle w:val="137"/>
          <w:rFonts w:hint="eastAsia" w:eastAsia="楷体"/>
          <w:sz w:val="24"/>
        </w:rPr>
        <w:t>（二）基本原则</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_Toc239250975 \h</w:instrText>
      </w:r>
      <w:r>
        <w:rPr>
          <w:rFonts w:hint="eastAsia"/>
          <w:sz w:val="24"/>
        </w:rPr>
        <w:instrText xml:space="preserve"> </w:instrText>
      </w:r>
      <w:r>
        <w:rPr>
          <w:rFonts w:hint="eastAsia"/>
          <w:sz w:val="24"/>
        </w:rPr>
        <w:fldChar w:fldCharType="separate"/>
      </w:r>
      <w:r>
        <w:rPr>
          <w:sz w:val="24"/>
        </w:rPr>
        <w:t>1</w:t>
      </w:r>
      <w:r>
        <w:rPr>
          <w:rFonts w:hint="eastAsia"/>
          <w:sz w:val="24"/>
        </w:rPr>
        <w:fldChar w:fldCharType="end"/>
      </w:r>
      <w:r>
        <w:rPr>
          <w:rFonts w:hint="eastAsia"/>
          <w:sz w:val="24"/>
        </w:rPr>
        <w:fldChar w:fldCharType="end"/>
      </w:r>
    </w:p>
    <w:p w14:paraId="3ADE836F">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"_Toc239250976" </w:instrText>
      </w:r>
      <w:r>
        <w:fldChar w:fldCharType="separate"/>
      </w:r>
      <w:r>
        <w:rPr>
          <w:rStyle w:val="137"/>
          <w:rFonts w:hint="eastAsia" w:eastAsia="楷体"/>
          <w:sz w:val="24"/>
        </w:rPr>
        <w:t>（三）总体目标</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_Toc239250976 \h</w:instrText>
      </w:r>
      <w:r>
        <w:rPr>
          <w:rFonts w:hint="eastAsia"/>
          <w:sz w:val="24"/>
        </w:rPr>
        <w:instrText xml:space="preserve"> </w:instrText>
      </w:r>
      <w:r>
        <w:rPr>
          <w:rFonts w:hint="eastAsia"/>
          <w:sz w:val="24"/>
        </w:rPr>
        <w:fldChar w:fldCharType="separate"/>
      </w:r>
      <w:r>
        <w:rPr>
          <w:sz w:val="24"/>
        </w:rPr>
        <w:t>2</w:t>
      </w:r>
      <w:r>
        <w:rPr>
          <w:rFonts w:hint="eastAsia"/>
          <w:sz w:val="24"/>
        </w:rPr>
        <w:fldChar w:fldCharType="end"/>
      </w:r>
      <w:r>
        <w:rPr>
          <w:rFonts w:hint="eastAsia"/>
          <w:sz w:val="24"/>
        </w:rPr>
        <w:fldChar w:fldCharType="end"/>
      </w:r>
    </w:p>
    <w:p w14:paraId="05650348">
      <w:pPr>
        <w:pStyle w:val="26"/>
        <w:tabs>
          <w:tab w:val="right" w:leader="dot" w:pos="8835"/>
        </w:tabs>
        <w:spacing w:after="20" w:line="360" w:lineRule="exact"/>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"_Toc239250977" </w:instrText>
      </w:r>
      <w:r>
        <w:fldChar w:fldCharType="separate"/>
      </w:r>
      <w:r>
        <w:rPr>
          <w:rStyle w:val="137"/>
          <w:rFonts w:hint="eastAsia" w:eastAsia="黑体"/>
          <w:sz w:val="24"/>
        </w:rPr>
        <w:t>二、总体实施路径：平台先导的“三步走”闭环</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_Toc239250977 \h</w:instrText>
      </w:r>
      <w:r>
        <w:rPr>
          <w:rFonts w:hint="eastAsia"/>
          <w:sz w:val="24"/>
        </w:rPr>
        <w:instrText xml:space="preserve"> </w:instrText>
      </w:r>
      <w:r>
        <w:rPr>
          <w:rFonts w:hint="eastAsia"/>
          <w:sz w:val="24"/>
        </w:rPr>
        <w:fldChar w:fldCharType="separate"/>
      </w:r>
      <w:r>
        <w:rPr>
          <w:sz w:val="24"/>
        </w:rPr>
        <w:t>3</w:t>
      </w:r>
      <w:r>
        <w:rPr>
          <w:rFonts w:hint="eastAsia"/>
          <w:sz w:val="24"/>
        </w:rPr>
        <w:fldChar w:fldCharType="end"/>
      </w:r>
      <w:r>
        <w:rPr>
          <w:rFonts w:hint="eastAsia"/>
          <w:sz w:val="24"/>
        </w:rPr>
        <w:fldChar w:fldCharType="end"/>
      </w:r>
    </w:p>
    <w:p w14:paraId="0F3B9F5A">
      <w:pPr>
        <w:pStyle w:val="26"/>
        <w:tabs>
          <w:tab w:val="right" w:leader="dot" w:pos="8835"/>
        </w:tabs>
        <w:spacing w:after="20" w:line="360" w:lineRule="exact"/>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"_Toc239250978" </w:instrText>
      </w:r>
      <w:r>
        <w:fldChar w:fldCharType="separate"/>
      </w:r>
      <w:r>
        <w:rPr>
          <w:rStyle w:val="137"/>
          <w:rFonts w:hint="eastAsia" w:eastAsia="黑体"/>
          <w:sz w:val="24"/>
        </w:rPr>
        <w:t>三、第一步：交能融合智能体平台先导建设</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_Toc239250978 \h</w:instrText>
      </w:r>
      <w:r>
        <w:rPr>
          <w:rFonts w:hint="eastAsia"/>
          <w:sz w:val="24"/>
        </w:rPr>
        <w:instrText xml:space="preserve"> </w:instrText>
      </w:r>
      <w:r>
        <w:rPr>
          <w:rFonts w:hint="eastAsia"/>
          <w:sz w:val="24"/>
        </w:rPr>
        <w:fldChar w:fldCharType="separate"/>
      </w:r>
      <w:r>
        <w:rPr>
          <w:sz w:val="24"/>
        </w:rPr>
        <w:t>3</w:t>
      </w:r>
      <w:r>
        <w:rPr>
          <w:rFonts w:hint="eastAsia"/>
          <w:sz w:val="24"/>
        </w:rPr>
        <w:fldChar w:fldCharType="end"/>
      </w:r>
      <w:r>
        <w:rPr>
          <w:rFonts w:hint="eastAsia"/>
          <w:sz w:val="24"/>
        </w:rPr>
        <w:fldChar w:fldCharType="end"/>
      </w:r>
    </w:p>
    <w:p w14:paraId="7D5CEA07">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"_Toc239250979" </w:instrText>
      </w:r>
      <w:r>
        <w:fldChar w:fldCharType="separate"/>
      </w:r>
      <w:r>
        <w:rPr>
          <w:rStyle w:val="137"/>
          <w:rFonts w:hint="eastAsia" w:eastAsia="楷体"/>
          <w:sz w:val="24"/>
        </w:rPr>
        <w:t>（一）平台定位</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_Toc239250979 \h</w:instrText>
      </w:r>
      <w:r>
        <w:rPr>
          <w:rFonts w:hint="eastAsia"/>
          <w:sz w:val="24"/>
        </w:rPr>
        <w:instrText xml:space="preserve"> </w:instrText>
      </w:r>
      <w:r>
        <w:rPr>
          <w:rFonts w:hint="eastAsia"/>
          <w:sz w:val="24"/>
        </w:rPr>
        <w:fldChar w:fldCharType="separate"/>
      </w:r>
      <w:r>
        <w:rPr>
          <w:sz w:val="24"/>
        </w:rPr>
        <w:t>3</w:t>
      </w:r>
      <w:r>
        <w:rPr>
          <w:rFonts w:hint="eastAsia"/>
          <w:sz w:val="24"/>
        </w:rPr>
        <w:fldChar w:fldCharType="end"/>
      </w:r>
      <w:r>
        <w:rPr>
          <w:rFonts w:hint="eastAsia"/>
          <w:sz w:val="24"/>
        </w:rPr>
        <w:fldChar w:fldCharType="end"/>
      </w:r>
    </w:p>
    <w:p w14:paraId="708B006E">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"_Toc239250980" </w:instrText>
      </w:r>
      <w:r>
        <w:fldChar w:fldCharType="separate"/>
      </w:r>
      <w:r>
        <w:rPr>
          <w:rStyle w:val="137"/>
          <w:rFonts w:hint="eastAsia" w:eastAsia="楷体"/>
          <w:sz w:val="24"/>
        </w:rPr>
        <w:t>（二）核心功能</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_Toc239250980 \h</w:instrText>
      </w:r>
      <w:r>
        <w:rPr>
          <w:rFonts w:hint="eastAsia"/>
          <w:sz w:val="24"/>
        </w:rPr>
        <w:instrText xml:space="preserve"> </w:instrText>
      </w:r>
      <w:r>
        <w:rPr>
          <w:rFonts w:hint="eastAsia"/>
          <w:sz w:val="24"/>
        </w:rPr>
        <w:fldChar w:fldCharType="separate"/>
      </w:r>
      <w:r>
        <w:rPr>
          <w:sz w:val="24"/>
        </w:rPr>
        <w:t>4</w:t>
      </w:r>
      <w:r>
        <w:rPr>
          <w:rFonts w:hint="eastAsia"/>
          <w:sz w:val="24"/>
        </w:rPr>
        <w:fldChar w:fldCharType="end"/>
      </w:r>
      <w:r>
        <w:rPr>
          <w:rFonts w:hint="eastAsia"/>
          <w:sz w:val="24"/>
        </w:rPr>
        <w:fldChar w:fldCharType="end"/>
      </w:r>
    </w:p>
    <w:p w14:paraId="1F9C7FC3">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"_Toc239250981" </w:instrText>
      </w:r>
      <w:r>
        <w:fldChar w:fldCharType="separate"/>
      </w:r>
      <w:r>
        <w:rPr>
          <w:rStyle w:val="137"/>
          <w:rFonts w:hint="eastAsia" w:eastAsia="楷体"/>
          <w:sz w:val="24"/>
        </w:rPr>
        <w:t>（三）先导期建设安排</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_Toc239250981 \h</w:instrText>
      </w:r>
      <w:r>
        <w:rPr>
          <w:rFonts w:hint="eastAsia"/>
          <w:sz w:val="24"/>
        </w:rPr>
        <w:instrText xml:space="preserve"> </w:instrText>
      </w:r>
      <w:r>
        <w:rPr>
          <w:rFonts w:hint="eastAsia"/>
          <w:sz w:val="24"/>
        </w:rPr>
        <w:fldChar w:fldCharType="separate"/>
      </w:r>
      <w:r>
        <w:rPr>
          <w:sz w:val="24"/>
        </w:rPr>
        <w:t>4</w:t>
      </w:r>
      <w:r>
        <w:rPr>
          <w:rFonts w:hint="eastAsia"/>
          <w:sz w:val="24"/>
        </w:rPr>
        <w:fldChar w:fldCharType="end"/>
      </w:r>
      <w:r>
        <w:rPr>
          <w:rFonts w:hint="eastAsia"/>
          <w:sz w:val="24"/>
        </w:rPr>
        <w:fldChar w:fldCharType="end"/>
      </w:r>
    </w:p>
    <w:p w14:paraId="51DE22CC">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"_Toc239250982" </w:instrText>
      </w:r>
      <w:r>
        <w:fldChar w:fldCharType="separate"/>
      </w:r>
      <w:r>
        <w:rPr>
          <w:rStyle w:val="137"/>
          <w:rFonts w:hint="eastAsia" w:eastAsia="楷体"/>
          <w:sz w:val="24"/>
        </w:rPr>
        <w:t>（四）平台对重资产的牵引机制</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_Toc239250982 \h</w:instrText>
      </w:r>
      <w:r>
        <w:rPr>
          <w:rFonts w:hint="eastAsia"/>
          <w:sz w:val="24"/>
        </w:rPr>
        <w:instrText xml:space="preserve"> </w:instrText>
      </w:r>
      <w:r>
        <w:rPr>
          <w:rFonts w:hint="eastAsia"/>
          <w:sz w:val="24"/>
        </w:rPr>
        <w:fldChar w:fldCharType="separate"/>
      </w:r>
      <w:r>
        <w:rPr>
          <w:sz w:val="24"/>
        </w:rPr>
        <w:t>4</w:t>
      </w:r>
      <w:r>
        <w:rPr>
          <w:rFonts w:hint="eastAsia"/>
          <w:sz w:val="24"/>
        </w:rPr>
        <w:fldChar w:fldCharType="end"/>
      </w:r>
      <w:r>
        <w:rPr>
          <w:rFonts w:hint="eastAsia"/>
          <w:sz w:val="24"/>
        </w:rPr>
        <w:fldChar w:fldCharType="end"/>
      </w:r>
    </w:p>
    <w:p w14:paraId="51E9C679">
      <w:pPr>
        <w:pStyle w:val="26"/>
        <w:tabs>
          <w:tab w:val="right" w:leader="dot" w:pos="8835"/>
        </w:tabs>
        <w:spacing w:after="20" w:line="360" w:lineRule="exact"/>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"_Toc239250983" </w:instrText>
      </w:r>
      <w:r>
        <w:fldChar w:fldCharType="separate"/>
      </w:r>
      <w:r>
        <w:rPr>
          <w:rStyle w:val="137"/>
          <w:rFonts w:hint="eastAsia" w:eastAsia="黑体"/>
          <w:sz w:val="24"/>
        </w:rPr>
        <w:t>四、第二步：组建SPV项目公司，构建投融建管运一体化主体</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_Toc239250983 \h</w:instrText>
      </w:r>
      <w:r>
        <w:rPr>
          <w:rFonts w:hint="eastAsia"/>
          <w:sz w:val="24"/>
        </w:rPr>
        <w:instrText xml:space="preserve"> </w:instrText>
      </w:r>
      <w:r>
        <w:rPr>
          <w:rFonts w:hint="eastAsia"/>
          <w:sz w:val="24"/>
        </w:rPr>
        <w:fldChar w:fldCharType="separate"/>
      </w:r>
      <w:r>
        <w:rPr>
          <w:sz w:val="24"/>
        </w:rPr>
        <w:t>5</w:t>
      </w:r>
      <w:r>
        <w:rPr>
          <w:rFonts w:hint="eastAsia"/>
          <w:sz w:val="24"/>
        </w:rPr>
        <w:fldChar w:fldCharType="end"/>
      </w:r>
      <w:r>
        <w:rPr>
          <w:rFonts w:hint="eastAsia"/>
          <w:sz w:val="24"/>
        </w:rPr>
        <w:fldChar w:fldCharType="end"/>
      </w:r>
    </w:p>
    <w:p w14:paraId="106FEC0C">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"_Toc239250984" </w:instrText>
      </w:r>
      <w:r>
        <w:fldChar w:fldCharType="separate"/>
      </w:r>
      <w:r>
        <w:rPr>
          <w:rStyle w:val="137"/>
          <w:rFonts w:hint="eastAsia" w:eastAsia="楷体"/>
          <w:sz w:val="24"/>
        </w:rPr>
        <w:t>（一）组建方式与注册</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_Toc239250984 \h</w:instrText>
      </w:r>
      <w:r>
        <w:rPr>
          <w:rFonts w:hint="eastAsia"/>
          <w:sz w:val="24"/>
        </w:rPr>
        <w:instrText xml:space="preserve"> </w:instrText>
      </w:r>
      <w:r>
        <w:rPr>
          <w:rFonts w:hint="eastAsia"/>
          <w:sz w:val="24"/>
        </w:rPr>
        <w:fldChar w:fldCharType="separate"/>
      </w:r>
      <w:r>
        <w:rPr>
          <w:sz w:val="24"/>
        </w:rPr>
        <w:t>5</w:t>
      </w:r>
      <w:r>
        <w:rPr>
          <w:rFonts w:hint="eastAsia"/>
          <w:sz w:val="24"/>
        </w:rPr>
        <w:fldChar w:fldCharType="end"/>
      </w:r>
      <w:r>
        <w:rPr>
          <w:rFonts w:hint="eastAsia"/>
          <w:sz w:val="24"/>
        </w:rPr>
        <w:fldChar w:fldCharType="end"/>
      </w:r>
    </w:p>
    <w:p w14:paraId="30BF44E7">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"_Toc239250985" </w:instrText>
      </w:r>
      <w:r>
        <w:fldChar w:fldCharType="separate"/>
      </w:r>
      <w:r>
        <w:rPr>
          <w:rStyle w:val="137"/>
          <w:rFonts w:hint="eastAsia" w:eastAsia="楷体"/>
          <w:sz w:val="24"/>
        </w:rPr>
        <w:t>（二）股权结构与资金筹措</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_Toc239250985 \h</w:instrText>
      </w:r>
      <w:r>
        <w:rPr>
          <w:rFonts w:hint="eastAsia"/>
          <w:sz w:val="24"/>
        </w:rPr>
        <w:instrText xml:space="preserve"> </w:instrText>
      </w:r>
      <w:r>
        <w:rPr>
          <w:rFonts w:hint="eastAsia"/>
          <w:sz w:val="24"/>
        </w:rPr>
        <w:fldChar w:fldCharType="separate"/>
      </w:r>
      <w:r>
        <w:rPr>
          <w:sz w:val="24"/>
        </w:rPr>
        <w:t>5</w:t>
      </w:r>
      <w:r>
        <w:rPr>
          <w:rFonts w:hint="eastAsia"/>
          <w:sz w:val="24"/>
        </w:rPr>
        <w:fldChar w:fldCharType="end"/>
      </w:r>
      <w:r>
        <w:rPr>
          <w:rFonts w:hint="eastAsia"/>
          <w:sz w:val="24"/>
        </w:rPr>
        <w:fldChar w:fldCharType="end"/>
      </w:r>
    </w:p>
    <w:p w14:paraId="34C322C4">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"_Toc239250986" </w:instrText>
      </w:r>
      <w:r>
        <w:fldChar w:fldCharType="separate"/>
      </w:r>
      <w:r>
        <w:rPr>
          <w:rStyle w:val="137"/>
          <w:rFonts w:hint="eastAsia" w:eastAsia="楷体"/>
          <w:sz w:val="24"/>
        </w:rPr>
        <w:t>（三）业务架构</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_Toc239250986 \h</w:instrText>
      </w:r>
      <w:r>
        <w:rPr>
          <w:rFonts w:hint="eastAsia"/>
          <w:sz w:val="24"/>
        </w:rPr>
        <w:instrText xml:space="preserve"> </w:instrText>
      </w:r>
      <w:r>
        <w:rPr>
          <w:rFonts w:hint="eastAsia"/>
          <w:sz w:val="24"/>
        </w:rPr>
        <w:fldChar w:fldCharType="separate"/>
      </w:r>
      <w:r>
        <w:rPr>
          <w:sz w:val="24"/>
        </w:rPr>
        <w:t>5</w:t>
      </w:r>
      <w:r>
        <w:rPr>
          <w:rFonts w:hint="eastAsia"/>
          <w:sz w:val="24"/>
        </w:rPr>
        <w:fldChar w:fldCharType="end"/>
      </w:r>
      <w:r>
        <w:rPr>
          <w:rFonts w:hint="eastAsia"/>
          <w:sz w:val="24"/>
        </w:rPr>
        <w:fldChar w:fldCharType="end"/>
      </w:r>
    </w:p>
    <w:p w14:paraId="3D1992AB">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"_Toc239250987" </w:instrText>
      </w:r>
      <w:r>
        <w:fldChar w:fldCharType="separate"/>
      </w:r>
      <w:r>
        <w:rPr>
          <w:rStyle w:val="137"/>
          <w:rFonts w:hint="eastAsia" w:eastAsia="楷体"/>
          <w:sz w:val="24"/>
        </w:rPr>
        <w:t>（四）治理与合规</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_Toc239250987 \h</w:instrText>
      </w:r>
      <w:r>
        <w:rPr>
          <w:rFonts w:hint="eastAsia"/>
          <w:sz w:val="24"/>
        </w:rPr>
        <w:instrText xml:space="preserve"> </w:instrText>
      </w:r>
      <w:r>
        <w:rPr>
          <w:rFonts w:hint="eastAsia"/>
          <w:sz w:val="24"/>
        </w:rPr>
        <w:fldChar w:fldCharType="separate"/>
      </w:r>
      <w:r>
        <w:rPr>
          <w:sz w:val="24"/>
        </w:rPr>
        <w:t>6</w:t>
      </w:r>
      <w:r>
        <w:rPr>
          <w:rFonts w:hint="eastAsia"/>
          <w:sz w:val="24"/>
        </w:rPr>
        <w:fldChar w:fldCharType="end"/>
      </w:r>
      <w:r>
        <w:rPr>
          <w:rFonts w:hint="eastAsia"/>
          <w:sz w:val="24"/>
        </w:rPr>
        <w:fldChar w:fldCharType="end"/>
      </w:r>
    </w:p>
    <w:p w14:paraId="191C7F51">
      <w:pPr>
        <w:pStyle w:val="26"/>
        <w:tabs>
          <w:tab w:val="right" w:leader="dot" w:pos="8835"/>
        </w:tabs>
        <w:spacing w:after="20" w:line="360" w:lineRule="exact"/>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"_Toc239250988" </w:instrText>
      </w:r>
      <w:r>
        <w:fldChar w:fldCharType="separate"/>
      </w:r>
      <w:r>
        <w:rPr>
          <w:rStyle w:val="137"/>
          <w:rFonts w:hint="eastAsia" w:eastAsia="黑体"/>
          <w:sz w:val="24"/>
        </w:rPr>
        <w:t>五、第三步：整合全链条资源、落地建设内容</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_Toc239250988 \h</w:instrText>
      </w:r>
      <w:r>
        <w:rPr>
          <w:rFonts w:hint="eastAsia"/>
          <w:sz w:val="24"/>
        </w:rPr>
        <w:instrText xml:space="preserve"> </w:instrText>
      </w:r>
      <w:r>
        <w:rPr>
          <w:rFonts w:hint="eastAsia"/>
          <w:sz w:val="24"/>
        </w:rPr>
        <w:fldChar w:fldCharType="separate"/>
      </w:r>
      <w:r>
        <w:rPr>
          <w:sz w:val="24"/>
        </w:rPr>
        <w:t>6</w:t>
      </w:r>
      <w:r>
        <w:rPr>
          <w:rFonts w:hint="eastAsia"/>
          <w:sz w:val="24"/>
        </w:rPr>
        <w:fldChar w:fldCharType="end"/>
      </w:r>
      <w:r>
        <w:rPr>
          <w:rFonts w:hint="eastAsia"/>
          <w:sz w:val="24"/>
        </w:rPr>
        <w:fldChar w:fldCharType="end"/>
      </w:r>
    </w:p>
    <w:p w14:paraId="754D0E0E">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"_Toc239250989" </w:instrText>
      </w:r>
      <w:r>
        <w:fldChar w:fldCharType="separate"/>
      </w:r>
      <w:r>
        <w:rPr>
          <w:rStyle w:val="137"/>
          <w:rFonts w:hint="eastAsia" w:eastAsia="楷体"/>
          <w:sz w:val="24"/>
        </w:rPr>
        <w:t>（一）整合头部资源组建产业联合体</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_Toc239250989 \h</w:instrText>
      </w:r>
      <w:r>
        <w:rPr>
          <w:rFonts w:hint="eastAsia"/>
          <w:sz w:val="24"/>
        </w:rPr>
        <w:instrText xml:space="preserve"> </w:instrText>
      </w:r>
      <w:r>
        <w:rPr>
          <w:rFonts w:hint="eastAsia"/>
          <w:sz w:val="24"/>
        </w:rPr>
        <w:fldChar w:fldCharType="separate"/>
      </w:r>
      <w:r>
        <w:rPr>
          <w:sz w:val="24"/>
        </w:rPr>
        <w:t>6</w:t>
      </w:r>
      <w:r>
        <w:rPr>
          <w:rFonts w:hint="eastAsia"/>
          <w:sz w:val="24"/>
        </w:rPr>
        <w:fldChar w:fldCharType="end"/>
      </w:r>
      <w:r>
        <w:rPr>
          <w:rFonts w:hint="eastAsia"/>
          <w:sz w:val="24"/>
        </w:rPr>
        <w:fldChar w:fldCharType="end"/>
      </w:r>
    </w:p>
    <w:p w14:paraId="282121CE">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"_Toc239250990" </w:instrText>
      </w:r>
      <w:r>
        <w:fldChar w:fldCharType="separate"/>
      </w:r>
      <w:r>
        <w:rPr>
          <w:rStyle w:val="137"/>
          <w:rFonts w:hint="eastAsia" w:eastAsia="楷体"/>
          <w:sz w:val="24"/>
        </w:rPr>
        <w:t>（二）建设内容与投资安排</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_Toc239250990 \h</w:instrText>
      </w:r>
      <w:r>
        <w:rPr>
          <w:rFonts w:hint="eastAsia"/>
          <w:sz w:val="24"/>
        </w:rPr>
        <w:instrText xml:space="preserve"> </w:instrText>
      </w:r>
      <w:r>
        <w:rPr>
          <w:rFonts w:hint="eastAsia"/>
          <w:sz w:val="24"/>
        </w:rPr>
        <w:fldChar w:fldCharType="separate"/>
      </w:r>
      <w:r>
        <w:rPr>
          <w:sz w:val="24"/>
        </w:rPr>
        <w:t>6</w:t>
      </w:r>
      <w:r>
        <w:rPr>
          <w:rFonts w:hint="eastAsia"/>
          <w:sz w:val="24"/>
        </w:rPr>
        <w:fldChar w:fldCharType="end"/>
      </w:r>
      <w:r>
        <w:rPr>
          <w:rFonts w:hint="eastAsia"/>
          <w:sz w:val="24"/>
        </w:rPr>
        <w:fldChar w:fldCharType="end"/>
      </w:r>
    </w:p>
    <w:p w14:paraId="1A1A92E9">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"_Toc239250991" </w:instrText>
      </w:r>
      <w:r>
        <w:fldChar w:fldCharType="separate"/>
      </w:r>
      <w:r>
        <w:rPr>
          <w:rStyle w:val="137"/>
          <w:rFonts w:hint="eastAsia" w:eastAsia="楷体"/>
          <w:sz w:val="24"/>
        </w:rPr>
        <w:t>（三）商业模式闭环</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_Toc239250991 \h</w:instrText>
      </w:r>
      <w:r>
        <w:rPr>
          <w:rFonts w:hint="eastAsia"/>
          <w:sz w:val="24"/>
        </w:rPr>
        <w:instrText xml:space="preserve"> </w:instrText>
      </w:r>
      <w:r>
        <w:rPr>
          <w:rFonts w:hint="eastAsia"/>
          <w:sz w:val="24"/>
        </w:rPr>
        <w:fldChar w:fldCharType="separate"/>
      </w:r>
      <w:r>
        <w:rPr>
          <w:sz w:val="24"/>
        </w:rPr>
        <w:t>7</w:t>
      </w:r>
      <w:r>
        <w:rPr>
          <w:rFonts w:hint="eastAsia"/>
          <w:sz w:val="24"/>
        </w:rPr>
        <w:fldChar w:fldCharType="end"/>
      </w:r>
      <w:r>
        <w:rPr>
          <w:rFonts w:hint="eastAsia"/>
          <w:sz w:val="24"/>
        </w:rPr>
        <w:fldChar w:fldCharType="end"/>
      </w:r>
    </w:p>
    <w:p w14:paraId="0882BB88">
      <w:pPr>
        <w:pStyle w:val="26"/>
        <w:tabs>
          <w:tab w:val="right" w:leader="dot" w:pos="8835"/>
        </w:tabs>
        <w:spacing w:after="20" w:line="360" w:lineRule="exact"/>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"_Toc239250992" </w:instrText>
      </w:r>
      <w:r>
        <w:fldChar w:fldCharType="separate"/>
      </w:r>
      <w:r>
        <w:rPr>
          <w:rStyle w:val="137"/>
          <w:rFonts w:hint="eastAsia" w:eastAsia="黑体"/>
          <w:sz w:val="24"/>
        </w:rPr>
        <w:t>六、分期实施计划与里程碑</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_Toc239250992 \h</w:instrText>
      </w:r>
      <w:r>
        <w:rPr>
          <w:rFonts w:hint="eastAsia"/>
          <w:sz w:val="24"/>
        </w:rPr>
        <w:instrText xml:space="preserve"> </w:instrText>
      </w:r>
      <w:r>
        <w:rPr>
          <w:rFonts w:hint="eastAsia"/>
          <w:sz w:val="24"/>
        </w:rPr>
        <w:fldChar w:fldCharType="separate"/>
      </w:r>
      <w:r>
        <w:rPr>
          <w:sz w:val="24"/>
        </w:rPr>
        <w:t>8</w:t>
      </w:r>
      <w:r>
        <w:rPr>
          <w:rFonts w:hint="eastAsia"/>
          <w:sz w:val="24"/>
        </w:rPr>
        <w:fldChar w:fldCharType="end"/>
      </w:r>
      <w:r>
        <w:rPr>
          <w:rFonts w:hint="eastAsia"/>
          <w:sz w:val="24"/>
        </w:rPr>
        <w:fldChar w:fldCharType="end"/>
      </w:r>
    </w:p>
    <w:p w14:paraId="1A60FD71">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"_Toc239250993" </w:instrText>
      </w:r>
      <w:r>
        <w:fldChar w:fldCharType="separate"/>
      </w:r>
      <w:r>
        <w:rPr>
          <w:rStyle w:val="137"/>
          <w:rFonts w:hint="eastAsia" w:eastAsia="楷体"/>
          <w:sz w:val="24"/>
        </w:rPr>
        <w:t>（一）筹备期（2026年9—12月）</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_Toc239250993 \h</w:instrText>
      </w:r>
      <w:r>
        <w:rPr>
          <w:rFonts w:hint="eastAsia"/>
          <w:sz w:val="24"/>
        </w:rPr>
        <w:instrText xml:space="preserve"> </w:instrText>
      </w:r>
      <w:r>
        <w:rPr>
          <w:rFonts w:hint="eastAsia"/>
          <w:sz w:val="24"/>
        </w:rPr>
        <w:fldChar w:fldCharType="separate"/>
      </w:r>
      <w:r>
        <w:rPr>
          <w:sz w:val="24"/>
        </w:rPr>
        <w:t>8</w:t>
      </w:r>
      <w:r>
        <w:rPr>
          <w:rFonts w:hint="eastAsia"/>
          <w:sz w:val="24"/>
        </w:rPr>
        <w:fldChar w:fldCharType="end"/>
      </w:r>
      <w:r>
        <w:rPr>
          <w:rFonts w:hint="eastAsia"/>
          <w:sz w:val="24"/>
        </w:rPr>
        <w:fldChar w:fldCharType="end"/>
      </w:r>
    </w:p>
    <w:p w14:paraId="15E791E6">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"_Toc239250994" </w:instrText>
      </w:r>
      <w:r>
        <w:fldChar w:fldCharType="separate"/>
      </w:r>
      <w:r>
        <w:rPr>
          <w:rStyle w:val="137"/>
          <w:rFonts w:hint="eastAsia" w:eastAsia="楷体"/>
          <w:sz w:val="24"/>
        </w:rPr>
        <w:t>（二）一期示范（2027年）</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_Toc239250994 \h</w:instrText>
      </w:r>
      <w:r>
        <w:rPr>
          <w:rFonts w:hint="eastAsia"/>
          <w:sz w:val="24"/>
        </w:rPr>
        <w:instrText xml:space="preserve"> </w:instrText>
      </w:r>
      <w:r>
        <w:rPr>
          <w:rFonts w:hint="eastAsia"/>
          <w:sz w:val="24"/>
        </w:rPr>
        <w:fldChar w:fldCharType="separate"/>
      </w:r>
      <w:r>
        <w:rPr>
          <w:sz w:val="24"/>
        </w:rPr>
        <w:t>8</w:t>
      </w:r>
      <w:r>
        <w:rPr>
          <w:rFonts w:hint="eastAsia"/>
          <w:sz w:val="24"/>
        </w:rPr>
        <w:fldChar w:fldCharType="end"/>
      </w:r>
      <w:r>
        <w:rPr>
          <w:rFonts w:hint="eastAsia"/>
          <w:sz w:val="24"/>
        </w:rPr>
        <w:fldChar w:fldCharType="end"/>
      </w:r>
    </w:p>
    <w:p w14:paraId="6FD4E0B8">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"_Toc239250995" </w:instrText>
      </w:r>
      <w:r>
        <w:fldChar w:fldCharType="separate"/>
      </w:r>
      <w:r>
        <w:rPr>
          <w:rStyle w:val="137"/>
          <w:rFonts w:hint="eastAsia" w:eastAsia="楷体"/>
          <w:sz w:val="24"/>
        </w:rPr>
        <w:t>（三）二期扩面（2028年上半年）</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_Toc239250995 \h</w:instrText>
      </w:r>
      <w:r>
        <w:rPr>
          <w:rFonts w:hint="eastAsia"/>
          <w:sz w:val="24"/>
        </w:rPr>
        <w:instrText xml:space="preserve"> </w:instrText>
      </w:r>
      <w:r>
        <w:rPr>
          <w:rFonts w:hint="eastAsia"/>
          <w:sz w:val="24"/>
        </w:rPr>
        <w:fldChar w:fldCharType="separate"/>
      </w:r>
      <w:r>
        <w:rPr>
          <w:sz w:val="24"/>
        </w:rPr>
        <w:t>9</w:t>
      </w:r>
      <w:r>
        <w:rPr>
          <w:rFonts w:hint="eastAsia"/>
          <w:sz w:val="24"/>
        </w:rPr>
        <w:fldChar w:fldCharType="end"/>
      </w:r>
      <w:r>
        <w:rPr>
          <w:rFonts w:hint="eastAsia"/>
          <w:sz w:val="24"/>
        </w:rPr>
        <w:fldChar w:fldCharType="end"/>
      </w:r>
    </w:p>
    <w:p w14:paraId="54BDED93">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"_Toc239250996" </w:instrText>
      </w:r>
      <w:r>
        <w:fldChar w:fldCharType="separate"/>
      </w:r>
      <w:r>
        <w:rPr>
          <w:rStyle w:val="137"/>
          <w:rFonts w:hint="eastAsia" w:eastAsia="楷体"/>
          <w:sz w:val="24"/>
        </w:rPr>
        <w:t>（四）三期收官（2028年下半年）</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_Toc239250996 \h</w:instrText>
      </w:r>
      <w:r>
        <w:rPr>
          <w:rFonts w:hint="eastAsia"/>
          <w:sz w:val="24"/>
        </w:rPr>
        <w:instrText xml:space="preserve"> </w:instrText>
      </w:r>
      <w:r>
        <w:rPr>
          <w:rFonts w:hint="eastAsia"/>
          <w:sz w:val="24"/>
        </w:rPr>
        <w:fldChar w:fldCharType="separate"/>
      </w:r>
      <w:r>
        <w:rPr>
          <w:sz w:val="24"/>
        </w:rPr>
        <w:t>9</w:t>
      </w:r>
      <w:r>
        <w:rPr>
          <w:rFonts w:hint="eastAsia"/>
          <w:sz w:val="24"/>
        </w:rPr>
        <w:fldChar w:fldCharType="end"/>
      </w:r>
      <w:r>
        <w:rPr>
          <w:rFonts w:hint="eastAsia"/>
          <w:sz w:val="24"/>
        </w:rPr>
        <w:fldChar w:fldCharType="end"/>
      </w:r>
    </w:p>
    <w:p w14:paraId="15500EA0">
      <w:pPr>
        <w:pStyle w:val="26"/>
        <w:tabs>
          <w:tab w:val="right" w:leader="dot" w:pos="8835"/>
        </w:tabs>
        <w:spacing w:after="20" w:line="360" w:lineRule="exact"/>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"_Toc239250997" </w:instrText>
      </w:r>
      <w:r>
        <w:fldChar w:fldCharType="separate"/>
      </w:r>
      <w:r>
        <w:rPr>
          <w:rStyle w:val="137"/>
          <w:rFonts w:hint="eastAsia" w:eastAsia="黑体"/>
          <w:sz w:val="24"/>
        </w:rPr>
        <w:t>七、综合效益初步测算</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_Toc239250997 \h</w:instrText>
      </w:r>
      <w:r>
        <w:rPr>
          <w:rFonts w:hint="eastAsia"/>
          <w:sz w:val="24"/>
        </w:rPr>
        <w:instrText xml:space="preserve"> </w:instrText>
      </w:r>
      <w:r>
        <w:rPr>
          <w:rFonts w:hint="eastAsia"/>
          <w:sz w:val="24"/>
        </w:rPr>
        <w:fldChar w:fldCharType="separate"/>
      </w:r>
      <w:r>
        <w:rPr>
          <w:sz w:val="24"/>
        </w:rPr>
        <w:t>9</w:t>
      </w:r>
      <w:r>
        <w:rPr>
          <w:rFonts w:hint="eastAsia"/>
          <w:sz w:val="24"/>
        </w:rPr>
        <w:fldChar w:fldCharType="end"/>
      </w:r>
      <w:r>
        <w:rPr>
          <w:rFonts w:hint="eastAsia"/>
          <w:sz w:val="24"/>
        </w:rPr>
        <w:fldChar w:fldCharType="end"/>
      </w:r>
    </w:p>
    <w:p w14:paraId="3B4DCB05">
      <w:pPr>
        <w:pStyle w:val="26"/>
        <w:tabs>
          <w:tab w:val="right" w:leader="dot" w:pos="8835"/>
        </w:tabs>
        <w:spacing w:after="20" w:line="360" w:lineRule="exact"/>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"_Toc239250998" </w:instrText>
      </w:r>
      <w:r>
        <w:fldChar w:fldCharType="separate"/>
      </w:r>
      <w:r>
        <w:rPr>
          <w:rStyle w:val="137"/>
          <w:rFonts w:hint="eastAsia" w:eastAsia="黑体"/>
          <w:sz w:val="24"/>
        </w:rPr>
        <w:t>八、合规经营与风险防控</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_Toc239250998 \h</w:instrText>
      </w:r>
      <w:r>
        <w:rPr>
          <w:rFonts w:hint="eastAsia"/>
          <w:sz w:val="24"/>
        </w:rPr>
        <w:instrText xml:space="preserve"> </w:instrText>
      </w:r>
      <w:r>
        <w:rPr>
          <w:rFonts w:hint="eastAsia"/>
          <w:sz w:val="24"/>
        </w:rPr>
        <w:fldChar w:fldCharType="separate"/>
      </w:r>
      <w:r>
        <w:rPr>
          <w:sz w:val="24"/>
        </w:rPr>
        <w:t>10</w:t>
      </w:r>
      <w:r>
        <w:rPr>
          <w:rFonts w:hint="eastAsia"/>
          <w:sz w:val="24"/>
        </w:rPr>
        <w:fldChar w:fldCharType="end"/>
      </w:r>
      <w:r>
        <w:rPr>
          <w:rFonts w:hint="eastAsia"/>
          <w:sz w:val="24"/>
        </w:rPr>
        <w:fldChar w:fldCharType="end"/>
      </w:r>
    </w:p>
    <w:p w14:paraId="32724FD1">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"_Toc239250999" </w:instrText>
      </w:r>
      <w:r>
        <w:fldChar w:fldCharType="separate"/>
      </w:r>
      <w:r>
        <w:rPr>
          <w:rStyle w:val="137"/>
          <w:rFonts w:hint="eastAsia" w:eastAsia="楷体"/>
          <w:sz w:val="24"/>
        </w:rPr>
        <w:t>（一）合规承诺</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_Toc239250999 \h</w:instrText>
      </w:r>
      <w:r>
        <w:rPr>
          <w:rFonts w:hint="eastAsia"/>
          <w:sz w:val="24"/>
        </w:rPr>
        <w:instrText xml:space="preserve"> </w:instrText>
      </w:r>
      <w:r>
        <w:rPr>
          <w:rFonts w:hint="eastAsia"/>
          <w:sz w:val="24"/>
        </w:rPr>
        <w:fldChar w:fldCharType="separate"/>
      </w:r>
      <w:r>
        <w:rPr>
          <w:sz w:val="24"/>
        </w:rPr>
        <w:t>10</w:t>
      </w:r>
      <w:r>
        <w:rPr>
          <w:rFonts w:hint="eastAsia"/>
          <w:sz w:val="24"/>
        </w:rPr>
        <w:fldChar w:fldCharType="end"/>
      </w:r>
      <w:r>
        <w:rPr>
          <w:rFonts w:hint="eastAsia"/>
          <w:sz w:val="24"/>
        </w:rPr>
        <w:fldChar w:fldCharType="end"/>
      </w:r>
    </w:p>
    <w:p w14:paraId="666CC5F6">
      <w:pPr>
        <w:pStyle w:val="29"/>
        <w:tabs>
          <w:tab w:val="right" w:leader="dot" w:pos="8835"/>
        </w:tabs>
        <w:spacing w:after="20" w:line="360" w:lineRule="exact"/>
        <w:ind w:left="560"/>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"_Toc239251000" </w:instrText>
      </w:r>
      <w:r>
        <w:fldChar w:fldCharType="separate"/>
      </w:r>
      <w:r>
        <w:rPr>
          <w:rStyle w:val="137"/>
          <w:rFonts w:hint="eastAsia" w:eastAsia="楷体"/>
          <w:sz w:val="24"/>
        </w:rPr>
        <w:t>（二）风险防控</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_Toc239251000 \h</w:instrText>
      </w:r>
      <w:r>
        <w:rPr>
          <w:rFonts w:hint="eastAsia"/>
          <w:sz w:val="24"/>
        </w:rPr>
        <w:instrText xml:space="preserve"> </w:instrText>
      </w:r>
      <w:r>
        <w:rPr>
          <w:rFonts w:hint="eastAsia"/>
          <w:sz w:val="24"/>
        </w:rPr>
        <w:fldChar w:fldCharType="separate"/>
      </w:r>
      <w:r>
        <w:rPr>
          <w:sz w:val="24"/>
        </w:rPr>
        <w:t>10</w:t>
      </w:r>
      <w:r>
        <w:rPr>
          <w:rFonts w:hint="eastAsia"/>
          <w:sz w:val="24"/>
        </w:rPr>
        <w:fldChar w:fldCharType="end"/>
      </w:r>
      <w:r>
        <w:rPr>
          <w:rFonts w:hint="eastAsia"/>
          <w:sz w:val="24"/>
        </w:rPr>
        <w:fldChar w:fldCharType="end"/>
      </w:r>
    </w:p>
    <w:p w14:paraId="75F361AE">
      <w:pPr>
        <w:pStyle w:val="26"/>
        <w:tabs>
          <w:tab w:val="right" w:leader="dot" w:pos="8835"/>
        </w:tabs>
        <w:spacing w:after="20" w:line="360" w:lineRule="exact"/>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"_Toc239251001" </w:instrText>
      </w:r>
      <w:r>
        <w:fldChar w:fldCharType="separate"/>
      </w:r>
      <w:r>
        <w:rPr>
          <w:rStyle w:val="137"/>
          <w:rFonts w:hint="eastAsia" w:eastAsia="黑体"/>
          <w:sz w:val="24"/>
        </w:rPr>
        <w:t>九、恳请市政府支持事项</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_Toc239251001 \h</w:instrText>
      </w:r>
      <w:r>
        <w:rPr>
          <w:rFonts w:hint="eastAsia"/>
          <w:sz w:val="24"/>
        </w:rPr>
        <w:instrText xml:space="preserve"> </w:instrText>
      </w:r>
      <w:r>
        <w:rPr>
          <w:rFonts w:hint="eastAsia"/>
          <w:sz w:val="24"/>
        </w:rPr>
        <w:fldChar w:fldCharType="separate"/>
      </w:r>
      <w:r>
        <w:rPr>
          <w:sz w:val="24"/>
        </w:rPr>
        <w:t>10</w:t>
      </w:r>
      <w:r>
        <w:rPr>
          <w:rFonts w:hint="eastAsia"/>
          <w:sz w:val="24"/>
        </w:rPr>
        <w:fldChar w:fldCharType="end"/>
      </w:r>
      <w:r>
        <w:rPr>
          <w:rFonts w:hint="eastAsia"/>
          <w:sz w:val="24"/>
        </w:rPr>
        <w:fldChar w:fldCharType="end"/>
      </w:r>
    </w:p>
    <w:p w14:paraId="14F73EF5">
      <w:pPr>
        <w:pStyle w:val="26"/>
        <w:tabs>
          <w:tab w:val="right" w:leader="dot" w:pos="8835"/>
        </w:tabs>
        <w:spacing w:after="20" w:line="360" w:lineRule="exact"/>
        <w:rPr>
          <w:rFonts w:hint="eastAsia" w:asciiTheme="minorHAnsi" w:hAnsiTheme="minorHAnsi" w:eastAsiaTheme="minorEastAsia" w:cstheme="minorBidi"/>
          <w:color w:val="auto"/>
          <w:kern w:val="2"/>
          <w:sz w:val="24"/>
          <w:szCs w:val="24"/>
          <w:lang w:eastAsia="zh-CN"/>
          <w14:ligatures w14:val="standardContextual"/>
        </w:rPr>
      </w:pPr>
      <w:r>
        <w:fldChar w:fldCharType="begin"/>
      </w:r>
      <w:r>
        <w:instrText xml:space="preserve"> HYPERLINK \l "_Toc239251002" </w:instrText>
      </w:r>
      <w:r>
        <w:fldChar w:fldCharType="separate"/>
      </w:r>
      <w:r>
        <w:rPr>
          <w:rStyle w:val="137"/>
          <w:rFonts w:hint="eastAsia" w:eastAsia="黑体"/>
          <w:sz w:val="24"/>
        </w:rPr>
        <w:t>十、近期工作安排（30/60/90天）</w:t>
      </w:r>
      <w:r>
        <w:rPr>
          <w:rFonts w:hint="eastAsia"/>
          <w:sz w:val="24"/>
        </w:rPr>
        <w:tab/>
      </w:r>
      <w:r>
        <w:rPr>
          <w:rFonts w:hint="eastAsia"/>
          <w:sz w:val="24"/>
        </w:rPr>
        <w:fldChar w:fldCharType="begin"/>
      </w:r>
      <w:r>
        <w:rPr>
          <w:rFonts w:hint="eastAsia"/>
          <w:sz w:val="24"/>
        </w:rPr>
        <w:instrText xml:space="preserve"> </w:instrText>
      </w:r>
      <w:r>
        <w:rPr>
          <w:sz w:val="24"/>
        </w:rPr>
        <w:instrText xml:space="preserve">PAGEREF _Toc239251002 \h</w:instrText>
      </w:r>
      <w:r>
        <w:rPr>
          <w:rFonts w:hint="eastAsia"/>
          <w:sz w:val="24"/>
        </w:rPr>
        <w:instrText xml:space="preserve"> </w:instrText>
      </w:r>
      <w:r>
        <w:rPr>
          <w:rFonts w:hint="eastAsia"/>
          <w:sz w:val="24"/>
        </w:rPr>
        <w:fldChar w:fldCharType="separate"/>
      </w:r>
      <w:r>
        <w:rPr>
          <w:sz w:val="24"/>
        </w:rPr>
        <w:t>11</w:t>
      </w:r>
      <w:r>
        <w:rPr>
          <w:rFonts w:hint="eastAsia"/>
          <w:sz w:val="24"/>
        </w:rPr>
        <w:fldChar w:fldCharType="end"/>
      </w:r>
      <w:r>
        <w:rPr>
          <w:rFonts w:hint="eastAsia"/>
          <w:sz w:val="24"/>
        </w:rPr>
        <w:fldChar w:fldCharType="end"/>
      </w:r>
    </w:p>
    <w:p w14:paraId="65448B70">
      <w:pPr>
        <w:spacing w:after="20" w:line="360" w:lineRule="exact"/>
        <w:rPr>
          <w:sz w:val="24"/>
        </w:rPr>
      </w:pPr>
      <w:r>
        <w:rPr>
          <w:sz w:val="24"/>
        </w:rPr>
        <w:fldChar w:fldCharType="end"/>
      </w:r>
    </w:p>
    <w:p w14:paraId="11A628F3">
      <w:pPr>
        <w:sectPr>
          <w:footerReference r:id="rId9" w:type="default"/>
          <w:pgSz w:w="11906" w:h="16838"/>
          <w:pgMar w:top="2098" w:right="1474" w:bottom="1984" w:left="1587" w:header="720" w:footer="720" w:gutter="0"/>
          <w:pgNumType w:fmt="decimal" w:start="1"/>
          <w:cols w:space="720" w:num="1"/>
          <w:docGrid w:linePitch="360" w:charSpace="0"/>
        </w:sectPr>
      </w:pPr>
    </w:p>
    <w:p w14:paraId="21F952E4">
      <w:pPr>
        <w:ind w:firstLine="560" w:firstLineChars="200"/>
        <w:jc w:val="both"/>
        <w:rPr>
          <w:rFonts w:hint="eastAsia"/>
        </w:rPr>
      </w:pPr>
      <w:r>
        <w:rPr>
          <w:rFonts w:hint="eastAsia"/>
        </w:rPr>
        <w:t>为落实华系投资有限公司与庆阳市人民政府签署的战略合作框架协议，紧扣国家“双碳”战略目标与交通运输和能源融合发展部署，立足庆阳市能源资源禀赋、大宗物流运输刚需及产业转型需求，华系投资整合能源、充换电、交通物流、数字技术等全链条头部资源，以交能融合智能体平台为先导抓手，牵头设立项目SPV公司，按照“</w:t>
      </w:r>
      <w:r>
        <w:rPr>
          <w:rFonts w:hint="eastAsia"/>
          <w:b/>
          <w:bCs/>
        </w:rPr>
        <w:t>平台先行、梯度落地、产业闭环、政企共赢</w:t>
      </w:r>
      <w:r>
        <w:rPr>
          <w:rFonts w:hint="eastAsia"/>
        </w:rPr>
        <w:t>”的总体思路，打造“</w:t>
      </w:r>
      <w:r>
        <w:rPr>
          <w:rFonts w:hint="eastAsia"/>
          <w:b/>
          <w:bCs/>
        </w:rPr>
        <w:t>绿电生产—电动重卡运营—充</w:t>
      </w:r>
      <w:bookmarkStart w:id="30" w:name="_GoBack"/>
      <w:bookmarkEnd w:id="30"/>
      <w:r>
        <w:rPr>
          <w:rFonts w:hint="eastAsia"/>
          <w:b/>
          <w:bCs/>
        </w:rPr>
        <w:t>换电保障—电池循环利用—数智化管控</w:t>
      </w:r>
      <w:r>
        <w:rPr>
          <w:rFonts w:hint="eastAsia"/>
        </w:rPr>
        <w:t>”全链条产业生态，分阶段推进项目投资、融资、建设、运营全周期管理，推动框架协议约定指标分期落地、闭环运营，助力庆阳建设陇东地区交能融合示范标杆，特制定本投资落地方案。</w:t>
      </w:r>
    </w:p>
    <w:p w14:paraId="23F97E0C">
      <w:pPr>
        <w:pStyle w:val="3"/>
        <w:ind w:firstLine="602" w:firstLineChars="200"/>
      </w:pPr>
      <w:bookmarkStart w:id="0" w:name="_Toc239250973"/>
      <w:r>
        <w:rPr>
          <w:rFonts w:ascii="Times New Roman" w:hAnsi="Times New Roman" w:eastAsia="黑体" w:cs="Times New Roman"/>
        </w:rPr>
        <w:t>一、总体考虑与工作目标</w:t>
      </w:r>
      <w:bookmarkEnd w:id="0"/>
    </w:p>
    <w:p w14:paraId="35655F50">
      <w:pPr>
        <w:pStyle w:val="4"/>
        <w:ind w:firstLine="562" w:firstLineChars="200"/>
      </w:pPr>
      <w:bookmarkStart w:id="1" w:name="_Toc239250974"/>
      <w:r>
        <w:rPr>
          <w:rFonts w:ascii="Times New Roman" w:hAnsi="Times New Roman" w:eastAsia="楷体" w:cs="Times New Roman"/>
        </w:rPr>
        <w:t>（一）总体思路</w:t>
      </w:r>
      <w:bookmarkEnd w:id="1"/>
    </w:p>
    <w:p w14:paraId="0D064872">
      <w:pPr>
        <w:ind w:firstLine="560" w:firstLineChars="200"/>
        <w:jc w:val="both"/>
      </w:pPr>
      <w:r>
        <w:t>牢固树立“</w:t>
      </w:r>
      <w:r>
        <w:rPr>
          <w:b/>
          <w:bCs/>
        </w:rPr>
        <w:t>以平台聚资源、以公司承载项目、以运营带动投资</w:t>
      </w:r>
      <w:r>
        <w:t>”的实施逻辑：先期以轻资产的交能融合智能体平台切入，快速归集运力、能源、场站数据并启动运营；同步在庆阳本地设立SPV项目公司，作为项目投融建管运的一体化责任主体；依托平台数据精准驱动重资产有序投放，分示范、扩面、收官三期推进，最终闭环兑现4781辆电动重卡替代及配套全产业链目标，打造陇东交能融合标杆工程。</w:t>
      </w:r>
    </w:p>
    <w:p w14:paraId="451602B9">
      <w:pPr>
        <w:pStyle w:val="4"/>
        <w:ind w:firstLine="562" w:firstLineChars="200"/>
      </w:pPr>
      <w:bookmarkStart w:id="2" w:name="_Toc239250975"/>
      <w:r>
        <w:rPr>
          <w:rFonts w:ascii="Times New Roman" w:hAnsi="Times New Roman" w:eastAsia="楷体" w:cs="Times New Roman"/>
        </w:rPr>
        <w:t>（二）基本原则</w:t>
      </w:r>
      <w:bookmarkEnd w:id="2"/>
    </w:p>
    <w:p w14:paraId="78734DB8">
      <w:pPr>
        <w:ind w:firstLine="560" w:firstLineChars="200"/>
        <w:jc w:val="both"/>
      </w:pPr>
      <w:r>
        <w:t>——政府引导、市场运作。发挥政府在规划、要素、政策上的引导作用和市场在资源配置中的决定性作用，坚持企业主体、商业化可持续运营。</w:t>
      </w:r>
    </w:p>
    <w:p w14:paraId="7A7975DD">
      <w:pPr>
        <w:ind w:firstLine="560" w:firstLineChars="200"/>
        <w:jc w:val="both"/>
      </w:pPr>
      <w:r>
        <w:t>——平台先行、轻资产启动。以智能体平台先期上线为突破口，先聚数</w:t>
      </w:r>
      <w:r>
        <w:rPr>
          <w:spacing w:val="-6"/>
          <w:sz w:val="28"/>
        </w:rPr>
        <w:t>据、先做运营、先见现金流，再有序跟进重资产投资，降低前期投入与决策风险。</w:t>
      </w:r>
    </w:p>
    <w:p w14:paraId="20ABA064">
      <w:pPr>
        <w:ind w:firstLine="560" w:firstLineChars="200"/>
        <w:jc w:val="both"/>
      </w:pPr>
      <w:r>
        <w:t>——统一规划、分步实施。先编制全市充换电基础设施专项规划并报市政府审批，再按“试点—扩面—收官”梯度推进，成熟一批、投放一批。</w:t>
      </w:r>
    </w:p>
    <w:p w14:paraId="78D39AE0">
      <w:pPr>
        <w:ind w:firstLine="560" w:firstLineChars="200"/>
        <w:jc w:val="both"/>
      </w:pPr>
      <w:r>
        <w:t>——车电分离、闭环运营。</w:t>
      </w:r>
    </w:p>
    <w:p w14:paraId="7334CE9A">
      <w:pPr>
        <w:ind w:firstLine="560" w:firstLineChars="200"/>
        <w:jc w:val="both"/>
      </w:pPr>
      <w:r>
        <w:t>以电池银行和融资租赁实现车电分离，贯通绿电、车辆、电池、场站、回收、碳资产全链条，形成投入产出闭环。</w:t>
      </w:r>
    </w:p>
    <w:p w14:paraId="0823869A">
      <w:pPr>
        <w:ind w:firstLine="560" w:firstLineChars="200"/>
        <w:jc w:val="both"/>
      </w:pPr>
      <w:r>
        <w:t>——依法合规、风险可控。</w:t>
      </w:r>
    </w:p>
    <w:p w14:paraId="4BE6E594">
      <w:pPr>
        <w:ind w:firstLine="560" w:firstLineChars="200"/>
        <w:jc w:val="both"/>
      </w:pPr>
      <w:r>
        <w:t>严格履行框架协议义务，坚持守法经营、安全生产、照章纳税，强化全过程风险防控。</w:t>
      </w:r>
    </w:p>
    <w:p w14:paraId="74022D83">
      <w:pPr>
        <w:pStyle w:val="4"/>
        <w:ind w:firstLine="562" w:firstLineChars="200"/>
      </w:pPr>
      <w:bookmarkStart w:id="3" w:name="_Toc239250976"/>
      <w:r>
        <w:rPr>
          <w:rFonts w:ascii="Times New Roman" w:hAnsi="Times New Roman" w:eastAsia="楷体" w:cs="Times New Roman"/>
        </w:rPr>
        <w:t>（三）总体目标</w:t>
      </w:r>
      <w:bookmarkEnd w:id="3"/>
    </w:p>
    <w:p w14:paraId="1298F720">
      <w:pPr>
        <w:ind w:firstLine="560" w:firstLineChars="200"/>
        <w:jc w:val="both"/>
      </w:pPr>
      <w:r>
        <w:t>到2028年底，全面完成框架协议约定指标：全市燃油重卡电动化替代4781辆、电动化率达到70%；建成充换电母站5座、标准换电子站60座，配套电池组5740组；项目年用电量约11.30亿千瓦时、单站用电负荷32兆瓦；同步建成</w:t>
      </w:r>
      <w:r>
        <w:rPr>
          <w:rFonts w:hint="eastAsia"/>
          <w:lang w:val="en-US" w:eastAsia="zh-CN"/>
        </w:rPr>
        <w:t>庆阳市</w:t>
      </w:r>
      <w:r>
        <w:t>交能融合零碳产业园和交能融合智能体平台，项目总投资约70.1亿元。</w:t>
      </w:r>
    </w:p>
    <w:p w14:paraId="114D35E8">
      <w:pPr>
        <w:keepNext/>
        <w:spacing w:before="120" w:after="40" w:line="240" w:lineRule="auto"/>
        <w:jc w:val="center"/>
      </w:pPr>
      <w:r>
        <w:rPr>
          <w:rFonts w:eastAsia="黑体"/>
          <w:b/>
          <w:sz w:val="22"/>
        </w:rPr>
        <w:t>表1框架协议核心指标兑现表</w:t>
      </w:r>
    </w:p>
    <w:tbl>
      <w:tblPr>
        <w:tblStyle w:val="35"/>
        <w:tblW w:w="93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80" w:type="dxa"/>
          <w:bottom w:w="40" w:type="dxa"/>
          <w:right w:w="80" w:type="dxa"/>
        </w:tblCellMar>
      </w:tblPr>
      <w:tblGrid>
        <w:gridCol w:w="1287"/>
        <w:gridCol w:w="3985"/>
        <w:gridCol w:w="4121"/>
      </w:tblGrid>
      <w:tr w14:paraId="1FD2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1287" w:type="dxa"/>
            <w:shd w:val="clear" w:color="auto" w:fill="D9D9D9"/>
            <w:vAlign w:val="center"/>
          </w:tcPr>
          <w:p w14:paraId="5A19D05C">
            <w:pPr>
              <w:spacing w:before="20" w:after="20" w:line="240" w:lineRule="auto"/>
              <w:jc w:val="center"/>
            </w:pPr>
            <w:r>
              <w:rPr>
                <w:rFonts w:eastAsia="黑体"/>
                <w:b/>
                <w:sz w:val="21"/>
              </w:rPr>
              <w:t>指标维度</w:t>
            </w:r>
          </w:p>
        </w:tc>
        <w:tc>
          <w:tcPr>
            <w:tcW w:w="3985" w:type="dxa"/>
            <w:shd w:val="clear" w:color="auto" w:fill="D9D9D9"/>
            <w:vAlign w:val="center"/>
          </w:tcPr>
          <w:p w14:paraId="2B5B336A">
            <w:pPr>
              <w:spacing w:before="20" w:after="20" w:line="240" w:lineRule="auto"/>
              <w:jc w:val="center"/>
            </w:pPr>
            <w:r>
              <w:rPr>
                <w:rFonts w:eastAsia="黑体"/>
                <w:b/>
                <w:sz w:val="21"/>
              </w:rPr>
              <w:t>框架协议约定目标</w:t>
            </w:r>
          </w:p>
        </w:tc>
        <w:tc>
          <w:tcPr>
            <w:tcW w:w="4121" w:type="dxa"/>
            <w:shd w:val="clear" w:color="auto" w:fill="D9D9D9"/>
            <w:vAlign w:val="center"/>
          </w:tcPr>
          <w:p w14:paraId="64D022C0">
            <w:pPr>
              <w:spacing w:before="20" w:after="20" w:line="240" w:lineRule="auto"/>
              <w:jc w:val="center"/>
            </w:pPr>
            <w:r>
              <w:rPr>
                <w:rFonts w:eastAsia="黑体"/>
                <w:b/>
                <w:sz w:val="21"/>
              </w:rPr>
              <w:t>本方案兑现安排</w:t>
            </w:r>
          </w:p>
        </w:tc>
      </w:tr>
      <w:tr w14:paraId="7D59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rHeight w:val="617" w:hRule="atLeast"/>
          <w:jc w:val="center"/>
        </w:trPr>
        <w:tc>
          <w:tcPr>
            <w:tcW w:w="1287" w:type="dxa"/>
            <w:vAlign w:val="center"/>
          </w:tcPr>
          <w:p w14:paraId="59D33450">
            <w:pPr>
              <w:spacing w:before="20" w:after="20" w:line="240" w:lineRule="auto"/>
              <w:jc w:val="center"/>
            </w:pPr>
            <w:r>
              <w:rPr>
                <w:rFonts w:eastAsia="宋体"/>
                <w:sz w:val="21"/>
              </w:rPr>
              <w:t>车辆替代</w:t>
            </w:r>
          </w:p>
        </w:tc>
        <w:tc>
          <w:tcPr>
            <w:tcW w:w="3985" w:type="dxa"/>
            <w:vAlign w:val="center"/>
          </w:tcPr>
          <w:p w14:paraId="168ACC23">
            <w:pPr>
              <w:spacing w:before="20" w:after="20" w:line="240" w:lineRule="auto"/>
            </w:pPr>
            <w:r>
              <w:rPr>
                <w:rFonts w:eastAsia="宋体"/>
                <w:sz w:val="21"/>
              </w:rPr>
              <w:t>燃油重卡保有量6830辆，按70%电动化率置换4781辆</w:t>
            </w:r>
          </w:p>
        </w:tc>
        <w:tc>
          <w:tcPr>
            <w:tcW w:w="4121" w:type="dxa"/>
            <w:vAlign w:val="center"/>
          </w:tcPr>
          <w:p w14:paraId="65C623D8">
            <w:pPr>
              <w:spacing w:before="20" w:after="20" w:line="240" w:lineRule="auto"/>
            </w:pPr>
            <w:r>
              <w:rPr>
                <w:rFonts w:eastAsia="宋体"/>
                <w:sz w:val="21"/>
              </w:rPr>
              <w:t>三期累计投放4781辆，2028年底达标</w:t>
            </w:r>
          </w:p>
        </w:tc>
      </w:tr>
      <w:tr w14:paraId="36724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rHeight w:val="545" w:hRule="atLeast"/>
          <w:jc w:val="center"/>
        </w:trPr>
        <w:tc>
          <w:tcPr>
            <w:tcW w:w="1287" w:type="dxa"/>
            <w:vAlign w:val="center"/>
          </w:tcPr>
          <w:p w14:paraId="7FDC68BF">
            <w:pPr>
              <w:spacing w:before="20" w:after="20" w:line="240" w:lineRule="auto"/>
              <w:jc w:val="center"/>
            </w:pPr>
            <w:r>
              <w:rPr>
                <w:rFonts w:eastAsia="宋体"/>
                <w:sz w:val="21"/>
              </w:rPr>
              <w:t>电池银行</w:t>
            </w:r>
          </w:p>
        </w:tc>
        <w:tc>
          <w:tcPr>
            <w:tcW w:w="3985" w:type="dxa"/>
            <w:vAlign w:val="center"/>
          </w:tcPr>
          <w:p w14:paraId="45AB554E">
            <w:pPr>
              <w:spacing w:before="20" w:after="20" w:line="240" w:lineRule="auto"/>
            </w:pPr>
            <w:r>
              <w:rPr>
                <w:rFonts w:eastAsia="宋体"/>
                <w:sz w:val="21"/>
              </w:rPr>
              <w:t>电池组5740组，实行车电分离</w:t>
            </w:r>
          </w:p>
        </w:tc>
        <w:tc>
          <w:tcPr>
            <w:tcW w:w="4121" w:type="dxa"/>
            <w:vAlign w:val="center"/>
          </w:tcPr>
          <w:p w14:paraId="58F47D28">
            <w:pPr>
              <w:spacing w:before="20" w:after="20" w:line="240" w:lineRule="auto"/>
            </w:pPr>
            <w:r>
              <w:rPr>
                <w:rFonts w:eastAsia="宋体"/>
                <w:sz w:val="21"/>
              </w:rPr>
              <w:t>三期累计配置5740组，由SPV电池银行统一持有运营</w:t>
            </w:r>
          </w:p>
        </w:tc>
      </w:tr>
      <w:tr w14:paraId="5BCC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287" w:type="dxa"/>
            <w:vAlign w:val="center"/>
          </w:tcPr>
          <w:p w14:paraId="5A7331F7">
            <w:pPr>
              <w:spacing w:before="20" w:after="20" w:line="240" w:lineRule="auto"/>
              <w:jc w:val="center"/>
            </w:pPr>
            <w:r>
              <w:rPr>
                <w:rFonts w:eastAsia="宋体"/>
                <w:sz w:val="21"/>
              </w:rPr>
              <w:t>充换电站</w:t>
            </w:r>
          </w:p>
        </w:tc>
        <w:tc>
          <w:tcPr>
            <w:tcW w:w="3985" w:type="dxa"/>
            <w:vAlign w:val="center"/>
          </w:tcPr>
          <w:p w14:paraId="1050AC25">
            <w:pPr>
              <w:spacing w:before="20" w:after="20" w:line="240" w:lineRule="auto"/>
            </w:pPr>
            <w:r>
              <w:rPr>
                <w:rFonts w:eastAsia="宋体"/>
                <w:sz w:val="21"/>
              </w:rPr>
              <w:t>母站5座（单座日均服务1000辆次）、子站60座（以分布式光伏为主供电源）</w:t>
            </w:r>
          </w:p>
        </w:tc>
        <w:tc>
          <w:tcPr>
            <w:tcW w:w="4121" w:type="dxa"/>
            <w:vAlign w:val="center"/>
          </w:tcPr>
          <w:p w14:paraId="01E8D200">
            <w:pPr>
              <w:spacing w:before="20" w:after="20" w:line="240" w:lineRule="auto"/>
            </w:pPr>
            <w:r>
              <w:rPr>
                <w:rFonts w:eastAsia="宋体"/>
                <w:sz w:val="21"/>
              </w:rPr>
              <w:t>三期累计建成母站5座、子站60座</w:t>
            </w:r>
          </w:p>
        </w:tc>
      </w:tr>
      <w:tr w14:paraId="1B49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287" w:type="dxa"/>
            <w:vAlign w:val="center"/>
          </w:tcPr>
          <w:p w14:paraId="609B34B6">
            <w:pPr>
              <w:spacing w:before="20" w:after="20" w:line="240" w:lineRule="auto"/>
              <w:jc w:val="center"/>
            </w:pPr>
            <w:r>
              <w:rPr>
                <w:rFonts w:eastAsia="宋体"/>
                <w:sz w:val="21"/>
              </w:rPr>
              <w:t>用电负荷</w:t>
            </w:r>
          </w:p>
        </w:tc>
        <w:tc>
          <w:tcPr>
            <w:tcW w:w="3985" w:type="dxa"/>
            <w:vAlign w:val="center"/>
          </w:tcPr>
          <w:p w14:paraId="3D420FA5">
            <w:pPr>
              <w:spacing w:before="20" w:after="20" w:line="240" w:lineRule="auto"/>
            </w:pPr>
            <w:r>
              <w:rPr>
                <w:rFonts w:eastAsia="宋体"/>
                <w:sz w:val="21"/>
              </w:rPr>
              <w:t>年用电量约11.30亿千瓦时，单站用电负荷32兆瓦</w:t>
            </w:r>
          </w:p>
        </w:tc>
        <w:tc>
          <w:tcPr>
            <w:tcW w:w="4121" w:type="dxa"/>
            <w:vAlign w:val="center"/>
          </w:tcPr>
          <w:p w14:paraId="2A5F0B81">
            <w:pPr>
              <w:spacing w:before="20" w:after="20" w:line="240" w:lineRule="auto"/>
            </w:pPr>
            <w:r>
              <w:rPr>
                <w:rFonts w:eastAsia="宋体"/>
                <w:sz w:val="21"/>
              </w:rPr>
              <w:t>配套风光储充直供，具体装机在可研阶段核定</w:t>
            </w:r>
          </w:p>
        </w:tc>
      </w:tr>
      <w:tr w14:paraId="156A9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rHeight w:val="594" w:hRule="atLeast"/>
          <w:jc w:val="center"/>
        </w:trPr>
        <w:tc>
          <w:tcPr>
            <w:tcW w:w="1287" w:type="dxa"/>
            <w:vAlign w:val="center"/>
          </w:tcPr>
          <w:p w14:paraId="5CFE9704">
            <w:pPr>
              <w:spacing w:before="20" w:after="20" w:line="240" w:lineRule="auto"/>
              <w:jc w:val="center"/>
            </w:pPr>
            <w:r>
              <w:rPr>
                <w:rFonts w:eastAsia="宋体"/>
                <w:sz w:val="21"/>
              </w:rPr>
              <w:t>零碳产业园</w:t>
            </w:r>
          </w:p>
        </w:tc>
        <w:tc>
          <w:tcPr>
            <w:tcW w:w="3985" w:type="dxa"/>
            <w:vAlign w:val="center"/>
          </w:tcPr>
          <w:p w14:paraId="2DF45A48">
            <w:pPr>
              <w:spacing w:before="20" w:after="20" w:line="240" w:lineRule="auto"/>
            </w:pPr>
            <w:r>
              <w:rPr>
                <w:rFonts w:hint="eastAsia" w:eastAsia="宋体"/>
                <w:sz w:val="21"/>
                <w:lang w:eastAsia="zh-CN"/>
              </w:rPr>
              <w:t>庆阳市</w:t>
            </w:r>
            <w:r>
              <w:rPr>
                <w:rFonts w:eastAsia="宋体"/>
                <w:sz w:val="21"/>
              </w:rPr>
              <w:t>约300亩，投资约7.0亿元，建设期约24个月</w:t>
            </w:r>
          </w:p>
        </w:tc>
        <w:tc>
          <w:tcPr>
            <w:tcW w:w="4121" w:type="dxa"/>
            <w:vAlign w:val="center"/>
          </w:tcPr>
          <w:p w14:paraId="1238503B">
            <w:pPr>
              <w:spacing w:before="20" w:after="20" w:line="240" w:lineRule="auto"/>
            </w:pPr>
            <w:r>
              <w:rPr>
                <w:rFonts w:eastAsia="宋体"/>
                <w:sz w:val="21"/>
              </w:rPr>
              <w:t>2027年开工、与运力工程并行，2028年底前后投运</w:t>
            </w:r>
          </w:p>
        </w:tc>
      </w:tr>
      <w:tr w14:paraId="063AB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rHeight w:val="90" w:hRule="atLeast"/>
          <w:jc w:val="center"/>
        </w:trPr>
        <w:tc>
          <w:tcPr>
            <w:tcW w:w="1287" w:type="dxa"/>
            <w:vAlign w:val="center"/>
          </w:tcPr>
          <w:p w14:paraId="34A07B82">
            <w:pPr>
              <w:spacing w:before="20" w:after="20" w:line="240" w:lineRule="auto"/>
              <w:jc w:val="center"/>
            </w:pPr>
            <w:r>
              <w:rPr>
                <w:rFonts w:eastAsia="宋体"/>
                <w:sz w:val="21"/>
              </w:rPr>
              <w:t>智能体平台</w:t>
            </w:r>
          </w:p>
        </w:tc>
        <w:tc>
          <w:tcPr>
            <w:tcW w:w="3985" w:type="dxa"/>
            <w:vAlign w:val="center"/>
          </w:tcPr>
          <w:p w14:paraId="0BAF01F9">
            <w:pPr>
              <w:spacing w:before="20" w:after="20" w:line="240" w:lineRule="auto"/>
            </w:pPr>
            <w:r>
              <w:rPr>
                <w:rFonts w:eastAsia="宋体"/>
                <w:sz w:val="21"/>
              </w:rPr>
              <w:t>数字化服务平台，投资约0.5亿元</w:t>
            </w:r>
          </w:p>
        </w:tc>
        <w:tc>
          <w:tcPr>
            <w:tcW w:w="4121" w:type="dxa"/>
            <w:vAlign w:val="center"/>
          </w:tcPr>
          <w:p w14:paraId="53EB5578">
            <w:pPr>
              <w:spacing w:before="20" w:after="20" w:line="240" w:lineRule="auto"/>
            </w:pPr>
            <w:r>
              <w:rPr>
                <w:rFonts w:eastAsia="宋体"/>
                <w:sz w:val="21"/>
              </w:rPr>
              <w:t>先导先行，筹备期开发、2027年率先上线</w:t>
            </w:r>
          </w:p>
        </w:tc>
      </w:tr>
      <w:tr w14:paraId="35C83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rHeight w:val="490" w:hRule="atLeast"/>
          <w:jc w:val="center"/>
        </w:trPr>
        <w:tc>
          <w:tcPr>
            <w:tcW w:w="1287" w:type="dxa"/>
            <w:vAlign w:val="center"/>
          </w:tcPr>
          <w:p w14:paraId="156FD242">
            <w:pPr>
              <w:spacing w:before="20" w:after="20" w:line="240" w:lineRule="auto"/>
              <w:jc w:val="center"/>
            </w:pPr>
            <w:r>
              <w:rPr>
                <w:rFonts w:eastAsia="宋体"/>
                <w:sz w:val="21"/>
              </w:rPr>
              <w:t>投资规模</w:t>
            </w:r>
          </w:p>
        </w:tc>
        <w:tc>
          <w:tcPr>
            <w:tcW w:w="3985" w:type="dxa"/>
            <w:vAlign w:val="center"/>
          </w:tcPr>
          <w:p w14:paraId="7DE1E93E">
            <w:pPr>
              <w:spacing w:before="20" w:after="20" w:line="240" w:lineRule="auto"/>
            </w:pPr>
            <w:r>
              <w:rPr>
                <w:rFonts w:eastAsia="宋体"/>
                <w:sz w:val="21"/>
              </w:rPr>
              <w:t>全产业链62.6亿元，合计约70.1亿元</w:t>
            </w:r>
          </w:p>
        </w:tc>
        <w:tc>
          <w:tcPr>
            <w:tcW w:w="4121" w:type="dxa"/>
            <w:vAlign w:val="center"/>
          </w:tcPr>
          <w:p w14:paraId="5EBDE35C">
            <w:pPr>
              <w:spacing w:before="20" w:after="20" w:line="240" w:lineRule="auto"/>
            </w:pPr>
            <w:r>
              <w:rPr>
                <w:rFonts w:eastAsia="宋体"/>
                <w:sz w:val="21"/>
              </w:rPr>
              <w:t>多元融资、分期投放、闭环管理</w:t>
            </w:r>
          </w:p>
        </w:tc>
      </w:tr>
    </w:tbl>
    <w:p w14:paraId="5D5B97B1">
      <w:pPr>
        <w:pStyle w:val="3"/>
        <w:ind w:firstLine="602" w:firstLineChars="200"/>
      </w:pPr>
      <w:bookmarkStart w:id="4" w:name="_Toc239250977"/>
      <w:r>
        <w:rPr>
          <w:rFonts w:ascii="Times New Roman" w:hAnsi="Times New Roman" w:eastAsia="黑体" w:cs="Times New Roman"/>
        </w:rPr>
        <w:t>二、总体实施路径：平台先导的“三步走”闭环</w:t>
      </w:r>
      <w:bookmarkEnd w:id="4"/>
    </w:p>
    <w:p w14:paraId="1DD75C8F">
      <w:pPr>
        <w:ind w:firstLine="560" w:firstLineChars="200"/>
        <w:jc w:val="both"/>
      </w:pPr>
      <w:r>
        <w:t>第一步，平台先导（2026年第四季度启动）。智能体平台先行开发上线，以轻资产方式快速接入车辆、场站、电网和运力订单数据，形成调度能力和基础运营，先期投入小、启动快、可验证。</w:t>
      </w:r>
    </w:p>
    <w:p w14:paraId="6A06AC12">
      <w:pPr>
        <w:ind w:firstLine="560" w:firstLineChars="200"/>
        <w:jc w:val="both"/>
      </w:pPr>
      <w:r>
        <w:t>第二步，公司承载（筹备期同步）。在庆阳本地注册设立SPV项目公司，承接平台资产、统筹融资投资、组织建设运营，形成权责清晰的一体化法人主体。</w:t>
      </w:r>
    </w:p>
    <w:p w14:paraId="1D040B61">
      <w:pPr>
        <w:ind w:firstLine="560" w:firstLineChars="200"/>
        <w:jc w:val="both"/>
      </w:pPr>
      <w:r>
        <w:t>第三步，分期闭合（2027—2028年）。依托平台沉淀的真实流量、负荷与订单数据，精准确定站点选址、车辆投放节奏、电池配比与绿电规模，按三期滚动投放重资产，逐级累加直至完全闭合框架协议全部指标。</w:t>
      </w:r>
    </w:p>
    <w:p w14:paraId="3F353DBD">
      <w:pPr>
        <w:ind w:firstLine="560" w:firstLineChars="200"/>
        <w:jc w:val="both"/>
      </w:pPr>
      <w:r>
        <w:t>平台先行的</w:t>
      </w:r>
      <w:r>
        <w:rPr>
          <w:b/>
          <w:bCs/>
        </w:rPr>
        <w:t>必要性</w:t>
      </w:r>
      <w:r>
        <w:t>在于：一是以数据驱动替代经验决策，避免站点、车辆、电池盲目投放；二是以轻资产运营验证商业模式、先期形成现金流，平抑重资产投资风险；三是该路径已在华系投资大同交能融合项目得到实际验证，平台与智能体技术成熟、可快速复制。</w:t>
      </w:r>
    </w:p>
    <w:p w14:paraId="788E49A8">
      <w:pPr>
        <w:pStyle w:val="3"/>
        <w:ind w:firstLine="602" w:firstLineChars="200"/>
      </w:pPr>
      <w:bookmarkStart w:id="5" w:name="_Toc239250978"/>
      <w:r>
        <w:rPr>
          <w:rFonts w:ascii="Times New Roman" w:hAnsi="Times New Roman" w:eastAsia="黑体" w:cs="Times New Roman"/>
        </w:rPr>
        <w:t>三、第一步：交能融合智能体平台先导建设</w:t>
      </w:r>
      <w:bookmarkEnd w:id="5"/>
    </w:p>
    <w:p w14:paraId="05ACB59C">
      <w:pPr>
        <w:pStyle w:val="4"/>
        <w:ind w:firstLine="562" w:firstLineChars="200"/>
      </w:pPr>
      <w:bookmarkStart w:id="6" w:name="_Toc239250979"/>
      <w:r>
        <w:rPr>
          <w:rFonts w:ascii="Times New Roman" w:hAnsi="Times New Roman" w:eastAsia="楷体" w:cs="Times New Roman"/>
        </w:rPr>
        <w:t>（一）平台定位</w:t>
      </w:r>
      <w:bookmarkEnd w:id="6"/>
    </w:p>
    <w:p w14:paraId="24797F9F">
      <w:pPr>
        <w:ind w:firstLine="560" w:firstLineChars="200"/>
        <w:jc w:val="both"/>
      </w:pPr>
      <w:r>
        <w:t>智能体平台是覆盖“绿电生产—电动重卡运营—充换电保障—电池循环利用—数智化管控”全链条的“智慧总控中枢”，物理上落地于零碳产业园数字化中控平台，总投资约0.5亿元；在园区建成前采取云端部署先行上线，确保先导期即可投入使用。</w:t>
      </w:r>
      <w:bookmarkStart w:id="7" w:name="_Toc239250980"/>
    </w:p>
    <w:p w14:paraId="685EC301">
      <w:pPr>
        <w:ind w:firstLine="560" w:firstLineChars="200"/>
        <w:jc w:val="both"/>
        <w:rPr>
          <w:rFonts w:ascii="Times New Roman" w:hAnsi="Times New Roman" w:eastAsia="楷体" w:cs="Times New Roman"/>
        </w:rPr>
      </w:pPr>
      <w:r>
        <w:rPr>
          <w:rFonts w:ascii="Times New Roman" w:hAnsi="Times New Roman" w:eastAsia="楷体" w:cs="Times New Roman"/>
        </w:rPr>
        <w:t>（二）核心功能</w:t>
      </w:r>
      <w:bookmarkEnd w:id="7"/>
    </w:p>
    <w:p w14:paraId="29A9AFE6">
      <w:pPr>
        <w:ind w:firstLine="560" w:firstLineChars="200"/>
        <w:jc w:val="both"/>
      </w:pPr>
      <w:r>
        <w:t>1.双侧精准调度。能源侧与交通侧数据实时采集、一体匹配，实现绿电供给与运输用能动态平衡。</w:t>
      </w:r>
    </w:p>
    <w:p w14:paraId="6DCDD149">
      <w:pPr>
        <w:ind w:firstLine="560" w:firstLineChars="200"/>
        <w:jc w:val="both"/>
      </w:pPr>
      <w:r>
        <w:t>2.场站智能布局。基于交通流量、矿区路网与订单大数据，科学测算充换电站选址、等级与容量配置。</w:t>
      </w:r>
    </w:p>
    <w:p w14:paraId="0BE2C958">
      <w:pPr>
        <w:ind w:firstLine="560" w:firstLineChars="200"/>
        <w:jc w:val="both"/>
      </w:pPr>
      <w:r>
        <w:t>3.运营时序优化。智能排定车辆充换电时序与最优路径，压缩等待时间，提升车辆出勤率和周转效率。</w:t>
      </w:r>
    </w:p>
    <w:p w14:paraId="1652F722">
      <w:pPr>
        <w:ind w:firstLine="560" w:firstLineChars="200"/>
        <w:jc w:val="both"/>
      </w:pPr>
      <w:r>
        <w:t>4.充放电定制化。依据交通流量与电价波动动态制定充放电计划，低谷储电、高峰补能，降低度电成本。</w:t>
      </w:r>
    </w:p>
    <w:p w14:paraId="07DF95BE">
      <w:pPr>
        <w:ind w:firstLine="560" w:firstLineChars="200"/>
        <w:jc w:val="both"/>
      </w:pPr>
      <w:r>
        <w:t>5.成本智能管控。对购车、租赁、用电、维保、运输等全链路成本实时测算、动态优化。</w:t>
      </w:r>
    </w:p>
    <w:p w14:paraId="27804AF4">
      <w:pPr>
        <w:ind w:firstLine="560" w:firstLineChars="200"/>
        <w:jc w:val="both"/>
      </w:pPr>
      <w:r>
        <w:t>6.综合运营管理。覆盖车辆置换、任务派发、安全监控、故障预警救援、个体运输户与企业挂靠合作等全场景。</w:t>
      </w:r>
    </w:p>
    <w:p w14:paraId="7FC83D91">
      <w:pPr>
        <w:pStyle w:val="4"/>
        <w:ind w:firstLine="562" w:firstLineChars="200"/>
      </w:pPr>
      <w:bookmarkStart w:id="8" w:name="_Toc239250981"/>
      <w:r>
        <w:rPr>
          <w:rFonts w:ascii="Times New Roman" w:hAnsi="Times New Roman" w:eastAsia="楷体" w:cs="Times New Roman"/>
        </w:rPr>
        <w:t>（三）先导期建设安排</w:t>
      </w:r>
      <w:bookmarkEnd w:id="8"/>
    </w:p>
    <w:p w14:paraId="345E9457">
      <w:pPr>
        <w:ind w:firstLine="560" w:firstLineChars="200"/>
        <w:jc w:val="both"/>
      </w:pPr>
      <w:r>
        <w:t>筹备期（0—3个月）完成平台本地化适配开发与既有系统迁移；</w:t>
      </w:r>
    </w:p>
    <w:p w14:paraId="3FEED617">
      <w:pPr>
        <w:ind w:firstLine="560" w:firstLineChars="200"/>
        <w:jc w:val="both"/>
      </w:pPr>
      <w:r>
        <w:t>一期（4—6个月）接入首批车辆、场站及电网数据并正式上线，实现对首批运力和试点场站的智能化管控，同步沉淀运营数据资产。</w:t>
      </w:r>
    </w:p>
    <w:p w14:paraId="48981848">
      <w:pPr>
        <w:pStyle w:val="4"/>
        <w:ind w:firstLine="562" w:firstLineChars="200"/>
      </w:pPr>
      <w:bookmarkStart w:id="9" w:name="_Toc239250982"/>
      <w:r>
        <w:rPr>
          <w:rFonts w:ascii="Times New Roman" w:hAnsi="Times New Roman" w:eastAsia="楷体" w:cs="Times New Roman"/>
        </w:rPr>
        <w:t>（四）平台对重资产的牵引机制</w:t>
      </w:r>
      <w:bookmarkEnd w:id="9"/>
    </w:p>
    <w:p w14:paraId="0DE85987">
      <w:pPr>
        <w:ind w:firstLine="560" w:firstLineChars="200"/>
        <w:jc w:val="both"/>
      </w:pPr>
      <w:r>
        <w:t>坚持以平台带运营、以运营促投资：以真实流量数据指导站点分级建设，以归集运力锁定车辆投放规模，以充放电数据优化电池银行配比，以负荷曲线支撑绿电直连与风光储充配置，并将运营数据转化为碳资产、数据资产，为重资产投资决策和融资增信提供依据。</w:t>
      </w:r>
    </w:p>
    <w:p w14:paraId="25BF3B94">
      <w:pPr>
        <w:pStyle w:val="3"/>
        <w:ind w:firstLine="602" w:firstLineChars="200"/>
      </w:pPr>
      <w:bookmarkStart w:id="10" w:name="_Toc239250983"/>
      <w:r>
        <w:rPr>
          <w:rFonts w:ascii="Times New Roman" w:hAnsi="Times New Roman" w:eastAsia="黑体" w:cs="Times New Roman"/>
        </w:rPr>
        <w:t>四、第二步：组建SPV项目公司，构建投融建管运一体化主体</w:t>
      </w:r>
      <w:bookmarkEnd w:id="10"/>
    </w:p>
    <w:p w14:paraId="345D64B3">
      <w:pPr>
        <w:pStyle w:val="4"/>
        <w:ind w:firstLine="562" w:firstLineChars="200"/>
      </w:pPr>
      <w:bookmarkStart w:id="11" w:name="_Toc239250984"/>
      <w:r>
        <w:rPr>
          <w:rFonts w:ascii="Times New Roman" w:hAnsi="Times New Roman" w:eastAsia="楷体" w:cs="Times New Roman"/>
        </w:rPr>
        <w:t>（一）组建方式与注册</w:t>
      </w:r>
      <w:bookmarkEnd w:id="11"/>
    </w:p>
    <w:p w14:paraId="7DECE8E3">
      <w:pPr>
        <w:ind w:firstLine="560" w:firstLineChars="200"/>
        <w:jc w:val="both"/>
      </w:pPr>
      <w:r>
        <w:t>由华系投资作为牵头方，依据框架协议组织社会资本方与技术方，在庆阳市注册设立</w:t>
      </w:r>
      <w:r>
        <w:rPr>
          <w:rFonts w:hint="eastAsia"/>
          <w:lang w:val="en-US" w:eastAsia="zh-CN"/>
        </w:rPr>
        <w:t>SPV</w:t>
      </w:r>
      <w:r>
        <w:t>项目公司（名称以工商核名为准），作为本项目投资、融资、建设、管理、运营的一体化责任主体，实行本地注册、本地核算、本地纳税，全面承接框架协议项下丙方权利义务。</w:t>
      </w:r>
    </w:p>
    <w:p w14:paraId="04AF3FB5">
      <w:pPr>
        <w:pStyle w:val="4"/>
        <w:ind w:firstLine="562" w:firstLineChars="200"/>
      </w:pPr>
      <w:bookmarkStart w:id="12" w:name="_Toc239250985"/>
      <w:r>
        <w:rPr>
          <w:rFonts w:ascii="Times New Roman" w:hAnsi="Times New Roman" w:eastAsia="楷体" w:cs="Times New Roman"/>
        </w:rPr>
        <w:t>（二）股权结构与资金筹措</w:t>
      </w:r>
      <w:bookmarkEnd w:id="12"/>
    </w:p>
    <w:p w14:paraId="522BC451">
      <w:pPr>
        <w:ind w:firstLine="560" w:firstLineChars="200"/>
        <w:jc w:val="both"/>
      </w:pPr>
      <w:r>
        <w:t>SPV由华系投资相对控股，引入能源、电池与充换电、物流运力等产业方及省市级产业基金参股，形成利益绑定、风险共担的股权结构。项目总投资约70.1亿元，按“资本金+绿色信贷+产业基金+产业链招商”多元化筹措，初步方案见表2，最终以正式融资方案和可行性研究报告为准。</w:t>
      </w:r>
    </w:p>
    <w:p w14:paraId="74172ECA">
      <w:pPr>
        <w:keepNext/>
        <w:spacing w:before="120" w:after="40" w:line="240" w:lineRule="auto"/>
        <w:jc w:val="center"/>
      </w:pPr>
      <w:r>
        <w:rPr>
          <w:rFonts w:eastAsia="黑体"/>
          <w:b/>
          <w:sz w:val="22"/>
        </w:rPr>
        <w:t>表2项目总投资与资金筹措初步方案</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80" w:type="dxa"/>
          <w:bottom w:w="40" w:type="dxa"/>
          <w:right w:w="80" w:type="dxa"/>
        </w:tblCellMar>
      </w:tblPr>
      <w:tblGrid>
        <w:gridCol w:w="2494"/>
        <w:gridCol w:w="1020"/>
        <w:gridCol w:w="1474"/>
        <w:gridCol w:w="3855"/>
      </w:tblGrid>
      <w:tr w14:paraId="4D583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2494" w:type="dxa"/>
            <w:shd w:val="clear" w:color="auto" w:fill="D9D9D9"/>
            <w:vAlign w:val="center"/>
          </w:tcPr>
          <w:p w14:paraId="386AF3A5">
            <w:pPr>
              <w:spacing w:before="20" w:after="20" w:line="240" w:lineRule="auto"/>
              <w:jc w:val="center"/>
            </w:pPr>
            <w:r>
              <w:rPr>
                <w:rFonts w:eastAsia="黑体"/>
                <w:b/>
                <w:sz w:val="21"/>
              </w:rPr>
              <w:t>资金来源</w:t>
            </w:r>
          </w:p>
        </w:tc>
        <w:tc>
          <w:tcPr>
            <w:tcW w:w="1020" w:type="dxa"/>
            <w:shd w:val="clear" w:color="auto" w:fill="D9D9D9"/>
            <w:vAlign w:val="center"/>
          </w:tcPr>
          <w:p w14:paraId="7A11C8F2">
            <w:pPr>
              <w:spacing w:before="20" w:after="20" w:line="240" w:lineRule="auto"/>
              <w:jc w:val="center"/>
            </w:pPr>
            <w:r>
              <w:rPr>
                <w:rFonts w:eastAsia="黑体"/>
                <w:b/>
                <w:sz w:val="21"/>
              </w:rPr>
              <w:t>占比</w:t>
            </w:r>
          </w:p>
        </w:tc>
        <w:tc>
          <w:tcPr>
            <w:tcW w:w="1474" w:type="dxa"/>
            <w:shd w:val="clear" w:color="auto" w:fill="D9D9D9"/>
            <w:vAlign w:val="center"/>
          </w:tcPr>
          <w:p w14:paraId="1756DB1C">
            <w:pPr>
              <w:spacing w:before="20" w:after="20" w:line="240" w:lineRule="auto"/>
              <w:jc w:val="center"/>
            </w:pPr>
            <w:r>
              <w:rPr>
                <w:rFonts w:eastAsia="黑体"/>
                <w:b/>
                <w:sz w:val="21"/>
              </w:rPr>
              <w:t>金额（亿元）</w:t>
            </w:r>
          </w:p>
        </w:tc>
        <w:tc>
          <w:tcPr>
            <w:tcW w:w="3855" w:type="dxa"/>
            <w:shd w:val="clear" w:color="auto" w:fill="D9D9D9"/>
            <w:vAlign w:val="center"/>
          </w:tcPr>
          <w:p w14:paraId="7A2089ED">
            <w:pPr>
              <w:spacing w:before="20" w:after="20" w:line="240" w:lineRule="auto"/>
              <w:jc w:val="center"/>
            </w:pPr>
            <w:r>
              <w:rPr>
                <w:rFonts w:eastAsia="黑体"/>
                <w:b/>
                <w:sz w:val="21"/>
              </w:rPr>
              <w:t>说明</w:t>
            </w:r>
          </w:p>
        </w:tc>
      </w:tr>
      <w:tr w14:paraId="724A2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494" w:type="dxa"/>
            <w:vAlign w:val="center"/>
          </w:tcPr>
          <w:p w14:paraId="4B662A4F">
            <w:pPr>
              <w:spacing w:before="20" w:after="20" w:line="240" w:lineRule="auto"/>
              <w:jc w:val="center"/>
            </w:pPr>
            <w:r>
              <w:rPr>
                <w:rFonts w:eastAsia="宋体"/>
                <w:sz w:val="21"/>
              </w:rPr>
              <w:t>项目资本金（社会资本）</w:t>
            </w:r>
          </w:p>
        </w:tc>
        <w:tc>
          <w:tcPr>
            <w:tcW w:w="1020" w:type="dxa"/>
            <w:vAlign w:val="center"/>
          </w:tcPr>
          <w:p w14:paraId="2971EC2C">
            <w:pPr>
              <w:spacing w:before="20" w:after="20" w:line="240" w:lineRule="auto"/>
              <w:jc w:val="center"/>
            </w:pPr>
            <w:r>
              <w:rPr>
                <w:rFonts w:eastAsia="宋体"/>
                <w:sz w:val="21"/>
              </w:rPr>
              <w:t>30%</w:t>
            </w:r>
          </w:p>
        </w:tc>
        <w:tc>
          <w:tcPr>
            <w:tcW w:w="1474" w:type="dxa"/>
            <w:vAlign w:val="center"/>
          </w:tcPr>
          <w:p w14:paraId="127E14CD">
            <w:pPr>
              <w:spacing w:before="20" w:after="20" w:line="240" w:lineRule="auto"/>
              <w:jc w:val="center"/>
            </w:pPr>
            <w:r>
              <w:rPr>
                <w:rFonts w:eastAsia="宋体"/>
                <w:sz w:val="21"/>
              </w:rPr>
              <w:t>21.03</w:t>
            </w:r>
          </w:p>
        </w:tc>
        <w:tc>
          <w:tcPr>
            <w:tcW w:w="3855" w:type="dxa"/>
            <w:vAlign w:val="center"/>
          </w:tcPr>
          <w:p w14:paraId="09F0B486">
            <w:pPr>
              <w:spacing w:before="20" w:after="20" w:line="240" w:lineRule="auto"/>
            </w:pPr>
            <w:r>
              <w:rPr>
                <w:rFonts w:eastAsia="宋体"/>
                <w:sz w:val="21"/>
              </w:rPr>
              <w:t>华系投资牵头，各参股方按股权出资</w:t>
            </w:r>
          </w:p>
        </w:tc>
      </w:tr>
      <w:tr w14:paraId="1B131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494" w:type="dxa"/>
            <w:vAlign w:val="center"/>
          </w:tcPr>
          <w:p w14:paraId="21C95500">
            <w:pPr>
              <w:spacing w:before="20" w:after="20" w:line="240" w:lineRule="auto"/>
              <w:jc w:val="center"/>
            </w:pPr>
            <w:r>
              <w:rPr>
                <w:rFonts w:eastAsia="宋体"/>
                <w:sz w:val="21"/>
              </w:rPr>
              <w:t>银行绿色专项贷款</w:t>
            </w:r>
          </w:p>
        </w:tc>
        <w:tc>
          <w:tcPr>
            <w:tcW w:w="1020" w:type="dxa"/>
            <w:vAlign w:val="center"/>
          </w:tcPr>
          <w:p w14:paraId="43CE9FDD">
            <w:pPr>
              <w:spacing w:before="20" w:after="20" w:line="240" w:lineRule="auto"/>
              <w:jc w:val="center"/>
            </w:pPr>
            <w:r>
              <w:rPr>
                <w:rFonts w:eastAsia="宋体"/>
                <w:sz w:val="21"/>
              </w:rPr>
              <w:t>40%</w:t>
            </w:r>
          </w:p>
        </w:tc>
        <w:tc>
          <w:tcPr>
            <w:tcW w:w="1474" w:type="dxa"/>
            <w:vAlign w:val="center"/>
          </w:tcPr>
          <w:p w14:paraId="68D7CA55">
            <w:pPr>
              <w:spacing w:before="20" w:after="20" w:line="240" w:lineRule="auto"/>
              <w:jc w:val="center"/>
            </w:pPr>
            <w:r>
              <w:rPr>
                <w:rFonts w:eastAsia="宋体"/>
                <w:sz w:val="21"/>
              </w:rPr>
              <w:t>28.04</w:t>
            </w:r>
          </w:p>
        </w:tc>
        <w:tc>
          <w:tcPr>
            <w:tcW w:w="3855" w:type="dxa"/>
            <w:vAlign w:val="center"/>
          </w:tcPr>
          <w:p w14:paraId="397A120B">
            <w:pPr>
              <w:spacing w:before="20" w:after="20" w:line="240" w:lineRule="auto"/>
            </w:pPr>
            <w:r>
              <w:rPr>
                <w:rFonts w:eastAsia="宋体"/>
                <w:sz w:val="21"/>
              </w:rPr>
              <w:t>对接绿色金融、政策性低息长期贷款</w:t>
            </w:r>
          </w:p>
        </w:tc>
      </w:tr>
      <w:tr w14:paraId="3BCF8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494" w:type="dxa"/>
            <w:vAlign w:val="center"/>
          </w:tcPr>
          <w:p w14:paraId="45787C63">
            <w:pPr>
              <w:spacing w:before="20" w:after="20" w:line="240" w:lineRule="auto"/>
              <w:jc w:val="center"/>
            </w:pPr>
            <w:r>
              <w:rPr>
                <w:rFonts w:eastAsia="宋体"/>
                <w:sz w:val="21"/>
              </w:rPr>
              <w:t>省市级产业基金</w:t>
            </w:r>
          </w:p>
        </w:tc>
        <w:tc>
          <w:tcPr>
            <w:tcW w:w="1020" w:type="dxa"/>
            <w:vAlign w:val="center"/>
          </w:tcPr>
          <w:p w14:paraId="3A48BBBB">
            <w:pPr>
              <w:spacing w:before="20" w:after="20" w:line="240" w:lineRule="auto"/>
              <w:jc w:val="center"/>
            </w:pPr>
            <w:r>
              <w:rPr>
                <w:rFonts w:eastAsia="宋体"/>
                <w:sz w:val="21"/>
              </w:rPr>
              <w:t>15%</w:t>
            </w:r>
          </w:p>
        </w:tc>
        <w:tc>
          <w:tcPr>
            <w:tcW w:w="1474" w:type="dxa"/>
            <w:vAlign w:val="center"/>
          </w:tcPr>
          <w:p w14:paraId="1356BFA4">
            <w:pPr>
              <w:spacing w:before="20" w:after="20" w:line="240" w:lineRule="auto"/>
              <w:jc w:val="center"/>
            </w:pPr>
            <w:r>
              <w:rPr>
                <w:rFonts w:eastAsia="宋体"/>
                <w:sz w:val="21"/>
              </w:rPr>
              <w:t>10.515</w:t>
            </w:r>
          </w:p>
        </w:tc>
        <w:tc>
          <w:tcPr>
            <w:tcW w:w="3855" w:type="dxa"/>
            <w:vAlign w:val="center"/>
          </w:tcPr>
          <w:p w14:paraId="0202ADBB">
            <w:pPr>
              <w:spacing w:before="20" w:after="20" w:line="240" w:lineRule="auto"/>
            </w:pPr>
            <w:r>
              <w:rPr>
                <w:rFonts w:eastAsia="宋体"/>
                <w:sz w:val="21"/>
              </w:rPr>
              <w:t>争取省市产业基金、绿色基金参股</w:t>
            </w:r>
          </w:p>
        </w:tc>
      </w:tr>
      <w:tr w14:paraId="0D03F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494" w:type="dxa"/>
            <w:vAlign w:val="center"/>
          </w:tcPr>
          <w:p w14:paraId="2364AC83">
            <w:pPr>
              <w:spacing w:before="20" w:after="20" w:line="240" w:lineRule="auto"/>
              <w:jc w:val="center"/>
            </w:pPr>
            <w:r>
              <w:rPr>
                <w:rFonts w:eastAsia="宋体"/>
                <w:sz w:val="21"/>
              </w:rPr>
              <w:t>产业链招商引资</w:t>
            </w:r>
          </w:p>
        </w:tc>
        <w:tc>
          <w:tcPr>
            <w:tcW w:w="1020" w:type="dxa"/>
            <w:vAlign w:val="center"/>
          </w:tcPr>
          <w:p w14:paraId="683AEECF">
            <w:pPr>
              <w:spacing w:before="20" w:after="20" w:line="240" w:lineRule="auto"/>
              <w:jc w:val="center"/>
            </w:pPr>
            <w:r>
              <w:rPr>
                <w:rFonts w:eastAsia="宋体"/>
                <w:sz w:val="21"/>
              </w:rPr>
              <w:t>15%</w:t>
            </w:r>
          </w:p>
        </w:tc>
        <w:tc>
          <w:tcPr>
            <w:tcW w:w="1474" w:type="dxa"/>
            <w:vAlign w:val="center"/>
          </w:tcPr>
          <w:p w14:paraId="37E87782">
            <w:pPr>
              <w:spacing w:before="20" w:after="20" w:line="240" w:lineRule="auto"/>
              <w:jc w:val="center"/>
            </w:pPr>
            <w:r>
              <w:rPr>
                <w:rFonts w:eastAsia="宋体"/>
                <w:sz w:val="21"/>
              </w:rPr>
              <w:t>10.515</w:t>
            </w:r>
          </w:p>
        </w:tc>
        <w:tc>
          <w:tcPr>
            <w:tcW w:w="3855" w:type="dxa"/>
            <w:vAlign w:val="center"/>
          </w:tcPr>
          <w:p w14:paraId="6C3D76D0">
            <w:pPr>
              <w:spacing w:before="20" w:after="20" w:line="240" w:lineRule="auto"/>
            </w:pPr>
            <w:r>
              <w:rPr>
                <w:rFonts w:eastAsia="宋体"/>
                <w:sz w:val="21"/>
              </w:rPr>
              <w:t>装备、电池、物流等合作方投入</w:t>
            </w:r>
          </w:p>
        </w:tc>
      </w:tr>
      <w:tr w14:paraId="2808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494" w:type="dxa"/>
            <w:shd w:val="clear" w:color="auto" w:fill="F2F2F2"/>
            <w:vAlign w:val="center"/>
          </w:tcPr>
          <w:p w14:paraId="6C84D224">
            <w:pPr>
              <w:spacing w:before="20" w:after="20" w:line="240" w:lineRule="auto"/>
              <w:jc w:val="center"/>
            </w:pPr>
            <w:r>
              <w:rPr>
                <w:rFonts w:eastAsia="宋体"/>
                <w:b/>
                <w:sz w:val="21"/>
              </w:rPr>
              <w:t>合计</w:t>
            </w:r>
          </w:p>
        </w:tc>
        <w:tc>
          <w:tcPr>
            <w:tcW w:w="1020" w:type="dxa"/>
            <w:shd w:val="clear" w:color="auto" w:fill="F2F2F2"/>
            <w:vAlign w:val="center"/>
          </w:tcPr>
          <w:p w14:paraId="3E7E9F79">
            <w:pPr>
              <w:spacing w:before="20" w:after="20" w:line="240" w:lineRule="auto"/>
              <w:jc w:val="center"/>
            </w:pPr>
            <w:r>
              <w:rPr>
                <w:rFonts w:eastAsia="宋体"/>
                <w:b/>
                <w:sz w:val="21"/>
              </w:rPr>
              <w:t>100%</w:t>
            </w:r>
          </w:p>
        </w:tc>
        <w:tc>
          <w:tcPr>
            <w:tcW w:w="1474" w:type="dxa"/>
            <w:shd w:val="clear" w:color="auto" w:fill="F2F2F2"/>
            <w:vAlign w:val="center"/>
          </w:tcPr>
          <w:p w14:paraId="1AB8AA1E">
            <w:pPr>
              <w:spacing w:before="20" w:after="20" w:line="240" w:lineRule="auto"/>
              <w:jc w:val="center"/>
            </w:pPr>
            <w:r>
              <w:rPr>
                <w:rFonts w:eastAsia="宋体"/>
                <w:b/>
                <w:sz w:val="21"/>
              </w:rPr>
              <w:t>70.10</w:t>
            </w:r>
          </w:p>
        </w:tc>
        <w:tc>
          <w:tcPr>
            <w:tcW w:w="3855" w:type="dxa"/>
            <w:shd w:val="clear" w:color="auto" w:fill="F2F2F2"/>
            <w:vAlign w:val="center"/>
          </w:tcPr>
          <w:p w14:paraId="39630D7A">
            <w:pPr>
              <w:spacing w:before="20" w:after="20" w:line="240" w:lineRule="auto"/>
            </w:pPr>
            <w:r>
              <w:rPr>
                <w:rFonts w:eastAsia="宋体"/>
                <w:b/>
                <w:sz w:val="21"/>
              </w:rPr>
              <w:t>—</w:t>
            </w:r>
          </w:p>
        </w:tc>
      </w:tr>
    </w:tbl>
    <w:p w14:paraId="74B5DD9E">
      <w:pPr>
        <w:pStyle w:val="4"/>
        <w:ind w:firstLine="562" w:firstLineChars="200"/>
      </w:pPr>
      <w:bookmarkStart w:id="13" w:name="_Toc239250986"/>
      <w:r>
        <w:rPr>
          <w:rFonts w:ascii="Times New Roman" w:hAnsi="Times New Roman" w:eastAsia="楷体" w:cs="Times New Roman"/>
        </w:rPr>
        <w:t>（三）业务架构</w:t>
      </w:r>
      <w:bookmarkEnd w:id="13"/>
    </w:p>
    <w:p w14:paraId="0003F568">
      <w:pPr>
        <w:ind w:firstLine="560" w:firstLineChars="200"/>
        <w:jc w:val="both"/>
      </w:pPr>
      <w:r>
        <w:t>SPV按专业化、闭环化原则下设六个业务单元：数字平台公司（智能体平台与数据资产）、电池银行（车电分离、电池组持有与梯次利用）、运力运营公司（车辆融资租赁、以旧换新与运输组织）、充换电运营公司（母站、子站建设运营）、绿电开发公司（风光储充与绿电直连）、零碳园区运营公司（产业园开发、招商与配套服务）。</w:t>
      </w:r>
    </w:p>
    <w:p w14:paraId="32EA45C3">
      <w:pPr>
        <w:pStyle w:val="4"/>
        <w:ind w:firstLine="562" w:firstLineChars="200"/>
      </w:pPr>
      <w:bookmarkStart w:id="14" w:name="_Toc239250987"/>
      <w:r>
        <w:rPr>
          <w:rFonts w:ascii="Times New Roman" w:hAnsi="Times New Roman" w:eastAsia="楷体" w:cs="Times New Roman"/>
        </w:rPr>
        <w:t>（四）治理与合规</w:t>
      </w:r>
      <w:bookmarkEnd w:id="14"/>
    </w:p>
    <w:p w14:paraId="60831F68">
      <w:pPr>
        <w:ind w:firstLine="560" w:firstLineChars="200"/>
        <w:jc w:val="both"/>
      </w:pPr>
      <w:r>
        <w:t>建立现代企业制度和规范的董事会决策机制，设立资金专户、专款专用；健全安全生产、环境保护、财务税务和统计报送制度，主动接受市直部门监管，按要求及时报送固定资产投资和生产运行统计报表。</w:t>
      </w:r>
    </w:p>
    <w:p w14:paraId="2158D115">
      <w:pPr>
        <w:pStyle w:val="3"/>
        <w:ind w:firstLine="602" w:firstLineChars="200"/>
      </w:pPr>
      <w:bookmarkStart w:id="15" w:name="_Toc239250988"/>
      <w:r>
        <w:rPr>
          <w:rFonts w:ascii="Times New Roman" w:hAnsi="Times New Roman" w:eastAsia="黑体" w:cs="Times New Roman"/>
        </w:rPr>
        <w:t>五、第三步：整合全链条资源、落地建设内容</w:t>
      </w:r>
      <w:bookmarkEnd w:id="15"/>
    </w:p>
    <w:p w14:paraId="6759CAD3">
      <w:pPr>
        <w:pStyle w:val="4"/>
        <w:ind w:firstLine="562" w:firstLineChars="200"/>
      </w:pPr>
      <w:bookmarkStart w:id="16" w:name="_Toc239250989"/>
      <w:r>
        <w:rPr>
          <w:rFonts w:ascii="Times New Roman" w:hAnsi="Times New Roman" w:eastAsia="楷体" w:cs="Times New Roman"/>
        </w:rPr>
        <w:t>（一）整合头部资源组建产业联合体</w:t>
      </w:r>
      <w:bookmarkEnd w:id="16"/>
    </w:p>
    <w:p w14:paraId="7AC6E354">
      <w:pPr>
        <w:ind w:firstLine="560" w:firstLineChars="200"/>
        <w:jc w:val="both"/>
      </w:pPr>
      <w:r>
        <w:t>华系投资已牵头对接并整合能源、充换电、交通物流及智库全链条头部资源，以战略合作、合资合作、设备供应、订单导入等方式纳入SPV产业生态（见表3），保障技术先进、资金可达、运营可靠。</w:t>
      </w:r>
    </w:p>
    <w:p w14:paraId="3B0C162F">
      <w:pPr>
        <w:keepNext/>
        <w:spacing w:before="120" w:after="40" w:line="240" w:lineRule="auto"/>
        <w:jc w:val="center"/>
      </w:pPr>
      <w:r>
        <w:rPr>
          <w:rFonts w:eastAsia="黑体"/>
          <w:b/>
          <w:sz w:val="22"/>
        </w:rPr>
        <w:t>表3项目核心合作资源</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80" w:type="dxa"/>
          <w:bottom w:w="40" w:type="dxa"/>
          <w:right w:w="80" w:type="dxa"/>
        </w:tblCellMar>
      </w:tblPr>
      <w:tblGrid>
        <w:gridCol w:w="1361"/>
        <w:gridCol w:w="3799"/>
        <w:gridCol w:w="3685"/>
      </w:tblGrid>
      <w:tr w14:paraId="6EAF9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1361" w:type="dxa"/>
            <w:shd w:val="clear" w:color="auto" w:fill="D9D9D9"/>
            <w:vAlign w:val="center"/>
          </w:tcPr>
          <w:p w14:paraId="59BBEEE7">
            <w:pPr>
              <w:spacing w:before="20" w:after="20" w:line="240" w:lineRule="auto"/>
              <w:jc w:val="center"/>
            </w:pPr>
            <w:r>
              <w:rPr>
                <w:rFonts w:eastAsia="黑体"/>
                <w:b/>
                <w:sz w:val="21"/>
              </w:rPr>
              <w:t>资源板块</w:t>
            </w:r>
          </w:p>
        </w:tc>
        <w:tc>
          <w:tcPr>
            <w:tcW w:w="3799" w:type="dxa"/>
            <w:shd w:val="clear" w:color="auto" w:fill="D9D9D9"/>
            <w:vAlign w:val="center"/>
          </w:tcPr>
          <w:p w14:paraId="19C8E7FD">
            <w:pPr>
              <w:spacing w:before="20" w:after="20" w:line="240" w:lineRule="auto"/>
              <w:jc w:val="center"/>
            </w:pPr>
            <w:r>
              <w:rPr>
                <w:rFonts w:eastAsia="黑体"/>
                <w:b/>
                <w:sz w:val="21"/>
              </w:rPr>
              <w:t>合作方</w:t>
            </w:r>
          </w:p>
        </w:tc>
        <w:tc>
          <w:tcPr>
            <w:tcW w:w="3685" w:type="dxa"/>
            <w:shd w:val="clear" w:color="auto" w:fill="D9D9D9"/>
            <w:vAlign w:val="center"/>
          </w:tcPr>
          <w:p w14:paraId="4B78A71B">
            <w:pPr>
              <w:spacing w:before="20" w:after="20" w:line="240" w:lineRule="auto"/>
              <w:jc w:val="center"/>
            </w:pPr>
            <w:r>
              <w:rPr>
                <w:rFonts w:eastAsia="黑体"/>
                <w:b/>
                <w:sz w:val="21"/>
              </w:rPr>
              <w:t>支撑事项</w:t>
            </w:r>
          </w:p>
        </w:tc>
      </w:tr>
      <w:tr w14:paraId="78727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361" w:type="dxa"/>
            <w:vAlign w:val="center"/>
          </w:tcPr>
          <w:p w14:paraId="61CB50C6">
            <w:pPr>
              <w:spacing w:before="20" w:after="20" w:line="240" w:lineRule="auto"/>
              <w:jc w:val="center"/>
            </w:pPr>
            <w:r>
              <w:rPr>
                <w:rFonts w:eastAsia="宋体"/>
                <w:sz w:val="21"/>
              </w:rPr>
              <w:t>能源侧</w:t>
            </w:r>
          </w:p>
        </w:tc>
        <w:tc>
          <w:tcPr>
            <w:tcW w:w="3799" w:type="dxa"/>
            <w:vAlign w:val="center"/>
          </w:tcPr>
          <w:p w14:paraId="4FE6B0BE">
            <w:pPr>
              <w:spacing w:before="20" w:after="20" w:line="240" w:lineRule="auto"/>
              <w:jc w:val="center"/>
            </w:pPr>
            <w:r>
              <w:rPr>
                <w:rFonts w:eastAsia="宋体"/>
                <w:sz w:val="21"/>
              </w:rPr>
              <w:t>隆基森特、晶科能源</w:t>
            </w:r>
          </w:p>
        </w:tc>
        <w:tc>
          <w:tcPr>
            <w:tcW w:w="3685" w:type="dxa"/>
            <w:vAlign w:val="center"/>
          </w:tcPr>
          <w:p w14:paraId="601749AE">
            <w:pPr>
              <w:spacing w:before="20" w:after="20" w:line="240" w:lineRule="auto"/>
            </w:pPr>
            <w:r>
              <w:rPr>
                <w:rFonts w:eastAsia="宋体"/>
                <w:sz w:val="21"/>
              </w:rPr>
              <w:t>风光储充一体化技术装备、光伏组件与能源系统解决方案</w:t>
            </w:r>
          </w:p>
        </w:tc>
      </w:tr>
      <w:tr w14:paraId="338EF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361" w:type="dxa"/>
            <w:vAlign w:val="center"/>
          </w:tcPr>
          <w:p w14:paraId="5B5FD971">
            <w:pPr>
              <w:spacing w:before="20" w:after="20" w:line="240" w:lineRule="auto"/>
              <w:jc w:val="center"/>
            </w:pPr>
            <w:r>
              <w:rPr>
                <w:rFonts w:eastAsia="宋体"/>
                <w:sz w:val="21"/>
              </w:rPr>
              <w:t>充换电侧</w:t>
            </w:r>
          </w:p>
        </w:tc>
        <w:tc>
          <w:tcPr>
            <w:tcW w:w="3799" w:type="dxa"/>
            <w:vAlign w:val="center"/>
          </w:tcPr>
          <w:p w14:paraId="0725B45F">
            <w:pPr>
              <w:spacing w:before="20" w:after="20" w:line="240" w:lineRule="auto"/>
              <w:jc w:val="center"/>
            </w:pPr>
            <w:r>
              <w:rPr>
                <w:rFonts w:eastAsia="宋体"/>
                <w:sz w:val="21"/>
              </w:rPr>
              <w:t>宁德时代、卫蓝新能源</w:t>
            </w:r>
          </w:p>
        </w:tc>
        <w:tc>
          <w:tcPr>
            <w:tcW w:w="3685" w:type="dxa"/>
            <w:vAlign w:val="center"/>
          </w:tcPr>
          <w:p w14:paraId="4C855EB4">
            <w:pPr>
              <w:spacing w:before="20" w:after="20" w:line="240" w:lineRule="auto"/>
            </w:pPr>
            <w:r>
              <w:rPr>
                <w:rFonts w:eastAsia="宋体"/>
                <w:sz w:val="21"/>
              </w:rPr>
              <w:t>动力电池与换电技术、充换电站成套设备及运营方案</w:t>
            </w:r>
          </w:p>
        </w:tc>
      </w:tr>
      <w:tr w14:paraId="628DE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361" w:type="dxa"/>
            <w:vAlign w:val="center"/>
          </w:tcPr>
          <w:p w14:paraId="0D9D6DE3">
            <w:pPr>
              <w:spacing w:before="20" w:after="20" w:line="240" w:lineRule="auto"/>
              <w:jc w:val="center"/>
            </w:pPr>
            <w:r>
              <w:rPr>
                <w:rFonts w:eastAsia="宋体"/>
                <w:sz w:val="21"/>
              </w:rPr>
              <w:t>交通物流侧</w:t>
            </w:r>
          </w:p>
        </w:tc>
        <w:tc>
          <w:tcPr>
            <w:tcW w:w="3799" w:type="dxa"/>
            <w:vAlign w:val="center"/>
          </w:tcPr>
          <w:p w14:paraId="7F2A8457">
            <w:pPr>
              <w:spacing w:before="20" w:after="20" w:line="240" w:lineRule="auto"/>
              <w:jc w:val="center"/>
              <w:rPr>
                <w:rFonts w:eastAsia="宋体"/>
                <w:sz w:val="21"/>
              </w:rPr>
            </w:pPr>
            <w:r>
              <w:rPr>
                <w:rFonts w:eastAsia="宋体"/>
                <w:sz w:val="21"/>
              </w:rPr>
              <w:t>日照交通、中国数联、满帮</w:t>
            </w:r>
          </w:p>
          <w:p w14:paraId="6B8D5489">
            <w:pPr>
              <w:spacing w:before="20" w:after="20" w:line="240" w:lineRule="auto"/>
              <w:jc w:val="center"/>
            </w:pPr>
            <w:r>
              <w:rPr>
                <w:rFonts w:eastAsia="宋体"/>
                <w:sz w:val="21"/>
              </w:rPr>
              <w:t>怡亚通、中国物流、圆通</w:t>
            </w:r>
          </w:p>
        </w:tc>
        <w:tc>
          <w:tcPr>
            <w:tcW w:w="3685" w:type="dxa"/>
            <w:vAlign w:val="center"/>
          </w:tcPr>
          <w:p w14:paraId="27F0F904">
            <w:pPr>
              <w:spacing w:before="20" w:after="20" w:line="240" w:lineRule="auto"/>
            </w:pPr>
            <w:r>
              <w:rPr>
                <w:rFonts w:eastAsia="宋体"/>
                <w:sz w:val="21"/>
              </w:rPr>
              <w:t>交通运营经验、数字化技术、物流订单与运力调度</w:t>
            </w:r>
          </w:p>
        </w:tc>
      </w:tr>
      <w:tr w14:paraId="38C1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361" w:type="dxa"/>
            <w:vAlign w:val="center"/>
          </w:tcPr>
          <w:p w14:paraId="7823E1C7">
            <w:pPr>
              <w:spacing w:before="20" w:after="20" w:line="240" w:lineRule="auto"/>
              <w:jc w:val="center"/>
            </w:pPr>
            <w:r>
              <w:rPr>
                <w:rFonts w:eastAsia="宋体"/>
                <w:sz w:val="21"/>
              </w:rPr>
              <w:t>智库支撑</w:t>
            </w:r>
          </w:p>
        </w:tc>
        <w:tc>
          <w:tcPr>
            <w:tcW w:w="3799" w:type="dxa"/>
            <w:vAlign w:val="center"/>
          </w:tcPr>
          <w:p w14:paraId="5E41E782">
            <w:pPr>
              <w:spacing w:before="20" w:after="20" w:line="240" w:lineRule="auto"/>
              <w:jc w:val="center"/>
              <w:rPr>
                <w:rFonts w:eastAsia="宋体"/>
                <w:sz w:val="21"/>
              </w:rPr>
            </w:pPr>
            <w:r>
              <w:rPr>
                <w:rFonts w:eastAsia="宋体"/>
                <w:sz w:val="21"/>
              </w:rPr>
              <w:t>中咨海外咨询、中国城市建设研究院</w:t>
            </w:r>
          </w:p>
          <w:p w14:paraId="13998FF3">
            <w:pPr>
              <w:spacing w:before="20" w:after="20" w:line="240" w:lineRule="auto"/>
              <w:jc w:val="center"/>
            </w:pPr>
            <w:r>
              <w:rPr>
                <w:rFonts w:eastAsia="宋体"/>
                <w:sz w:val="21"/>
              </w:rPr>
              <w:t>中国环境科学研究院</w:t>
            </w:r>
          </w:p>
        </w:tc>
        <w:tc>
          <w:tcPr>
            <w:tcW w:w="3685" w:type="dxa"/>
            <w:vAlign w:val="center"/>
          </w:tcPr>
          <w:p w14:paraId="05340C1D">
            <w:pPr>
              <w:spacing w:before="20" w:after="20" w:line="240" w:lineRule="auto"/>
            </w:pPr>
            <w:r>
              <w:rPr>
                <w:rFonts w:eastAsia="宋体"/>
                <w:sz w:val="21"/>
              </w:rPr>
              <w:t>政策研究、项目申报、规划设计、合规与示范创建</w:t>
            </w:r>
          </w:p>
        </w:tc>
      </w:tr>
      <w:tr w14:paraId="464C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361" w:type="dxa"/>
            <w:vAlign w:val="center"/>
          </w:tcPr>
          <w:p w14:paraId="6C058C2F">
            <w:pPr>
              <w:spacing w:before="20" w:after="20" w:line="240" w:lineRule="auto"/>
              <w:jc w:val="center"/>
            </w:pPr>
            <w:r>
              <w:rPr>
                <w:rFonts w:eastAsia="宋体"/>
                <w:sz w:val="21"/>
              </w:rPr>
              <w:t>运营实践</w:t>
            </w:r>
          </w:p>
        </w:tc>
        <w:tc>
          <w:tcPr>
            <w:tcW w:w="3799" w:type="dxa"/>
            <w:vAlign w:val="center"/>
          </w:tcPr>
          <w:p w14:paraId="18B2109A">
            <w:pPr>
              <w:spacing w:before="20" w:after="20" w:line="240" w:lineRule="auto"/>
              <w:jc w:val="center"/>
              <w:rPr>
                <w:rFonts w:eastAsia="宋体"/>
                <w:sz w:val="21"/>
              </w:rPr>
            </w:pPr>
            <w:r>
              <w:rPr>
                <w:rFonts w:eastAsia="宋体"/>
                <w:sz w:val="21"/>
              </w:rPr>
              <w:t>大同交能融合项目</w:t>
            </w:r>
          </w:p>
          <w:p w14:paraId="2BDFEACD">
            <w:pPr>
              <w:spacing w:before="20" w:after="20" w:line="240" w:lineRule="auto"/>
              <w:jc w:val="center"/>
            </w:pPr>
            <w:r>
              <w:rPr>
                <w:rFonts w:eastAsia="宋体"/>
                <w:sz w:val="21"/>
              </w:rPr>
              <w:t>（与山西汽运集团雁运公司合作）</w:t>
            </w:r>
          </w:p>
        </w:tc>
        <w:tc>
          <w:tcPr>
            <w:tcW w:w="3685" w:type="dxa"/>
            <w:vAlign w:val="center"/>
          </w:tcPr>
          <w:p w14:paraId="483F7A89">
            <w:pPr>
              <w:spacing w:before="20" w:after="20" w:line="240" w:lineRule="auto"/>
            </w:pPr>
            <w:r>
              <w:rPr>
                <w:rFonts w:eastAsia="宋体"/>
                <w:sz w:val="21"/>
              </w:rPr>
              <w:t>已落地运营、模式可复制，输出智能体研发、团队与管理经验</w:t>
            </w:r>
          </w:p>
        </w:tc>
      </w:tr>
    </w:tbl>
    <w:p w14:paraId="0950C54D">
      <w:pPr>
        <w:pStyle w:val="4"/>
        <w:ind w:firstLine="562" w:firstLineChars="200"/>
      </w:pPr>
      <w:bookmarkStart w:id="17" w:name="_Toc239250990"/>
      <w:r>
        <w:rPr>
          <w:rFonts w:ascii="Times New Roman" w:hAnsi="Times New Roman" w:eastAsia="楷体" w:cs="Times New Roman"/>
        </w:rPr>
        <w:t>（二）建设内容与投资安排</w:t>
      </w:r>
      <w:bookmarkEnd w:id="17"/>
    </w:p>
    <w:p w14:paraId="7AADDB68">
      <w:pPr>
        <w:ind w:firstLine="560" w:firstLineChars="200"/>
        <w:jc w:val="both"/>
      </w:pPr>
      <w:r>
        <w:t>严格对标框架协议，按照4781辆电动重卡进行全产业链布局，项目总投资约70.1亿元，构成见表4。</w:t>
      </w:r>
    </w:p>
    <w:p w14:paraId="7AC72D13">
      <w:pPr>
        <w:keepNext/>
        <w:spacing w:before="120" w:after="40" w:line="240" w:lineRule="auto"/>
        <w:jc w:val="center"/>
      </w:pPr>
      <w:r>
        <w:rPr>
          <w:rFonts w:eastAsia="黑体"/>
          <w:b/>
          <w:sz w:val="22"/>
        </w:rPr>
        <w:t>表4项目建设内容与投资估算表（对标框架协议）</w:t>
      </w:r>
    </w:p>
    <w:tbl>
      <w:tblPr>
        <w:tblStyle w:val="35"/>
        <w:tblW w:w="92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80" w:type="dxa"/>
          <w:bottom w:w="40" w:type="dxa"/>
          <w:right w:w="80" w:type="dxa"/>
        </w:tblCellMar>
      </w:tblPr>
      <w:tblGrid>
        <w:gridCol w:w="680"/>
        <w:gridCol w:w="2356"/>
        <w:gridCol w:w="1102"/>
        <w:gridCol w:w="5113"/>
      </w:tblGrid>
      <w:tr w14:paraId="7B3B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680" w:type="dxa"/>
            <w:shd w:val="clear" w:color="auto" w:fill="D9D9D9"/>
            <w:vAlign w:val="center"/>
          </w:tcPr>
          <w:p w14:paraId="46191B54">
            <w:pPr>
              <w:spacing w:before="20" w:after="20" w:line="240" w:lineRule="auto"/>
              <w:jc w:val="center"/>
            </w:pPr>
            <w:r>
              <w:rPr>
                <w:rFonts w:eastAsia="黑体"/>
                <w:b/>
                <w:sz w:val="21"/>
              </w:rPr>
              <w:t>序号</w:t>
            </w:r>
          </w:p>
        </w:tc>
        <w:tc>
          <w:tcPr>
            <w:tcW w:w="2356" w:type="dxa"/>
            <w:shd w:val="clear" w:color="auto" w:fill="D9D9D9"/>
            <w:vAlign w:val="center"/>
          </w:tcPr>
          <w:p w14:paraId="4C3A2EDF">
            <w:pPr>
              <w:spacing w:before="20" w:after="20" w:line="240" w:lineRule="auto"/>
              <w:jc w:val="center"/>
            </w:pPr>
            <w:r>
              <w:rPr>
                <w:rFonts w:eastAsia="黑体"/>
                <w:b/>
                <w:sz w:val="21"/>
              </w:rPr>
              <w:t>建设内容</w:t>
            </w:r>
          </w:p>
        </w:tc>
        <w:tc>
          <w:tcPr>
            <w:tcW w:w="1102" w:type="dxa"/>
            <w:shd w:val="clear" w:color="auto" w:fill="D9D9D9"/>
            <w:vAlign w:val="center"/>
          </w:tcPr>
          <w:p w14:paraId="3D56FA65">
            <w:pPr>
              <w:spacing w:before="20" w:after="20" w:line="240" w:lineRule="auto"/>
              <w:jc w:val="center"/>
              <w:rPr>
                <w:rFonts w:eastAsia="黑体"/>
                <w:b/>
                <w:sz w:val="21"/>
              </w:rPr>
            </w:pPr>
            <w:r>
              <w:rPr>
                <w:rFonts w:eastAsia="黑体"/>
                <w:b/>
                <w:sz w:val="21"/>
              </w:rPr>
              <w:t>投资</w:t>
            </w:r>
          </w:p>
          <w:p w14:paraId="6F24F42E">
            <w:pPr>
              <w:spacing w:before="20" w:after="20" w:line="240" w:lineRule="auto"/>
              <w:jc w:val="center"/>
            </w:pPr>
            <w:r>
              <w:rPr>
                <w:rFonts w:eastAsia="黑体"/>
                <w:b/>
                <w:sz w:val="21"/>
              </w:rPr>
              <w:t>（亿元）</w:t>
            </w:r>
          </w:p>
        </w:tc>
        <w:tc>
          <w:tcPr>
            <w:tcW w:w="5113" w:type="dxa"/>
            <w:shd w:val="clear" w:color="auto" w:fill="D9D9D9"/>
            <w:vAlign w:val="center"/>
          </w:tcPr>
          <w:p w14:paraId="77B87A60">
            <w:pPr>
              <w:spacing w:before="20" w:after="20" w:line="240" w:lineRule="auto"/>
              <w:jc w:val="center"/>
            </w:pPr>
            <w:r>
              <w:rPr>
                <w:rFonts w:eastAsia="黑体"/>
                <w:b/>
                <w:sz w:val="21"/>
              </w:rPr>
              <w:t>规模与要点</w:t>
            </w:r>
          </w:p>
        </w:tc>
      </w:tr>
      <w:tr w14:paraId="7242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680" w:type="dxa"/>
            <w:vAlign w:val="center"/>
          </w:tcPr>
          <w:p w14:paraId="3A096FC2">
            <w:pPr>
              <w:spacing w:before="20" w:after="20" w:line="240" w:lineRule="auto"/>
              <w:jc w:val="center"/>
            </w:pPr>
            <w:r>
              <w:rPr>
                <w:rFonts w:eastAsia="宋体"/>
                <w:sz w:val="21"/>
              </w:rPr>
              <w:t>1</w:t>
            </w:r>
          </w:p>
        </w:tc>
        <w:tc>
          <w:tcPr>
            <w:tcW w:w="2356" w:type="dxa"/>
            <w:vAlign w:val="center"/>
          </w:tcPr>
          <w:p w14:paraId="17113AAC">
            <w:pPr>
              <w:spacing w:before="20" w:after="20" w:line="240" w:lineRule="auto"/>
              <w:jc w:val="center"/>
            </w:pPr>
            <w:r>
              <w:rPr>
                <w:rFonts w:eastAsia="宋体"/>
                <w:sz w:val="21"/>
              </w:rPr>
              <w:t>新能源重卡置换</w:t>
            </w:r>
          </w:p>
        </w:tc>
        <w:tc>
          <w:tcPr>
            <w:tcW w:w="1102" w:type="dxa"/>
            <w:vAlign w:val="center"/>
          </w:tcPr>
          <w:p w14:paraId="0B04A01F">
            <w:pPr>
              <w:spacing w:before="20" w:after="20" w:line="240" w:lineRule="auto"/>
              <w:jc w:val="center"/>
            </w:pPr>
            <w:r>
              <w:rPr>
                <w:rFonts w:eastAsia="宋体"/>
                <w:sz w:val="21"/>
              </w:rPr>
              <w:t>8.6</w:t>
            </w:r>
          </w:p>
        </w:tc>
        <w:tc>
          <w:tcPr>
            <w:tcW w:w="5113" w:type="dxa"/>
            <w:vAlign w:val="center"/>
          </w:tcPr>
          <w:p w14:paraId="4B7F6B40">
            <w:pPr>
              <w:spacing w:before="20" w:after="20" w:line="240" w:lineRule="auto"/>
            </w:pPr>
            <w:r>
              <w:rPr>
                <w:rFonts w:eastAsia="宋体"/>
                <w:sz w:val="21"/>
              </w:rPr>
              <w:t>置换电动重卡4781辆</w:t>
            </w:r>
          </w:p>
        </w:tc>
      </w:tr>
      <w:tr w14:paraId="5A8EE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680" w:type="dxa"/>
            <w:vAlign w:val="center"/>
          </w:tcPr>
          <w:p w14:paraId="758E6DF2">
            <w:pPr>
              <w:spacing w:before="20" w:after="20" w:line="240" w:lineRule="auto"/>
              <w:jc w:val="center"/>
            </w:pPr>
            <w:r>
              <w:rPr>
                <w:rFonts w:eastAsia="宋体"/>
                <w:sz w:val="21"/>
              </w:rPr>
              <w:t>2</w:t>
            </w:r>
          </w:p>
        </w:tc>
        <w:tc>
          <w:tcPr>
            <w:tcW w:w="2356" w:type="dxa"/>
            <w:vAlign w:val="center"/>
          </w:tcPr>
          <w:p w14:paraId="741CDADE">
            <w:pPr>
              <w:spacing w:before="20" w:after="20" w:line="240" w:lineRule="auto"/>
              <w:jc w:val="center"/>
            </w:pPr>
            <w:r>
              <w:rPr>
                <w:rFonts w:eastAsia="宋体"/>
                <w:sz w:val="21"/>
              </w:rPr>
              <w:t>电池银行</w:t>
            </w:r>
          </w:p>
        </w:tc>
        <w:tc>
          <w:tcPr>
            <w:tcW w:w="1102" w:type="dxa"/>
            <w:vAlign w:val="center"/>
          </w:tcPr>
          <w:p w14:paraId="12055D87">
            <w:pPr>
              <w:spacing w:before="20" w:after="20" w:line="240" w:lineRule="auto"/>
              <w:jc w:val="center"/>
            </w:pPr>
            <w:r>
              <w:rPr>
                <w:rFonts w:eastAsia="宋体"/>
                <w:sz w:val="21"/>
              </w:rPr>
              <w:t>17.2</w:t>
            </w:r>
          </w:p>
        </w:tc>
        <w:tc>
          <w:tcPr>
            <w:tcW w:w="5113" w:type="dxa"/>
            <w:vAlign w:val="center"/>
          </w:tcPr>
          <w:p w14:paraId="72E1C6A7">
            <w:pPr>
              <w:spacing w:before="20" w:after="20" w:line="240" w:lineRule="auto"/>
            </w:pPr>
            <w:r>
              <w:rPr>
                <w:rFonts w:eastAsia="宋体"/>
                <w:sz w:val="21"/>
              </w:rPr>
              <w:t>电池组5740组，车电分离、整车融资租赁</w:t>
            </w:r>
          </w:p>
        </w:tc>
      </w:tr>
      <w:tr w14:paraId="3B72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680" w:type="dxa"/>
            <w:vAlign w:val="center"/>
          </w:tcPr>
          <w:p w14:paraId="36556337">
            <w:pPr>
              <w:spacing w:before="20" w:after="20" w:line="240" w:lineRule="auto"/>
              <w:jc w:val="center"/>
            </w:pPr>
            <w:r>
              <w:rPr>
                <w:rFonts w:eastAsia="宋体"/>
                <w:sz w:val="21"/>
              </w:rPr>
              <w:t>3</w:t>
            </w:r>
          </w:p>
        </w:tc>
        <w:tc>
          <w:tcPr>
            <w:tcW w:w="2356" w:type="dxa"/>
            <w:vAlign w:val="center"/>
          </w:tcPr>
          <w:p w14:paraId="04CC0229">
            <w:pPr>
              <w:spacing w:before="20" w:after="20" w:line="240" w:lineRule="auto"/>
              <w:jc w:val="center"/>
            </w:pPr>
            <w:r>
              <w:rPr>
                <w:rFonts w:eastAsia="宋体"/>
                <w:sz w:val="21"/>
              </w:rPr>
              <w:t>充换电站</w:t>
            </w:r>
          </w:p>
        </w:tc>
        <w:tc>
          <w:tcPr>
            <w:tcW w:w="1102" w:type="dxa"/>
            <w:vAlign w:val="center"/>
          </w:tcPr>
          <w:p w14:paraId="217B95D2">
            <w:pPr>
              <w:spacing w:before="20" w:after="20" w:line="240" w:lineRule="auto"/>
              <w:jc w:val="center"/>
            </w:pPr>
            <w:r>
              <w:rPr>
                <w:rFonts w:eastAsia="宋体"/>
                <w:sz w:val="21"/>
              </w:rPr>
              <w:t>11.3</w:t>
            </w:r>
          </w:p>
        </w:tc>
        <w:tc>
          <w:tcPr>
            <w:tcW w:w="5113" w:type="dxa"/>
            <w:vAlign w:val="center"/>
          </w:tcPr>
          <w:p w14:paraId="1D2F523D">
            <w:pPr>
              <w:spacing w:before="20" w:after="20" w:line="240" w:lineRule="auto"/>
            </w:pPr>
            <w:r>
              <w:rPr>
                <w:rFonts w:eastAsia="宋体"/>
                <w:sz w:val="21"/>
              </w:rPr>
              <w:t>母站5座投资9.0亿元（单座日均服务1000辆次）；子站60座投资2.3亿元（以分布式光伏为主供电源）</w:t>
            </w:r>
          </w:p>
        </w:tc>
      </w:tr>
      <w:tr w14:paraId="1E8F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680" w:type="dxa"/>
            <w:vAlign w:val="center"/>
          </w:tcPr>
          <w:p w14:paraId="37F4B8C9">
            <w:pPr>
              <w:spacing w:before="20" w:after="20" w:line="240" w:lineRule="auto"/>
              <w:jc w:val="center"/>
            </w:pPr>
            <w:r>
              <w:rPr>
                <w:rFonts w:eastAsia="宋体"/>
                <w:sz w:val="21"/>
              </w:rPr>
              <w:t>4</w:t>
            </w:r>
          </w:p>
        </w:tc>
        <w:tc>
          <w:tcPr>
            <w:tcW w:w="2356" w:type="dxa"/>
            <w:vAlign w:val="center"/>
          </w:tcPr>
          <w:p w14:paraId="4261BA3B">
            <w:pPr>
              <w:spacing w:before="20" w:after="20" w:line="240" w:lineRule="auto"/>
              <w:jc w:val="center"/>
            </w:pPr>
            <w:r>
              <w:rPr>
                <w:rFonts w:eastAsia="宋体"/>
                <w:sz w:val="21"/>
              </w:rPr>
              <w:t>充换电设备及生产线</w:t>
            </w:r>
          </w:p>
        </w:tc>
        <w:tc>
          <w:tcPr>
            <w:tcW w:w="1102" w:type="dxa"/>
            <w:vAlign w:val="center"/>
          </w:tcPr>
          <w:p w14:paraId="3A3240A7">
            <w:pPr>
              <w:spacing w:before="20" w:after="20" w:line="240" w:lineRule="auto"/>
              <w:jc w:val="center"/>
            </w:pPr>
            <w:r>
              <w:rPr>
                <w:rFonts w:eastAsia="宋体"/>
                <w:sz w:val="21"/>
              </w:rPr>
              <w:t>4.5</w:t>
            </w:r>
          </w:p>
        </w:tc>
        <w:tc>
          <w:tcPr>
            <w:tcW w:w="5113" w:type="dxa"/>
            <w:vAlign w:val="center"/>
          </w:tcPr>
          <w:p w14:paraId="34E70AA1">
            <w:pPr>
              <w:spacing w:before="20" w:after="20" w:line="240" w:lineRule="auto"/>
            </w:pPr>
            <w:r>
              <w:rPr>
                <w:rFonts w:eastAsia="宋体"/>
                <w:sz w:val="21"/>
              </w:rPr>
              <w:t>充换电装备及本地化生产线</w:t>
            </w:r>
          </w:p>
        </w:tc>
      </w:tr>
      <w:tr w14:paraId="38ADA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680" w:type="dxa"/>
            <w:vAlign w:val="center"/>
          </w:tcPr>
          <w:p w14:paraId="04FA44E0">
            <w:pPr>
              <w:spacing w:before="20" w:after="20" w:line="240" w:lineRule="auto"/>
              <w:jc w:val="center"/>
            </w:pPr>
            <w:r>
              <w:rPr>
                <w:rFonts w:eastAsia="宋体"/>
                <w:sz w:val="21"/>
              </w:rPr>
              <w:t>5</w:t>
            </w:r>
          </w:p>
        </w:tc>
        <w:tc>
          <w:tcPr>
            <w:tcW w:w="2356" w:type="dxa"/>
            <w:vAlign w:val="center"/>
          </w:tcPr>
          <w:p w14:paraId="1030F2EF">
            <w:pPr>
              <w:spacing w:before="20" w:after="20" w:line="240" w:lineRule="auto"/>
              <w:jc w:val="center"/>
            </w:pPr>
            <w:r>
              <w:rPr>
                <w:rFonts w:eastAsia="宋体"/>
                <w:sz w:val="21"/>
              </w:rPr>
              <w:t>绿电直连风光储充设施</w:t>
            </w:r>
          </w:p>
        </w:tc>
        <w:tc>
          <w:tcPr>
            <w:tcW w:w="1102" w:type="dxa"/>
            <w:vAlign w:val="center"/>
          </w:tcPr>
          <w:p w14:paraId="40E47F16">
            <w:pPr>
              <w:spacing w:before="20" w:after="20" w:line="240" w:lineRule="auto"/>
              <w:jc w:val="center"/>
            </w:pPr>
            <w:r>
              <w:rPr>
                <w:rFonts w:eastAsia="宋体"/>
                <w:sz w:val="21"/>
              </w:rPr>
              <w:t>21.0</w:t>
            </w:r>
          </w:p>
        </w:tc>
        <w:tc>
          <w:tcPr>
            <w:tcW w:w="5113" w:type="dxa"/>
            <w:vAlign w:val="center"/>
          </w:tcPr>
          <w:p w14:paraId="18EC34AE">
            <w:pPr>
              <w:spacing w:before="20" w:after="20" w:line="240" w:lineRule="auto"/>
            </w:pPr>
            <w:r>
              <w:rPr>
                <w:rFonts w:eastAsia="宋体"/>
                <w:sz w:val="21"/>
              </w:rPr>
              <w:t>年用电约11.30亿千瓦时、单站负荷32兆瓦，自发自用、余电上网</w:t>
            </w:r>
          </w:p>
        </w:tc>
      </w:tr>
      <w:tr w14:paraId="4237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680" w:type="dxa"/>
            <w:shd w:val="clear" w:color="auto" w:fill="F2F2F2"/>
            <w:vAlign w:val="center"/>
          </w:tcPr>
          <w:p w14:paraId="790CB885">
            <w:pPr>
              <w:spacing w:before="20" w:after="20" w:line="240" w:lineRule="auto"/>
              <w:jc w:val="center"/>
            </w:pPr>
            <w:r>
              <w:rPr>
                <w:rFonts w:eastAsia="宋体"/>
                <w:b/>
                <w:sz w:val="21"/>
              </w:rPr>
              <w:t>—</w:t>
            </w:r>
          </w:p>
        </w:tc>
        <w:tc>
          <w:tcPr>
            <w:tcW w:w="2356" w:type="dxa"/>
            <w:shd w:val="clear" w:color="auto" w:fill="F2F2F2"/>
            <w:vAlign w:val="center"/>
          </w:tcPr>
          <w:p w14:paraId="780FC937">
            <w:pPr>
              <w:spacing w:before="20" w:after="20" w:line="240" w:lineRule="auto"/>
              <w:jc w:val="center"/>
            </w:pPr>
            <w:r>
              <w:rPr>
                <w:rFonts w:eastAsia="宋体"/>
                <w:b/>
                <w:sz w:val="21"/>
              </w:rPr>
              <w:t>全产业链小计</w:t>
            </w:r>
          </w:p>
        </w:tc>
        <w:tc>
          <w:tcPr>
            <w:tcW w:w="1102" w:type="dxa"/>
            <w:shd w:val="clear" w:color="auto" w:fill="F2F2F2"/>
            <w:vAlign w:val="center"/>
          </w:tcPr>
          <w:p w14:paraId="10A72969">
            <w:pPr>
              <w:spacing w:before="20" w:after="20" w:line="240" w:lineRule="auto"/>
              <w:jc w:val="center"/>
            </w:pPr>
            <w:r>
              <w:rPr>
                <w:rFonts w:eastAsia="宋体"/>
                <w:b/>
                <w:sz w:val="21"/>
              </w:rPr>
              <w:t>62.6</w:t>
            </w:r>
          </w:p>
        </w:tc>
        <w:tc>
          <w:tcPr>
            <w:tcW w:w="5113" w:type="dxa"/>
            <w:shd w:val="clear" w:color="auto" w:fill="F2F2F2"/>
            <w:vAlign w:val="center"/>
          </w:tcPr>
          <w:p w14:paraId="77EC604E">
            <w:pPr>
              <w:spacing w:before="20" w:after="20" w:line="240" w:lineRule="auto"/>
            </w:pPr>
            <w:r>
              <w:rPr>
                <w:rFonts w:eastAsia="宋体"/>
                <w:b/>
                <w:sz w:val="21"/>
              </w:rPr>
              <w:t>第1—5项合计</w:t>
            </w:r>
          </w:p>
        </w:tc>
      </w:tr>
      <w:tr w14:paraId="1F2A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680" w:type="dxa"/>
            <w:vAlign w:val="center"/>
          </w:tcPr>
          <w:p w14:paraId="6965E7CE">
            <w:pPr>
              <w:spacing w:before="20" w:after="20" w:line="240" w:lineRule="auto"/>
              <w:jc w:val="center"/>
            </w:pPr>
            <w:r>
              <w:rPr>
                <w:rFonts w:eastAsia="宋体"/>
                <w:sz w:val="21"/>
              </w:rPr>
              <w:t>6</w:t>
            </w:r>
          </w:p>
        </w:tc>
        <w:tc>
          <w:tcPr>
            <w:tcW w:w="2356" w:type="dxa"/>
            <w:vAlign w:val="center"/>
          </w:tcPr>
          <w:p w14:paraId="057ABA15">
            <w:pPr>
              <w:spacing w:before="20" w:after="20" w:line="240" w:lineRule="auto"/>
              <w:jc w:val="center"/>
            </w:pPr>
            <w:r>
              <w:rPr>
                <w:rFonts w:eastAsia="宋体"/>
                <w:sz w:val="21"/>
              </w:rPr>
              <w:t>交能融合零碳产业园</w:t>
            </w:r>
          </w:p>
        </w:tc>
        <w:tc>
          <w:tcPr>
            <w:tcW w:w="1102" w:type="dxa"/>
            <w:vAlign w:val="center"/>
          </w:tcPr>
          <w:p w14:paraId="50416EDA">
            <w:pPr>
              <w:spacing w:before="20" w:after="20" w:line="240" w:lineRule="auto"/>
              <w:jc w:val="center"/>
            </w:pPr>
            <w:r>
              <w:rPr>
                <w:rFonts w:eastAsia="宋体"/>
                <w:sz w:val="21"/>
              </w:rPr>
              <w:t>7.0</w:t>
            </w:r>
          </w:p>
        </w:tc>
        <w:tc>
          <w:tcPr>
            <w:tcW w:w="5113" w:type="dxa"/>
            <w:vAlign w:val="center"/>
          </w:tcPr>
          <w:p w14:paraId="79467603">
            <w:pPr>
              <w:spacing w:before="20" w:after="20" w:line="240" w:lineRule="auto"/>
            </w:pPr>
            <w:r>
              <w:rPr>
                <w:rFonts w:hint="eastAsia" w:eastAsia="宋体"/>
                <w:sz w:val="21"/>
                <w:lang w:val="en-US" w:eastAsia="zh-CN"/>
              </w:rPr>
              <w:t>占地</w:t>
            </w:r>
            <w:r>
              <w:rPr>
                <w:rFonts w:eastAsia="宋体"/>
                <w:sz w:val="21"/>
              </w:rPr>
              <w:t>约300亩，建设期约24个月</w:t>
            </w:r>
          </w:p>
        </w:tc>
      </w:tr>
      <w:tr w14:paraId="2F8BE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680" w:type="dxa"/>
            <w:vAlign w:val="center"/>
          </w:tcPr>
          <w:p w14:paraId="334A1558">
            <w:pPr>
              <w:spacing w:before="20" w:after="20" w:line="240" w:lineRule="auto"/>
              <w:jc w:val="center"/>
            </w:pPr>
            <w:r>
              <w:rPr>
                <w:rFonts w:eastAsia="宋体"/>
                <w:sz w:val="21"/>
              </w:rPr>
              <w:t>7</w:t>
            </w:r>
          </w:p>
        </w:tc>
        <w:tc>
          <w:tcPr>
            <w:tcW w:w="2356" w:type="dxa"/>
            <w:vAlign w:val="center"/>
          </w:tcPr>
          <w:p w14:paraId="3C218D10">
            <w:pPr>
              <w:spacing w:before="20" w:after="20" w:line="240" w:lineRule="auto"/>
              <w:jc w:val="center"/>
            </w:pPr>
            <w:r>
              <w:rPr>
                <w:rFonts w:eastAsia="宋体"/>
                <w:sz w:val="21"/>
              </w:rPr>
              <w:t>交能融合智能体平台</w:t>
            </w:r>
          </w:p>
        </w:tc>
        <w:tc>
          <w:tcPr>
            <w:tcW w:w="1102" w:type="dxa"/>
            <w:vAlign w:val="center"/>
          </w:tcPr>
          <w:p w14:paraId="6E2D6C36">
            <w:pPr>
              <w:spacing w:before="20" w:after="20" w:line="240" w:lineRule="auto"/>
              <w:jc w:val="center"/>
            </w:pPr>
            <w:r>
              <w:rPr>
                <w:rFonts w:eastAsia="宋体"/>
                <w:sz w:val="21"/>
              </w:rPr>
              <w:t>0.5</w:t>
            </w:r>
          </w:p>
        </w:tc>
        <w:tc>
          <w:tcPr>
            <w:tcW w:w="5113" w:type="dxa"/>
            <w:vAlign w:val="center"/>
          </w:tcPr>
          <w:p w14:paraId="5F9D45CE">
            <w:pPr>
              <w:spacing w:before="20" w:after="20" w:line="240" w:lineRule="auto"/>
            </w:pPr>
            <w:r>
              <w:rPr>
                <w:rFonts w:eastAsia="宋体"/>
                <w:sz w:val="21"/>
              </w:rPr>
              <w:t>智慧总控中枢，先导先行</w:t>
            </w:r>
          </w:p>
        </w:tc>
      </w:tr>
      <w:tr w14:paraId="523C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680" w:type="dxa"/>
            <w:shd w:val="clear" w:color="auto" w:fill="F2F2F2"/>
            <w:vAlign w:val="center"/>
          </w:tcPr>
          <w:p w14:paraId="257C0D34">
            <w:pPr>
              <w:spacing w:before="20" w:after="20" w:line="240" w:lineRule="auto"/>
              <w:jc w:val="center"/>
            </w:pPr>
            <w:r>
              <w:rPr>
                <w:rFonts w:eastAsia="宋体"/>
                <w:b/>
                <w:sz w:val="21"/>
              </w:rPr>
              <w:t>—</w:t>
            </w:r>
          </w:p>
        </w:tc>
        <w:tc>
          <w:tcPr>
            <w:tcW w:w="2356" w:type="dxa"/>
            <w:shd w:val="clear" w:color="auto" w:fill="F2F2F2"/>
            <w:vAlign w:val="center"/>
          </w:tcPr>
          <w:p w14:paraId="231358C9">
            <w:pPr>
              <w:spacing w:before="20" w:after="20" w:line="240" w:lineRule="auto"/>
              <w:jc w:val="center"/>
            </w:pPr>
            <w:r>
              <w:rPr>
                <w:rFonts w:eastAsia="宋体"/>
                <w:b/>
                <w:sz w:val="21"/>
              </w:rPr>
              <w:t>项目总投资</w:t>
            </w:r>
          </w:p>
        </w:tc>
        <w:tc>
          <w:tcPr>
            <w:tcW w:w="1102" w:type="dxa"/>
            <w:shd w:val="clear" w:color="auto" w:fill="F2F2F2"/>
            <w:vAlign w:val="center"/>
          </w:tcPr>
          <w:p w14:paraId="3841E924">
            <w:pPr>
              <w:spacing w:before="20" w:after="20" w:line="240" w:lineRule="auto"/>
              <w:jc w:val="center"/>
            </w:pPr>
            <w:r>
              <w:rPr>
                <w:rFonts w:eastAsia="宋体"/>
                <w:b/>
                <w:sz w:val="21"/>
              </w:rPr>
              <w:t>70.1</w:t>
            </w:r>
          </w:p>
        </w:tc>
        <w:tc>
          <w:tcPr>
            <w:tcW w:w="5113" w:type="dxa"/>
            <w:shd w:val="clear" w:color="auto" w:fill="F2F2F2"/>
            <w:vAlign w:val="center"/>
          </w:tcPr>
          <w:p w14:paraId="5399E6EA">
            <w:pPr>
              <w:spacing w:before="20" w:after="20" w:line="240" w:lineRule="auto"/>
            </w:pPr>
            <w:r>
              <w:rPr>
                <w:rFonts w:eastAsia="宋体"/>
                <w:b/>
                <w:sz w:val="21"/>
              </w:rPr>
              <w:t>全产业链＋园区＋平台</w:t>
            </w:r>
          </w:p>
        </w:tc>
      </w:tr>
    </w:tbl>
    <w:p w14:paraId="75428B02">
      <w:pPr>
        <w:ind w:firstLine="560" w:firstLineChars="200"/>
        <w:jc w:val="both"/>
      </w:pPr>
      <w:r>
        <w:t>零碳产业园建于</w:t>
      </w:r>
      <w:r>
        <w:rPr>
          <w:rFonts w:hint="eastAsia"/>
          <w:lang w:val="en-US" w:eastAsia="zh-CN"/>
        </w:rPr>
        <w:t>庆阳市</w:t>
      </w:r>
      <w:r>
        <w:t>（具体选址在可行性研究阶段确定），重点建设电池PACK组装生产线、电池梯次利用与回收中心、轮胎融资租赁与翻新中心、车辆保养运维与再制造中心、产业园基础设施及配套、数字化中控平台，建设期约24个月。</w:t>
      </w:r>
    </w:p>
    <w:p w14:paraId="14DBCF4E">
      <w:pPr>
        <w:pStyle w:val="4"/>
        <w:ind w:firstLine="562" w:firstLineChars="200"/>
      </w:pPr>
      <w:bookmarkStart w:id="18" w:name="_Toc239250991"/>
      <w:r>
        <w:rPr>
          <w:rFonts w:ascii="Times New Roman" w:hAnsi="Times New Roman" w:eastAsia="楷体" w:cs="Times New Roman"/>
        </w:rPr>
        <w:t>（三）商业模式闭环</w:t>
      </w:r>
      <w:bookmarkEnd w:id="18"/>
    </w:p>
    <w:p w14:paraId="4FAC9550">
      <w:pPr>
        <w:ind w:firstLine="560" w:firstLineChars="200"/>
        <w:jc w:val="both"/>
      </w:pPr>
      <w:r>
        <w:t>一是绿电直连、自发自用，以低成本绿电直供充换电和园区用能，压降运营度电成本；二是车电分离、电池银行持有电池资产，降低车辆一次性购置投入；三是整车融资租赁、以旧换新，平滑个体运输户和中小车队置换成本；四是引入头部物流企业优化组合运力，锁定稳定运输订单与基础现金流；五是依托零碳产业园发展PACK组装、电池梯次回收、轮胎翻新、再制造及碳服务、数据服务等增值业务，培育新增长极。由此形成“绿电—车辆—电池—场站—回收—碳数据”投入、运营、回收、再投入的完整价值闭环，实现装备本地化、服务增值化、数据资产化。</w:t>
      </w:r>
    </w:p>
    <w:p w14:paraId="2AE8FDD3">
      <w:pPr>
        <w:pStyle w:val="3"/>
        <w:ind w:firstLine="602" w:firstLineChars="200"/>
      </w:pPr>
      <w:bookmarkStart w:id="19" w:name="_Toc239250992"/>
      <w:r>
        <w:rPr>
          <w:rFonts w:ascii="Times New Roman" w:hAnsi="Times New Roman" w:eastAsia="黑体" w:cs="Times New Roman"/>
        </w:rPr>
        <w:t>六、分期实施计划与里程碑</w:t>
      </w:r>
      <w:bookmarkEnd w:id="19"/>
    </w:p>
    <w:p w14:paraId="475E405F">
      <w:pPr>
        <w:ind w:firstLine="560" w:firstLineChars="200"/>
        <w:jc w:val="both"/>
      </w:pPr>
      <w:r>
        <w:t>按照框架协议确定的2025—2028年电动化时序，结合当前实际，分筹备期和三个实施阶段推进，各期车辆、电池、场站指标累加后与框架协议完全一致（见表5）。</w:t>
      </w:r>
    </w:p>
    <w:p w14:paraId="05D8699C">
      <w:pPr>
        <w:keepNext/>
        <w:spacing w:before="120" w:after="40" w:line="240" w:lineRule="auto"/>
        <w:jc w:val="center"/>
      </w:pPr>
      <w:r>
        <w:rPr>
          <w:rFonts w:eastAsia="黑体"/>
          <w:b/>
          <w:sz w:val="22"/>
        </w:rPr>
        <w:t>表5分期实施里程碑（累计口径）</w:t>
      </w:r>
    </w:p>
    <w:tbl>
      <w:tblPr>
        <w:tblStyle w:val="35"/>
        <w:tblW w:w="916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80" w:type="dxa"/>
          <w:bottom w:w="40" w:type="dxa"/>
          <w:right w:w="80" w:type="dxa"/>
        </w:tblCellMar>
      </w:tblPr>
      <w:tblGrid>
        <w:gridCol w:w="1531"/>
        <w:gridCol w:w="1304"/>
        <w:gridCol w:w="1644"/>
        <w:gridCol w:w="1304"/>
        <w:gridCol w:w="3383"/>
      </w:tblGrid>
      <w:tr w14:paraId="28B37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1531" w:type="dxa"/>
            <w:shd w:val="clear" w:color="auto" w:fill="D9D9D9"/>
            <w:vAlign w:val="center"/>
          </w:tcPr>
          <w:p w14:paraId="5A584B21">
            <w:pPr>
              <w:spacing w:before="20" w:after="20" w:line="240" w:lineRule="auto"/>
              <w:jc w:val="center"/>
            </w:pPr>
            <w:r>
              <w:rPr>
                <w:rFonts w:eastAsia="黑体"/>
                <w:b/>
                <w:sz w:val="21"/>
              </w:rPr>
              <w:t>阶段/时间</w:t>
            </w:r>
          </w:p>
        </w:tc>
        <w:tc>
          <w:tcPr>
            <w:tcW w:w="1304" w:type="dxa"/>
            <w:shd w:val="clear" w:color="auto" w:fill="D9D9D9"/>
            <w:vAlign w:val="center"/>
          </w:tcPr>
          <w:p w14:paraId="08471971">
            <w:pPr>
              <w:spacing w:before="20" w:after="20" w:line="240" w:lineRule="auto"/>
              <w:jc w:val="center"/>
            </w:pPr>
            <w:r>
              <w:rPr>
                <w:rFonts w:eastAsia="黑体"/>
                <w:b/>
                <w:sz w:val="21"/>
              </w:rPr>
              <w:t>重卡累计（辆）</w:t>
            </w:r>
          </w:p>
        </w:tc>
        <w:tc>
          <w:tcPr>
            <w:tcW w:w="1644" w:type="dxa"/>
            <w:shd w:val="clear" w:color="auto" w:fill="D9D9D9"/>
            <w:vAlign w:val="center"/>
          </w:tcPr>
          <w:p w14:paraId="2AA7BF78">
            <w:pPr>
              <w:spacing w:before="20" w:after="20" w:line="240" w:lineRule="auto"/>
              <w:jc w:val="center"/>
            </w:pPr>
            <w:r>
              <w:rPr>
                <w:rFonts w:eastAsia="黑体"/>
                <w:b/>
                <w:sz w:val="21"/>
              </w:rPr>
              <w:t>母站/子站累计（座）</w:t>
            </w:r>
          </w:p>
        </w:tc>
        <w:tc>
          <w:tcPr>
            <w:tcW w:w="1304" w:type="dxa"/>
            <w:shd w:val="clear" w:color="auto" w:fill="D9D9D9"/>
            <w:vAlign w:val="center"/>
          </w:tcPr>
          <w:p w14:paraId="00693A03">
            <w:pPr>
              <w:spacing w:before="20" w:after="20" w:line="240" w:lineRule="auto"/>
              <w:jc w:val="center"/>
            </w:pPr>
            <w:r>
              <w:rPr>
                <w:rFonts w:eastAsia="黑体"/>
                <w:b/>
                <w:sz w:val="21"/>
              </w:rPr>
              <w:t>电池组累计（组）</w:t>
            </w:r>
          </w:p>
        </w:tc>
        <w:tc>
          <w:tcPr>
            <w:tcW w:w="3383" w:type="dxa"/>
            <w:shd w:val="clear" w:color="auto" w:fill="D9D9D9"/>
            <w:vAlign w:val="center"/>
          </w:tcPr>
          <w:p w14:paraId="5FE32947">
            <w:pPr>
              <w:spacing w:before="20" w:after="20" w:line="240" w:lineRule="auto"/>
              <w:jc w:val="center"/>
            </w:pPr>
            <w:r>
              <w:rPr>
                <w:rFonts w:eastAsia="黑体"/>
                <w:b/>
                <w:sz w:val="21"/>
              </w:rPr>
              <w:t>标志性任务</w:t>
            </w:r>
          </w:p>
        </w:tc>
      </w:tr>
      <w:tr w14:paraId="53BC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531" w:type="dxa"/>
            <w:vAlign w:val="center"/>
          </w:tcPr>
          <w:p w14:paraId="0911B06B">
            <w:pPr>
              <w:spacing w:before="20" w:after="20" w:line="240" w:lineRule="auto"/>
              <w:jc w:val="center"/>
            </w:pPr>
            <w:r>
              <w:rPr>
                <w:rFonts w:eastAsia="宋体"/>
                <w:sz w:val="21"/>
              </w:rPr>
              <w:t>筹备期</w:t>
            </w:r>
            <w:r>
              <w:rPr>
                <w:rFonts w:eastAsia="宋体"/>
                <w:sz w:val="21"/>
              </w:rPr>
              <w:br w:type="textWrapping"/>
            </w:r>
            <w:r>
              <w:rPr>
                <w:rFonts w:eastAsia="宋体"/>
                <w:sz w:val="21"/>
              </w:rPr>
              <w:t>2026.09—12</w:t>
            </w:r>
          </w:p>
        </w:tc>
        <w:tc>
          <w:tcPr>
            <w:tcW w:w="1304" w:type="dxa"/>
            <w:vAlign w:val="center"/>
          </w:tcPr>
          <w:p w14:paraId="06A99C3E">
            <w:pPr>
              <w:spacing w:before="20" w:after="20" w:line="240" w:lineRule="auto"/>
              <w:jc w:val="center"/>
            </w:pPr>
            <w:r>
              <w:rPr>
                <w:rFonts w:eastAsia="宋体"/>
                <w:sz w:val="21"/>
              </w:rPr>
              <w:t>0</w:t>
            </w:r>
          </w:p>
        </w:tc>
        <w:tc>
          <w:tcPr>
            <w:tcW w:w="1644" w:type="dxa"/>
            <w:vAlign w:val="center"/>
          </w:tcPr>
          <w:p w14:paraId="33DB9FCF">
            <w:pPr>
              <w:spacing w:before="20" w:after="20" w:line="240" w:lineRule="auto"/>
              <w:jc w:val="center"/>
            </w:pPr>
            <w:r>
              <w:rPr>
                <w:rFonts w:eastAsia="宋体"/>
                <w:sz w:val="21"/>
              </w:rPr>
              <w:t>0/0</w:t>
            </w:r>
          </w:p>
        </w:tc>
        <w:tc>
          <w:tcPr>
            <w:tcW w:w="1304" w:type="dxa"/>
            <w:vAlign w:val="center"/>
          </w:tcPr>
          <w:p w14:paraId="0B8EA544">
            <w:pPr>
              <w:spacing w:before="20" w:after="20" w:line="240" w:lineRule="auto"/>
              <w:jc w:val="center"/>
            </w:pPr>
            <w:r>
              <w:rPr>
                <w:rFonts w:eastAsia="宋体"/>
                <w:sz w:val="21"/>
              </w:rPr>
              <w:t>0</w:t>
            </w:r>
          </w:p>
        </w:tc>
        <w:tc>
          <w:tcPr>
            <w:tcW w:w="3383" w:type="dxa"/>
            <w:vAlign w:val="center"/>
          </w:tcPr>
          <w:p w14:paraId="7A66C5BE">
            <w:pPr>
              <w:spacing w:before="20" w:after="20" w:line="240" w:lineRule="auto"/>
            </w:pPr>
            <w:r>
              <w:rPr>
                <w:rFonts w:eastAsia="宋体"/>
                <w:sz w:val="21"/>
              </w:rPr>
              <w:t>SPV注册、专项规划报批、平台本地化开发、首批选址、运力摸底</w:t>
            </w:r>
          </w:p>
        </w:tc>
      </w:tr>
      <w:tr w14:paraId="2E8BB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531" w:type="dxa"/>
            <w:vAlign w:val="center"/>
          </w:tcPr>
          <w:p w14:paraId="129DAE84">
            <w:pPr>
              <w:spacing w:before="20" w:after="20" w:line="240" w:lineRule="auto"/>
              <w:jc w:val="center"/>
            </w:pPr>
            <w:r>
              <w:rPr>
                <w:rFonts w:eastAsia="宋体"/>
                <w:sz w:val="21"/>
              </w:rPr>
              <w:t>一期·示范</w:t>
            </w:r>
            <w:r>
              <w:rPr>
                <w:rFonts w:eastAsia="宋体"/>
                <w:sz w:val="21"/>
              </w:rPr>
              <w:br w:type="textWrapping"/>
            </w:r>
            <w:r>
              <w:rPr>
                <w:rFonts w:eastAsia="宋体"/>
                <w:sz w:val="21"/>
              </w:rPr>
              <w:t>2027年</w:t>
            </w:r>
          </w:p>
        </w:tc>
        <w:tc>
          <w:tcPr>
            <w:tcW w:w="1304" w:type="dxa"/>
            <w:vAlign w:val="center"/>
          </w:tcPr>
          <w:p w14:paraId="463CCBBB">
            <w:pPr>
              <w:spacing w:before="20" w:after="20" w:line="240" w:lineRule="auto"/>
              <w:jc w:val="center"/>
            </w:pPr>
            <w:r>
              <w:rPr>
                <w:rFonts w:eastAsia="宋体"/>
                <w:sz w:val="21"/>
              </w:rPr>
              <w:t>1000</w:t>
            </w:r>
          </w:p>
        </w:tc>
        <w:tc>
          <w:tcPr>
            <w:tcW w:w="1644" w:type="dxa"/>
            <w:vAlign w:val="center"/>
          </w:tcPr>
          <w:p w14:paraId="25608D3E">
            <w:pPr>
              <w:spacing w:before="20" w:after="20" w:line="240" w:lineRule="auto"/>
              <w:jc w:val="center"/>
            </w:pPr>
            <w:r>
              <w:rPr>
                <w:rFonts w:eastAsia="宋体"/>
                <w:sz w:val="21"/>
              </w:rPr>
              <w:t>1/12</w:t>
            </w:r>
          </w:p>
        </w:tc>
        <w:tc>
          <w:tcPr>
            <w:tcW w:w="1304" w:type="dxa"/>
            <w:vAlign w:val="center"/>
          </w:tcPr>
          <w:p w14:paraId="041741DE">
            <w:pPr>
              <w:spacing w:before="20" w:after="20" w:line="240" w:lineRule="auto"/>
              <w:jc w:val="center"/>
            </w:pPr>
            <w:r>
              <w:rPr>
                <w:rFonts w:eastAsia="宋体"/>
                <w:sz w:val="21"/>
              </w:rPr>
              <w:t>1200</w:t>
            </w:r>
          </w:p>
        </w:tc>
        <w:tc>
          <w:tcPr>
            <w:tcW w:w="3383" w:type="dxa"/>
            <w:vAlign w:val="center"/>
          </w:tcPr>
          <w:p w14:paraId="0B4699EC">
            <w:pPr>
              <w:spacing w:before="20" w:after="20" w:line="240" w:lineRule="auto"/>
            </w:pPr>
            <w:r>
              <w:rPr>
                <w:rFonts w:eastAsia="宋体"/>
                <w:sz w:val="21"/>
              </w:rPr>
              <w:t>平台上线，核心矿区短倒示范，绿电直连试点</w:t>
            </w:r>
          </w:p>
        </w:tc>
      </w:tr>
      <w:tr w14:paraId="70F0E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531" w:type="dxa"/>
            <w:vAlign w:val="center"/>
          </w:tcPr>
          <w:p w14:paraId="40D2BC00">
            <w:pPr>
              <w:spacing w:before="20" w:after="20" w:line="240" w:lineRule="auto"/>
              <w:jc w:val="center"/>
            </w:pPr>
            <w:r>
              <w:rPr>
                <w:rFonts w:eastAsia="宋体"/>
                <w:sz w:val="21"/>
              </w:rPr>
              <w:t>二期·扩面</w:t>
            </w:r>
            <w:r>
              <w:rPr>
                <w:rFonts w:eastAsia="宋体"/>
                <w:sz w:val="21"/>
              </w:rPr>
              <w:br w:type="textWrapping"/>
            </w:r>
            <w:r>
              <w:rPr>
                <w:rFonts w:eastAsia="宋体"/>
                <w:sz w:val="21"/>
              </w:rPr>
              <w:t>2028.1—6</w:t>
            </w:r>
          </w:p>
        </w:tc>
        <w:tc>
          <w:tcPr>
            <w:tcW w:w="1304" w:type="dxa"/>
            <w:vAlign w:val="center"/>
          </w:tcPr>
          <w:p w14:paraId="6F833233">
            <w:pPr>
              <w:spacing w:before="20" w:after="20" w:line="240" w:lineRule="auto"/>
              <w:jc w:val="center"/>
            </w:pPr>
            <w:r>
              <w:rPr>
                <w:rFonts w:eastAsia="宋体"/>
                <w:sz w:val="21"/>
              </w:rPr>
              <w:t>3781</w:t>
            </w:r>
          </w:p>
        </w:tc>
        <w:tc>
          <w:tcPr>
            <w:tcW w:w="1644" w:type="dxa"/>
            <w:vAlign w:val="center"/>
          </w:tcPr>
          <w:p w14:paraId="1729C571">
            <w:pPr>
              <w:spacing w:before="20" w:after="20" w:line="240" w:lineRule="auto"/>
              <w:jc w:val="center"/>
            </w:pPr>
            <w:r>
              <w:rPr>
                <w:rFonts w:eastAsia="宋体"/>
                <w:sz w:val="21"/>
              </w:rPr>
              <w:t>4/48</w:t>
            </w:r>
          </w:p>
        </w:tc>
        <w:tc>
          <w:tcPr>
            <w:tcW w:w="1304" w:type="dxa"/>
            <w:vAlign w:val="center"/>
          </w:tcPr>
          <w:p w14:paraId="38883DB8">
            <w:pPr>
              <w:spacing w:before="20" w:after="20" w:line="240" w:lineRule="auto"/>
              <w:jc w:val="center"/>
            </w:pPr>
            <w:r>
              <w:rPr>
                <w:rFonts w:eastAsia="宋体"/>
                <w:sz w:val="21"/>
              </w:rPr>
              <w:t>4540</w:t>
            </w:r>
          </w:p>
        </w:tc>
        <w:tc>
          <w:tcPr>
            <w:tcW w:w="3383" w:type="dxa"/>
            <w:vAlign w:val="center"/>
          </w:tcPr>
          <w:p w14:paraId="5DB48220">
            <w:pPr>
              <w:spacing w:before="20" w:after="20" w:line="240" w:lineRule="auto"/>
            </w:pPr>
            <w:r>
              <w:rPr>
                <w:rFonts w:eastAsia="宋体"/>
                <w:sz w:val="21"/>
              </w:rPr>
              <w:t>重点矿区与主干路网全覆盖，风光储充主体建成，园区建设推进</w:t>
            </w:r>
          </w:p>
        </w:tc>
      </w:tr>
      <w:tr w14:paraId="7805D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531" w:type="dxa"/>
            <w:vAlign w:val="center"/>
          </w:tcPr>
          <w:p w14:paraId="65E750D0">
            <w:pPr>
              <w:spacing w:before="20" w:after="20" w:line="240" w:lineRule="auto"/>
              <w:jc w:val="center"/>
            </w:pPr>
            <w:r>
              <w:rPr>
                <w:rFonts w:eastAsia="宋体"/>
                <w:sz w:val="21"/>
              </w:rPr>
              <w:t>三期·收官</w:t>
            </w:r>
            <w:r>
              <w:rPr>
                <w:rFonts w:eastAsia="宋体"/>
                <w:sz w:val="21"/>
              </w:rPr>
              <w:br w:type="textWrapping"/>
            </w:r>
            <w:r>
              <w:rPr>
                <w:rFonts w:eastAsia="宋体"/>
                <w:sz w:val="21"/>
              </w:rPr>
              <w:t>2028.7—12</w:t>
            </w:r>
          </w:p>
        </w:tc>
        <w:tc>
          <w:tcPr>
            <w:tcW w:w="1304" w:type="dxa"/>
            <w:vAlign w:val="center"/>
          </w:tcPr>
          <w:p w14:paraId="76141B18">
            <w:pPr>
              <w:spacing w:before="20" w:after="20" w:line="240" w:lineRule="auto"/>
              <w:jc w:val="center"/>
            </w:pPr>
            <w:r>
              <w:rPr>
                <w:rFonts w:eastAsia="宋体"/>
                <w:sz w:val="21"/>
              </w:rPr>
              <w:t>4781</w:t>
            </w:r>
          </w:p>
        </w:tc>
        <w:tc>
          <w:tcPr>
            <w:tcW w:w="1644" w:type="dxa"/>
            <w:vAlign w:val="center"/>
          </w:tcPr>
          <w:p w14:paraId="7C605842">
            <w:pPr>
              <w:spacing w:before="20" w:after="20" w:line="240" w:lineRule="auto"/>
              <w:jc w:val="center"/>
            </w:pPr>
            <w:r>
              <w:rPr>
                <w:rFonts w:eastAsia="宋体"/>
                <w:sz w:val="21"/>
              </w:rPr>
              <w:t>5/60</w:t>
            </w:r>
          </w:p>
        </w:tc>
        <w:tc>
          <w:tcPr>
            <w:tcW w:w="1304" w:type="dxa"/>
            <w:vAlign w:val="center"/>
          </w:tcPr>
          <w:p w14:paraId="1726D597">
            <w:pPr>
              <w:spacing w:before="20" w:after="20" w:line="240" w:lineRule="auto"/>
              <w:jc w:val="center"/>
            </w:pPr>
            <w:r>
              <w:rPr>
                <w:rFonts w:eastAsia="宋体"/>
                <w:sz w:val="21"/>
              </w:rPr>
              <w:t>5740</w:t>
            </w:r>
          </w:p>
        </w:tc>
        <w:tc>
          <w:tcPr>
            <w:tcW w:w="3383" w:type="dxa"/>
            <w:vAlign w:val="center"/>
          </w:tcPr>
          <w:p w14:paraId="47DCADD7">
            <w:pPr>
              <w:spacing w:before="20" w:after="20" w:line="240" w:lineRule="auto"/>
            </w:pPr>
            <w:r>
              <w:rPr>
                <w:rFonts w:eastAsia="宋体"/>
                <w:sz w:val="21"/>
              </w:rPr>
              <w:t>园区投运，电动化率70%达标，全产业链闭环</w:t>
            </w:r>
          </w:p>
        </w:tc>
      </w:tr>
      <w:tr w14:paraId="57019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531" w:type="dxa"/>
            <w:shd w:val="clear" w:color="auto" w:fill="F2F2F2"/>
            <w:vAlign w:val="center"/>
          </w:tcPr>
          <w:p w14:paraId="13E8508C">
            <w:pPr>
              <w:spacing w:before="20" w:after="20" w:line="240" w:lineRule="auto"/>
              <w:jc w:val="center"/>
            </w:pPr>
            <w:r>
              <w:rPr>
                <w:rFonts w:eastAsia="宋体"/>
                <w:b/>
                <w:sz w:val="21"/>
              </w:rPr>
              <w:t>框架目标</w:t>
            </w:r>
          </w:p>
        </w:tc>
        <w:tc>
          <w:tcPr>
            <w:tcW w:w="1304" w:type="dxa"/>
            <w:shd w:val="clear" w:color="auto" w:fill="F2F2F2"/>
            <w:vAlign w:val="center"/>
          </w:tcPr>
          <w:p w14:paraId="5266DA0F">
            <w:pPr>
              <w:spacing w:before="20" w:after="20" w:line="240" w:lineRule="auto"/>
              <w:jc w:val="center"/>
            </w:pPr>
            <w:r>
              <w:rPr>
                <w:rFonts w:eastAsia="宋体"/>
                <w:b/>
                <w:sz w:val="21"/>
              </w:rPr>
              <w:t>4781</w:t>
            </w:r>
          </w:p>
        </w:tc>
        <w:tc>
          <w:tcPr>
            <w:tcW w:w="1644" w:type="dxa"/>
            <w:shd w:val="clear" w:color="auto" w:fill="F2F2F2"/>
            <w:vAlign w:val="center"/>
          </w:tcPr>
          <w:p w14:paraId="4EC84B10">
            <w:pPr>
              <w:spacing w:before="20" w:after="20" w:line="240" w:lineRule="auto"/>
              <w:jc w:val="center"/>
            </w:pPr>
            <w:r>
              <w:rPr>
                <w:rFonts w:eastAsia="宋体"/>
                <w:b/>
                <w:sz w:val="21"/>
              </w:rPr>
              <w:t>5/60</w:t>
            </w:r>
          </w:p>
        </w:tc>
        <w:tc>
          <w:tcPr>
            <w:tcW w:w="1304" w:type="dxa"/>
            <w:shd w:val="clear" w:color="auto" w:fill="F2F2F2"/>
            <w:vAlign w:val="center"/>
          </w:tcPr>
          <w:p w14:paraId="74F487F1">
            <w:pPr>
              <w:spacing w:before="20" w:after="20" w:line="240" w:lineRule="auto"/>
              <w:jc w:val="center"/>
            </w:pPr>
            <w:r>
              <w:rPr>
                <w:rFonts w:eastAsia="宋体"/>
                <w:b/>
                <w:sz w:val="21"/>
              </w:rPr>
              <w:t>5740</w:t>
            </w:r>
          </w:p>
        </w:tc>
        <w:tc>
          <w:tcPr>
            <w:tcW w:w="3383" w:type="dxa"/>
            <w:shd w:val="clear" w:color="auto" w:fill="F2F2F2"/>
            <w:vAlign w:val="center"/>
          </w:tcPr>
          <w:p w14:paraId="64100E4D">
            <w:pPr>
              <w:spacing w:before="20" w:after="20" w:line="240" w:lineRule="auto"/>
            </w:pPr>
            <w:r>
              <w:rPr>
                <w:rFonts w:eastAsia="宋体"/>
                <w:b/>
                <w:sz w:val="21"/>
              </w:rPr>
              <w:t>各期增量合计与框架协议完全闭合</w:t>
            </w:r>
          </w:p>
        </w:tc>
      </w:tr>
    </w:tbl>
    <w:p w14:paraId="7287C5BE">
      <w:pPr>
        <w:pStyle w:val="4"/>
        <w:ind w:firstLine="562" w:firstLineChars="200"/>
      </w:pPr>
      <w:bookmarkStart w:id="20" w:name="_Toc239250993"/>
      <w:r>
        <w:rPr>
          <w:rFonts w:ascii="Times New Roman" w:hAnsi="Times New Roman" w:eastAsia="楷体" w:cs="Times New Roman"/>
        </w:rPr>
        <w:t>（一）筹备期（2026年9—12月）</w:t>
      </w:r>
      <w:bookmarkEnd w:id="20"/>
    </w:p>
    <w:p w14:paraId="5DBA0B93">
      <w:pPr>
        <w:ind w:firstLine="560" w:firstLineChars="200"/>
        <w:jc w:val="both"/>
      </w:pPr>
      <w:r>
        <w:t>完成SPV注册组建和团队落地；编制全市充换电基础设施专项规划并报市政府审批；完成智能体平台本地化适配；确定首批试点站点；开展运力摸底和个体运输户、中小车队挂靠管理体系搭建。</w:t>
      </w:r>
    </w:p>
    <w:p w14:paraId="455AE27D">
      <w:pPr>
        <w:pStyle w:val="4"/>
        <w:ind w:firstLine="562" w:firstLineChars="200"/>
      </w:pPr>
      <w:bookmarkStart w:id="21" w:name="_Toc239250994"/>
      <w:r>
        <w:rPr>
          <w:rFonts w:ascii="Times New Roman" w:hAnsi="Times New Roman" w:eastAsia="楷体" w:cs="Times New Roman"/>
        </w:rPr>
        <w:t>（二）一期示范（2027年）</w:t>
      </w:r>
      <w:bookmarkEnd w:id="21"/>
    </w:p>
    <w:p w14:paraId="4AAFB851">
      <w:pPr>
        <w:ind w:firstLine="560" w:firstLineChars="200"/>
        <w:jc w:val="both"/>
      </w:pPr>
      <w:r>
        <w:t>智能体平台正式上线；投放电动重卡1000辆，优先服务核心煤炭矿区短倒运输；建成母站1座、子站12座，配置电池组1200组；启动绿电直连试点，验证技术、模式与市场，形成可复制样板；零碳产业园同步开工。</w:t>
      </w:r>
    </w:p>
    <w:p w14:paraId="523ECC46">
      <w:pPr>
        <w:pStyle w:val="4"/>
        <w:ind w:firstLine="562" w:firstLineChars="200"/>
      </w:pPr>
      <w:bookmarkStart w:id="22" w:name="_Toc239250995"/>
      <w:r>
        <w:rPr>
          <w:rFonts w:ascii="Times New Roman" w:hAnsi="Times New Roman" w:eastAsia="楷体" w:cs="Times New Roman"/>
        </w:rPr>
        <w:t>（三）二期扩面（2028年上半年）</w:t>
      </w:r>
      <w:bookmarkEnd w:id="22"/>
    </w:p>
    <w:p w14:paraId="4E2F72E5">
      <w:pPr>
        <w:ind w:firstLine="560" w:firstLineChars="200"/>
        <w:jc w:val="both"/>
      </w:pPr>
      <w:r>
        <w:t>新增投放2781辆、累计达3781辆；新增母站3座、子站36座，累计建成母站4座、子站48座；新增电池组3340组、累计4540组；风光储充设施主体建成，零碳产业园建设全面推进，实现重点矿区和主干物流路网全覆盖。</w:t>
      </w:r>
    </w:p>
    <w:p w14:paraId="0D579063">
      <w:pPr>
        <w:pStyle w:val="4"/>
        <w:ind w:firstLine="562" w:firstLineChars="200"/>
      </w:pPr>
      <w:bookmarkStart w:id="23" w:name="_Toc239250996"/>
      <w:r>
        <w:rPr>
          <w:rFonts w:ascii="Times New Roman" w:hAnsi="Times New Roman" w:eastAsia="楷体" w:cs="Times New Roman"/>
        </w:rPr>
        <w:t>（四）三期收官（2028年下半年）</w:t>
      </w:r>
      <w:bookmarkEnd w:id="23"/>
    </w:p>
    <w:p w14:paraId="734AED98">
      <w:pPr>
        <w:ind w:firstLine="560" w:firstLineChars="200"/>
        <w:jc w:val="both"/>
      </w:pPr>
      <w:r>
        <w:t>再投放1000辆、累计达4781辆；建成全部5座母站、60座子站和5740组电池；零碳产业园24个月建设期届满、建成投运；电动化率达到70%，全产业链闭环全面形成。</w:t>
      </w:r>
    </w:p>
    <w:p w14:paraId="1C89D2F0">
      <w:pPr>
        <w:pStyle w:val="3"/>
        <w:ind w:firstLine="602" w:firstLineChars="200"/>
      </w:pPr>
      <w:bookmarkStart w:id="24" w:name="_Toc239250997"/>
      <w:r>
        <w:rPr>
          <w:rFonts w:ascii="Times New Roman" w:hAnsi="Times New Roman" w:eastAsia="黑体" w:cs="Times New Roman"/>
        </w:rPr>
        <w:t>七、综合效益初步测算</w:t>
      </w:r>
      <w:bookmarkEnd w:id="24"/>
    </w:p>
    <w:p w14:paraId="6E6DF842">
      <w:pPr>
        <w:ind w:firstLine="560" w:firstLineChars="200"/>
        <w:jc w:val="both"/>
      </w:pPr>
      <w:r>
        <w:t>项目财务和社会效益显著。参照华系投资已投运项目运营数据，按本项目4781辆规模初步测算（最终以可行性研究报告评估值为准）：稳定运营后年均营业收入约46亿元、年均净利润约10.5亿元，静态投资回收期约7年量级；年均综合税收约5亿元，带动全市物流企业年降低运输成本约5.8亿元，直接带动就业5000人以上；2026—2030年累计碳减排400万吨以上，有效消纳本地富余绿电、化解弃风弃光，助力庆阳完成“双碳”考核，推动能源结构和产业结构双升级。</w:t>
      </w:r>
    </w:p>
    <w:p w14:paraId="0BD9E93A">
      <w:pPr>
        <w:keepNext/>
        <w:spacing w:before="120" w:after="40" w:line="240" w:lineRule="auto"/>
        <w:jc w:val="center"/>
      </w:pPr>
      <w:r>
        <w:rPr>
          <w:rFonts w:eastAsia="黑体"/>
          <w:b/>
          <w:sz w:val="22"/>
        </w:rPr>
        <w:t>表6综合效益初步测算表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80" w:type="dxa"/>
          <w:bottom w:w="40" w:type="dxa"/>
          <w:right w:w="80" w:type="dxa"/>
        </w:tblCellMar>
      </w:tblPr>
      <w:tblGrid>
        <w:gridCol w:w="2268"/>
        <w:gridCol w:w="2268"/>
        <w:gridCol w:w="4309"/>
      </w:tblGrid>
      <w:tr w14:paraId="68257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2268" w:type="dxa"/>
            <w:shd w:val="clear" w:color="auto" w:fill="D9D9D9"/>
            <w:vAlign w:val="center"/>
          </w:tcPr>
          <w:p w14:paraId="41D50341">
            <w:pPr>
              <w:spacing w:before="20" w:after="20" w:line="240" w:lineRule="auto"/>
              <w:jc w:val="center"/>
            </w:pPr>
            <w:r>
              <w:rPr>
                <w:rFonts w:eastAsia="黑体"/>
                <w:b/>
                <w:sz w:val="21"/>
              </w:rPr>
              <w:t>效益维度</w:t>
            </w:r>
          </w:p>
        </w:tc>
        <w:tc>
          <w:tcPr>
            <w:tcW w:w="2268" w:type="dxa"/>
            <w:shd w:val="clear" w:color="auto" w:fill="D9D9D9"/>
            <w:vAlign w:val="center"/>
          </w:tcPr>
          <w:p w14:paraId="23EA9C66">
            <w:pPr>
              <w:spacing w:before="20" w:after="20" w:line="240" w:lineRule="auto"/>
              <w:jc w:val="center"/>
            </w:pPr>
            <w:r>
              <w:rPr>
                <w:rFonts w:eastAsia="黑体"/>
                <w:b/>
                <w:sz w:val="21"/>
              </w:rPr>
              <w:t>初步测算</w:t>
            </w:r>
          </w:p>
        </w:tc>
        <w:tc>
          <w:tcPr>
            <w:tcW w:w="4309" w:type="dxa"/>
            <w:shd w:val="clear" w:color="auto" w:fill="D9D9D9"/>
            <w:vAlign w:val="center"/>
          </w:tcPr>
          <w:p w14:paraId="7A7EA8FA">
            <w:pPr>
              <w:spacing w:before="20" w:after="20" w:line="240" w:lineRule="auto"/>
              <w:jc w:val="center"/>
            </w:pPr>
            <w:r>
              <w:rPr>
                <w:rFonts w:eastAsia="黑体"/>
                <w:b/>
                <w:sz w:val="21"/>
              </w:rPr>
              <w:t>备注</w:t>
            </w:r>
          </w:p>
        </w:tc>
      </w:tr>
      <w:tr w14:paraId="0F37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268" w:type="dxa"/>
            <w:vAlign w:val="center"/>
          </w:tcPr>
          <w:p w14:paraId="00D1C301">
            <w:pPr>
              <w:spacing w:before="20" w:after="20" w:line="240" w:lineRule="auto"/>
              <w:jc w:val="center"/>
            </w:pPr>
            <w:r>
              <w:rPr>
                <w:rFonts w:eastAsia="宋体"/>
                <w:sz w:val="21"/>
              </w:rPr>
              <w:t>年均营业收入</w:t>
            </w:r>
          </w:p>
        </w:tc>
        <w:tc>
          <w:tcPr>
            <w:tcW w:w="2268" w:type="dxa"/>
            <w:vAlign w:val="center"/>
          </w:tcPr>
          <w:p w14:paraId="0A32A77A">
            <w:pPr>
              <w:spacing w:before="20" w:after="20" w:line="240" w:lineRule="auto"/>
              <w:jc w:val="center"/>
            </w:pPr>
            <w:r>
              <w:rPr>
                <w:rFonts w:eastAsia="宋体"/>
                <w:sz w:val="21"/>
              </w:rPr>
              <w:t>约46亿元</w:t>
            </w:r>
          </w:p>
        </w:tc>
        <w:tc>
          <w:tcPr>
            <w:tcW w:w="4309" w:type="dxa"/>
            <w:vAlign w:val="center"/>
          </w:tcPr>
          <w:p w14:paraId="544FA9F1">
            <w:pPr>
              <w:spacing w:before="20" w:after="20" w:line="240" w:lineRule="auto"/>
            </w:pPr>
            <w:r>
              <w:rPr>
                <w:rFonts w:eastAsia="宋体"/>
                <w:sz w:val="21"/>
              </w:rPr>
              <w:t>稳定运营期</w:t>
            </w:r>
          </w:p>
        </w:tc>
      </w:tr>
      <w:tr w14:paraId="2CD12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268" w:type="dxa"/>
            <w:vAlign w:val="center"/>
          </w:tcPr>
          <w:p w14:paraId="5DFDBA90">
            <w:pPr>
              <w:spacing w:before="20" w:after="20" w:line="240" w:lineRule="auto"/>
              <w:jc w:val="center"/>
            </w:pPr>
            <w:r>
              <w:rPr>
                <w:rFonts w:eastAsia="宋体"/>
                <w:sz w:val="21"/>
              </w:rPr>
              <w:t>年均净利润</w:t>
            </w:r>
          </w:p>
        </w:tc>
        <w:tc>
          <w:tcPr>
            <w:tcW w:w="2268" w:type="dxa"/>
            <w:vAlign w:val="center"/>
          </w:tcPr>
          <w:p w14:paraId="69EB1461">
            <w:pPr>
              <w:spacing w:before="20" w:after="20" w:line="240" w:lineRule="auto"/>
              <w:jc w:val="center"/>
            </w:pPr>
            <w:r>
              <w:rPr>
                <w:rFonts w:eastAsia="宋体"/>
                <w:sz w:val="21"/>
              </w:rPr>
              <w:t>约10.5亿元</w:t>
            </w:r>
          </w:p>
        </w:tc>
        <w:tc>
          <w:tcPr>
            <w:tcW w:w="4309" w:type="dxa"/>
            <w:vAlign w:val="center"/>
          </w:tcPr>
          <w:p w14:paraId="7A79C6EB">
            <w:pPr>
              <w:spacing w:before="20" w:after="20" w:line="240" w:lineRule="auto"/>
            </w:pPr>
            <w:r>
              <w:rPr>
                <w:rFonts w:eastAsia="宋体"/>
                <w:sz w:val="21"/>
              </w:rPr>
              <w:t>以可研评估为准</w:t>
            </w:r>
          </w:p>
        </w:tc>
      </w:tr>
      <w:tr w14:paraId="6F5D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268" w:type="dxa"/>
            <w:vAlign w:val="center"/>
          </w:tcPr>
          <w:p w14:paraId="6E844B2E">
            <w:pPr>
              <w:spacing w:before="20" w:after="20" w:line="240" w:lineRule="auto"/>
              <w:jc w:val="center"/>
            </w:pPr>
            <w:r>
              <w:rPr>
                <w:rFonts w:eastAsia="宋体"/>
                <w:sz w:val="21"/>
              </w:rPr>
              <w:t>年均综合税收</w:t>
            </w:r>
          </w:p>
        </w:tc>
        <w:tc>
          <w:tcPr>
            <w:tcW w:w="2268" w:type="dxa"/>
            <w:vAlign w:val="center"/>
          </w:tcPr>
          <w:p w14:paraId="64452509">
            <w:pPr>
              <w:spacing w:before="20" w:after="20" w:line="240" w:lineRule="auto"/>
              <w:jc w:val="center"/>
            </w:pPr>
            <w:r>
              <w:rPr>
                <w:rFonts w:eastAsia="宋体"/>
                <w:sz w:val="21"/>
              </w:rPr>
              <w:t>约5亿元</w:t>
            </w:r>
          </w:p>
        </w:tc>
        <w:tc>
          <w:tcPr>
            <w:tcW w:w="4309" w:type="dxa"/>
            <w:vAlign w:val="center"/>
          </w:tcPr>
          <w:p w14:paraId="4BAAB7E4">
            <w:pPr>
              <w:spacing w:before="20" w:after="20" w:line="240" w:lineRule="auto"/>
            </w:pPr>
            <w:r>
              <w:rPr>
                <w:rFonts w:eastAsia="宋体"/>
                <w:sz w:val="21"/>
              </w:rPr>
              <w:t>税收全部落地庆阳</w:t>
            </w:r>
          </w:p>
        </w:tc>
      </w:tr>
      <w:tr w14:paraId="79A0B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268" w:type="dxa"/>
            <w:vAlign w:val="center"/>
          </w:tcPr>
          <w:p w14:paraId="6F7945FE">
            <w:pPr>
              <w:spacing w:before="20" w:after="20" w:line="240" w:lineRule="auto"/>
              <w:jc w:val="center"/>
            </w:pPr>
            <w:r>
              <w:rPr>
                <w:rFonts w:eastAsia="宋体"/>
                <w:sz w:val="21"/>
              </w:rPr>
              <w:t>带动物流降本</w:t>
            </w:r>
          </w:p>
        </w:tc>
        <w:tc>
          <w:tcPr>
            <w:tcW w:w="2268" w:type="dxa"/>
            <w:vAlign w:val="center"/>
          </w:tcPr>
          <w:p w14:paraId="1A7F05C1">
            <w:pPr>
              <w:spacing w:before="20" w:after="20" w:line="240" w:lineRule="auto"/>
              <w:jc w:val="center"/>
            </w:pPr>
            <w:r>
              <w:rPr>
                <w:rFonts w:eastAsia="宋体"/>
                <w:sz w:val="21"/>
              </w:rPr>
              <w:t>约5.8亿元/年</w:t>
            </w:r>
          </w:p>
        </w:tc>
        <w:tc>
          <w:tcPr>
            <w:tcW w:w="4309" w:type="dxa"/>
            <w:vAlign w:val="center"/>
          </w:tcPr>
          <w:p w14:paraId="160C86EC">
            <w:pPr>
              <w:spacing w:before="20" w:after="20" w:line="240" w:lineRule="auto"/>
            </w:pPr>
            <w:r>
              <w:rPr>
                <w:rFonts w:eastAsia="宋体"/>
                <w:sz w:val="21"/>
              </w:rPr>
              <w:t>惠及全市物流企业</w:t>
            </w:r>
          </w:p>
        </w:tc>
      </w:tr>
      <w:tr w14:paraId="7C816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268" w:type="dxa"/>
            <w:vAlign w:val="center"/>
          </w:tcPr>
          <w:p w14:paraId="2658B1DA">
            <w:pPr>
              <w:spacing w:before="20" w:after="20" w:line="240" w:lineRule="auto"/>
              <w:jc w:val="center"/>
            </w:pPr>
            <w:r>
              <w:rPr>
                <w:rFonts w:eastAsia="宋体"/>
                <w:sz w:val="21"/>
              </w:rPr>
              <w:t>带动就业</w:t>
            </w:r>
          </w:p>
        </w:tc>
        <w:tc>
          <w:tcPr>
            <w:tcW w:w="2268" w:type="dxa"/>
            <w:vAlign w:val="center"/>
          </w:tcPr>
          <w:p w14:paraId="33ABC30D">
            <w:pPr>
              <w:spacing w:before="20" w:after="20" w:line="240" w:lineRule="auto"/>
              <w:jc w:val="center"/>
            </w:pPr>
            <w:r>
              <w:rPr>
                <w:rFonts w:eastAsia="宋体"/>
                <w:sz w:val="21"/>
              </w:rPr>
              <w:t>5000人以上</w:t>
            </w:r>
          </w:p>
        </w:tc>
        <w:tc>
          <w:tcPr>
            <w:tcW w:w="4309" w:type="dxa"/>
            <w:vAlign w:val="center"/>
          </w:tcPr>
          <w:p w14:paraId="5F668ECE">
            <w:pPr>
              <w:spacing w:before="20" w:after="20" w:line="240" w:lineRule="auto"/>
            </w:pPr>
            <w:r>
              <w:rPr>
                <w:rFonts w:eastAsia="宋体"/>
                <w:sz w:val="21"/>
              </w:rPr>
              <w:t>运营、场站、回收、数字服务等</w:t>
            </w:r>
          </w:p>
        </w:tc>
      </w:tr>
      <w:tr w14:paraId="74B8B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2268" w:type="dxa"/>
            <w:vAlign w:val="center"/>
          </w:tcPr>
          <w:p w14:paraId="0A6BB53A">
            <w:pPr>
              <w:spacing w:before="20" w:after="20" w:line="240" w:lineRule="auto"/>
              <w:jc w:val="center"/>
            </w:pPr>
            <w:r>
              <w:rPr>
                <w:rFonts w:eastAsia="宋体"/>
                <w:sz w:val="21"/>
              </w:rPr>
              <w:t>累计碳减排</w:t>
            </w:r>
          </w:p>
        </w:tc>
        <w:tc>
          <w:tcPr>
            <w:tcW w:w="2268" w:type="dxa"/>
            <w:vAlign w:val="center"/>
          </w:tcPr>
          <w:p w14:paraId="6114253F">
            <w:pPr>
              <w:spacing w:before="20" w:after="20" w:line="240" w:lineRule="auto"/>
              <w:jc w:val="center"/>
            </w:pPr>
            <w:r>
              <w:rPr>
                <w:rFonts w:eastAsia="宋体"/>
                <w:sz w:val="21"/>
              </w:rPr>
              <w:t>400万吨以上</w:t>
            </w:r>
          </w:p>
        </w:tc>
        <w:tc>
          <w:tcPr>
            <w:tcW w:w="4309" w:type="dxa"/>
            <w:vAlign w:val="center"/>
          </w:tcPr>
          <w:p w14:paraId="5CE5BE0C">
            <w:pPr>
              <w:spacing w:before="20" w:after="20" w:line="240" w:lineRule="auto"/>
            </w:pPr>
            <w:r>
              <w:rPr>
                <w:rFonts w:eastAsia="宋体"/>
                <w:sz w:val="21"/>
              </w:rPr>
              <w:t>2026—2030年</w:t>
            </w:r>
          </w:p>
        </w:tc>
      </w:tr>
    </w:tbl>
    <w:p w14:paraId="6E1A1685">
      <w:pPr>
        <w:spacing w:before="40" w:after="80" w:line="240" w:lineRule="auto"/>
      </w:pPr>
      <w:r>
        <w:rPr>
          <w:rFonts w:eastAsia="宋体"/>
          <w:sz w:val="19"/>
        </w:rPr>
        <w:t>注：上述指标参照已投运项目按4781辆规模等比例初步测算，仅作决策参考，最终以项目可行性研究报告评估值为准。</w:t>
      </w:r>
    </w:p>
    <w:p w14:paraId="79DEEC84">
      <w:pPr>
        <w:pStyle w:val="3"/>
        <w:ind w:firstLine="602" w:firstLineChars="200"/>
      </w:pPr>
      <w:bookmarkStart w:id="25" w:name="_Toc239250998"/>
      <w:r>
        <w:rPr>
          <w:rFonts w:ascii="Times New Roman" w:hAnsi="Times New Roman" w:eastAsia="黑体" w:cs="Times New Roman"/>
        </w:rPr>
        <w:t>八、合规经营与风险防控</w:t>
      </w:r>
      <w:bookmarkEnd w:id="25"/>
    </w:p>
    <w:p w14:paraId="78247C0F">
      <w:pPr>
        <w:pStyle w:val="4"/>
        <w:ind w:firstLine="562" w:firstLineChars="200"/>
      </w:pPr>
      <w:bookmarkStart w:id="26" w:name="_Toc239250999"/>
      <w:r>
        <w:rPr>
          <w:rFonts w:ascii="Times New Roman" w:hAnsi="Times New Roman" w:eastAsia="楷体" w:cs="Times New Roman"/>
        </w:rPr>
        <w:t>（一）合规承诺</w:t>
      </w:r>
      <w:bookmarkEnd w:id="26"/>
    </w:p>
    <w:p w14:paraId="2AB8523F">
      <w:pPr>
        <w:ind w:firstLine="560" w:firstLineChars="200"/>
        <w:jc w:val="both"/>
      </w:pPr>
      <w:r>
        <w:t>严格履行框架协议义务：依法办理立项、用地、环评、能评、施工等各项许可手续，正式开工前与相关部门签订具有法律效力的承诺书；确保项目符合国家及甘肃省、庆阳市产业政策和产业定位，符合生态环保、安全生产等法律法规；依规申请优惠政策和财政扶持资金，绝不弄虚作假、骗取套取，扶持资金专款专用、不得挪用；坚持守法经营、安全生产、照章纳税，自觉接受职能部门监督管理。</w:t>
      </w:r>
    </w:p>
    <w:p w14:paraId="7C380C08">
      <w:pPr>
        <w:pStyle w:val="4"/>
        <w:ind w:firstLine="562" w:firstLineChars="200"/>
      </w:pPr>
      <w:bookmarkStart w:id="27" w:name="_Toc239251000"/>
      <w:r>
        <w:rPr>
          <w:rFonts w:ascii="Times New Roman" w:hAnsi="Times New Roman" w:eastAsia="楷体" w:cs="Times New Roman"/>
        </w:rPr>
        <w:t>（二）风险防控</w:t>
      </w:r>
      <w:bookmarkEnd w:id="27"/>
    </w:p>
    <w:p w14:paraId="0D32843F">
      <w:pPr>
        <w:ind w:firstLine="560" w:firstLineChars="200"/>
        <w:jc w:val="both"/>
      </w:pPr>
      <w:r>
        <w:t>建立全过程风险识别和防控机制，明确风险表现、防控措施和责任，确保项目稳健推进（见表7）。</w:t>
      </w:r>
    </w:p>
    <w:p w14:paraId="660829BE">
      <w:pPr>
        <w:keepNext/>
        <w:spacing w:before="120" w:after="40" w:line="240" w:lineRule="auto"/>
        <w:jc w:val="center"/>
      </w:pPr>
      <w:r>
        <w:rPr>
          <w:rFonts w:eastAsia="黑体"/>
          <w:b/>
          <w:sz w:val="22"/>
        </w:rPr>
        <w:t>表7主要风险与防控措施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40" w:type="dxa"/>
          <w:left w:w="80" w:type="dxa"/>
          <w:bottom w:w="40" w:type="dxa"/>
          <w:right w:w="80" w:type="dxa"/>
        </w:tblCellMar>
      </w:tblPr>
      <w:tblGrid>
        <w:gridCol w:w="1361"/>
        <w:gridCol w:w="2993"/>
        <w:gridCol w:w="4491"/>
      </w:tblGrid>
      <w:tr w14:paraId="22A0C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tblHeader/>
          <w:jc w:val="center"/>
        </w:trPr>
        <w:tc>
          <w:tcPr>
            <w:tcW w:w="1361" w:type="dxa"/>
            <w:shd w:val="clear" w:color="auto" w:fill="D9D9D9"/>
            <w:vAlign w:val="center"/>
          </w:tcPr>
          <w:p w14:paraId="62365B74">
            <w:pPr>
              <w:spacing w:before="20" w:after="20" w:line="240" w:lineRule="auto"/>
              <w:jc w:val="center"/>
            </w:pPr>
            <w:r>
              <w:rPr>
                <w:rFonts w:eastAsia="黑体"/>
                <w:b/>
                <w:sz w:val="21"/>
              </w:rPr>
              <w:t>风险类别</w:t>
            </w:r>
          </w:p>
        </w:tc>
        <w:tc>
          <w:tcPr>
            <w:tcW w:w="2993" w:type="dxa"/>
            <w:shd w:val="clear" w:color="auto" w:fill="D9D9D9"/>
            <w:vAlign w:val="center"/>
          </w:tcPr>
          <w:p w14:paraId="5A5F4D87">
            <w:pPr>
              <w:spacing w:before="20" w:after="20" w:line="240" w:lineRule="auto"/>
              <w:jc w:val="center"/>
            </w:pPr>
            <w:r>
              <w:rPr>
                <w:rFonts w:eastAsia="黑体"/>
                <w:b/>
                <w:sz w:val="21"/>
              </w:rPr>
              <w:t>主要表现</w:t>
            </w:r>
          </w:p>
        </w:tc>
        <w:tc>
          <w:tcPr>
            <w:tcW w:w="4491" w:type="dxa"/>
            <w:shd w:val="clear" w:color="auto" w:fill="D9D9D9"/>
            <w:vAlign w:val="center"/>
          </w:tcPr>
          <w:p w14:paraId="152E0C76">
            <w:pPr>
              <w:spacing w:before="20" w:after="20" w:line="240" w:lineRule="auto"/>
              <w:jc w:val="center"/>
            </w:pPr>
            <w:r>
              <w:rPr>
                <w:rFonts w:eastAsia="黑体"/>
                <w:b/>
                <w:sz w:val="21"/>
              </w:rPr>
              <w:t>防控措施</w:t>
            </w:r>
          </w:p>
        </w:tc>
      </w:tr>
      <w:tr w14:paraId="3D35D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361" w:type="dxa"/>
            <w:vAlign w:val="center"/>
          </w:tcPr>
          <w:p w14:paraId="0DA17166">
            <w:pPr>
              <w:spacing w:before="20" w:after="20" w:line="240" w:lineRule="auto"/>
              <w:jc w:val="center"/>
            </w:pPr>
            <w:r>
              <w:rPr>
                <w:rFonts w:eastAsia="宋体"/>
                <w:sz w:val="21"/>
              </w:rPr>
              <w:t>市场风险</w:t>
            </w:r>
          </w:p>
        </w:tc>
        <w:tc>
          <w:tcPr>
            <w:tcW w:w="2993" w:type="dxa"/>
            <w:vAlign w:val="center"/>
          </w:tcPr>
          <w:p w14:paraId="05881D2A">
            <w:pPr>
              <w:spacing w:before="20" w:after="20" w:line="240" w:lineRule="auto"/>
            </w:pPr>
            <w:r>
              <w:rPr>
                <w:rFonts w:eastAsia="宋体"/>
                <w:sz w:val="21"/>
              </w:rPr>
              <w:t>运力订单不足、置换进度不及预期</w:t>
            </w:r>
          </w:p>
        </w:tc>
        <w:tc>
          <w:tcPr>
            <w:tcW w:w="4491" w:type="dxa"/>
            <w:vAlign w:val="center"/>
          </w:tcPr>
          <w:p w14:paraId="51D39632">
            <w:pPr>
              <w:spacing w:before="20" w:after="20" w:line="240" w:lineRule="auto"/>
            </w:pPr>
            <w:r>
              <w:rPr>
                <w:rFonts w:eastAsia="宋体"/>
                <w:sz w:val="21"/>
              </w:rPr>
              <w:t>绑定头部物流企业与煤炭短倒场景，平台先归集运力再投放车辆</w:t>
            </w:r>
          </w:p>
        </w:tc>
      </w:tr>
      <w:tr w14:paraId="08BF1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361" w:type="dxa"/>
            <w:vAlign w:val="center"/>
          </w:tcPr>
          <w:p w14:paraId="5479C061">
            <w:pPr>
              <w:spacing w:before="20" w:after="20" w:line="240" w:lineRule="auto"/>
              <w:jc w:val="center"/>
            </w:pPr>
            <w:r>
              <w:rPr>
                <w:rFonts w:eastAsia="宋体"/>
                <w:sz w:val="21"/>
              </w:rPr>
              <w:t>技术风险</w:t>
            </w:r>
          </w:p>
        </w:tc>
        <w:tc>
          <w:tcPr>
            <w:tcW w:w="2993" w:type="dxa"/>
            <w:vAlign w:val="center"/>
          </w:tcPr>
          <w:p w14:paraId="5DD63968">
            <w:pPr>
              <w:spacing w:before="20" w:after="20" w:line="240" w:lineRule="auto"/>
            </w:pPr>
            <w:r>
              <w:rPr>
                <w:rFonts w:eastAsia="宋体"/>
                <w:sz w:val="21"/>
              </w:rPr>
              <w:t>电池迭代、设备兼容性</w:t>
            </w:r>
          </w:p>
        </w:tc>
        <w:tc>
          <w:tcPr>
            <w:tcW w:w="4491" w:type="dxa"/>
            <w:vAlign w:val="center"/>
          </w:tcPr>
          <w:p w14:paraId="7E652165">
            <w:pPr>
              <w:spacing w:before="20" w:after="20" w:line="240" w:lineRule="auto"/>
            </w:pPr>
            <w:r>
              <w:rPr>
                <w:rFonts w:eastAsia="宋体"/>
                <w:sz w:val="21"/>
              </w:rPr>
              <w:t>联合宁德时代等龙头，车电分离、标准换电、预留升级接口</w:t>
            </w:r>
          </w:p>
        </w:tc>
      </w:tr>
      <w:tr w14:paraId="4514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361" w:type="dxa"/>
            <w:vAlign w:val="center"/>
          </w:tcPr>
          <w:p w14:paraId="2714E77E">
            <w:pPr>
              <w:spacing w:before="20" w:after="20" w:line="240" w:lineRule="auto"/>
              <w:jc w:val="center"/>
            </w:pPr>
            <w:r>
              <w:rPr>
                <w:rFonts w:eastAsia="宋体"/>
                <w:sz w:val="21"/>
              </w:rPr>
              <w:t>资金风险</w:t>
            </w:r>
          </w:p>
        </w:tc>
        <w:tc>
          <w:tcPr>
            <w:tcW w:w="2993" w:type="dxa"/>
            <w:vAlign w:val="center"/>
          </w:tcPr>
          <w:p w14:paraId="680191DB">
            <w:pPr>
              <w:spacing w:before="20" w:after="20" w:line="240" w:lineRule="auto"/>
            </w:pPr>
            <w:r>
              <w:rPr>
                <w:rFonts w:eastAsia="宋体"/>
                <w:sz w:val="21"/>
              </w:rPr>
              <w:t>资本金到位、融资成本波动</w:t>
            </w:r>
          </w:p>
        </w:tc>
        <w:tc>
          <w:tcPr>
            <w:tcW w:w="4491" w:type="dxa"/>
            <w:vAlign w:val="center"/>
          </w:tcPr>
          <w:p w14:paraId="1F456A88">
            <w:pPr>
              <w:spacing w:before="20" w:after="20" w:line="240" w:lineRule="auto"/>
            </w:pPr>
            <w:r>
              <w:rPr>
                <w:rFonts w:eastAsia="宋体"/>
                <w:sz w:val="21"/>
              </w:rPr>
              <w:t>多元融资、专户管理、按里程碑分期投放，争取绿色低息贷款</w:t>
            </w:r>
          </w:p>
        </w:tc>
      </w:tr>
      <w:tr w14:paraId="2978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361" w:type="dxa"/>
            <w:vAlign w:val="center"/>
          </w:tcPr>
          <w:p w14:paraId="46345C80">
            <w:pPr>
              <w:spacing w:before="20" w:after="20" w:line="240" w:lineRule="auto"/>
              <w:jc w:val="center"/>
            </w:pPr>
            <w:r>
              <w:rPr>
                <w:rFonts w:eastAsia="宋体"/>
                <w:sz w:val="21"/>
              </w:rPr>
              <w:t>电网接入</w:t>
            </w:r>
          </w:p>
        </w:tc>
        <w:tc>
          <w:tcPr>
            <w:tcW w:w="2993" w:type="dxa"/>
            <w:vAlign w:val="center"/>
          </w:tcPr>
          <w:p w14:paraId="61CD76A9">
            <w:pPr>
              <w:spacing w:before="20" w:after="20" w:line="240" w:lineRule="auto"/>
            </w:pPr>
            <w:r>
              <w:rPr>
                <w:rFonts w:eastAsia="宋体"/>
                <w:sz w:val="21"/>
              </w:rPr>
              <w:t>接入与增容滞后</w:t>
            </w:r>
          </w:p>
        </w:tc>
        <w:tc>
          <w:tcPr>
            <w:tcW w:w="4491" w:type="dxa"/>
            <w:vAlign w:val="center"/>
          </w:tcPr>
          <w:p w14:paraId="224E1B45">
            <w:pPr>
              <w:spacing w:before="20" w:after="20" w:line="240" w:lineRule="auto"/>
            </w:pPr>
            <w:r>
              <w:rPr>
                <w:rFonts w:eastAsia="宋体"/>
                <w:sz w:val="21"/>
              </w:rPr>
              <w:t>规划先行、提前对接电网，绿电直连加储能调节，统筹单站32兆瓦负荷</w:t>
            </w:r>
          </w:p>
        </w:tc>
      </w:tr>
      <w:tr w14:paraId="54205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361" w:type="dxa"/>
            <w:vAlign w:val="center"/>
          </w:tcPr>
          <w:p w14:paraId="20072F96">
            <w:pPr>
              <w:spacing w:before="20" w:after="20" w:line="240" w:lineRule="auto"/>
              <w:jc w:val="center"/>
            </w:pPr>
            <w:r>
              <w:rPr>
                <w:rFonts w:eastAsia="宋体"/>
                <w:sz w:val="21"/>
              </w:rPr>
              <w:t>安全环保</w:t>
            </w:r>
          </w:p>
        </w:tc>
        <w:tc>
          <w:tcPr>
            <w:tcW w:w="2993" w:type="dxa"/>
            <w:vAlign w:val="center"/>
          </w:tcPr>
          <w:p w14:paraId="4EB95F2A">
            <w:pPr>
              <w:spacing w:before="20" w:after="20" w:line="240" w:lineRule="auto"/>
            </w:pPr>
            <w:r>
              <w:rPr>
                <w:rFonts w:eastAsia="宋体"/>
                <w:sz w:val="21"/>
              </w:rPr>
              <w:t>充换电与电池安全、环保合规</w:t>
            </w:r>
          </w:p>
        </w:tc>
        <w:tc>
          <w:tcPr>
            <w:tcW w:w="4491" w:type="dxa"/>
            <w:vAlign w:val="center"/>
          </w:tcPr>
          <w:p w14:paraId="3884A7A6">
            <w:pPr>
              <w:spacing w:before="20" w:after="20" w:line="240" w:lineRule="auto"/>
            </w:pPr>
            <w:r>
              <w:rPr>
                <w:rFonts w:eastAsia="宋体"/>
                <w:sz w:val="21"/>
              </w:rPr>
              <w:t>健全安全环保制度，平台实时监测预警，电池全生命周期溯源</w:t>
            </w:r>
          </w:p>
        </w:tc>
      </w:tr>
      <w:tr w14:paraId="033C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0" w:type="dxa"/>
            <w:left w:w="80" w:type="dxa"/>
            <w:bottom w:w="40" w:type="dxa"/>
            <w:right w:w="80" w:type="dxa"/>
          </w:tblCellMar>
        </w:tblPrEx>
        <w:trPr>
          <w:cantSplit/>
          <w:jc w:val="center"/>
        </w:trPr>
        <w:tc>
          <w:tcPr>
            <w:tcW w:w="1361" w:type="dxa"/>
            <w:vAlign w:val="center"/>
          </w:tcPr>
          <w:p w14:paraId="78178228">
            <w:pPr>
              <w:spacing w:before="20" w:after="20" w:line="240" w:lineRule="auto"/>
              <w:jc w:val="center"/>
            </w:pPr>
            <w:r>
              <w:rPr>
                <w:rFonts w:eastAsia="宋体"/>
                <w:sz w:val="21"/>
              </w:rPr>
              <w:t>建设进度</w:t>
            </w:r>
          </w:p>
        </w:tc>
        <w:tc>
          <w:tcPr>
            <w:tcW w:w="2993" w:type="dxa"/>
            <w:vAlign w:val="center"/>
          </w:tcPr>
          <w:p w14:paraId="38E92ADF">
            <w:pPr>
              <w:spacing w:before="20" w:after="20" w:line="240" w:lineRule="auto"/>
            </w:pPr>
            <w:r>
              <w:rPr>
                <w:rFonts w:eastAsia="宋体"/>
                <w:sz w:val="21"/>
              </w:rPr>
              <w:t>用地审批、工期延误</w:t>
            </w:r>
          </w:p>
        </w:tc>
        <w:tc>
          <w:tcPr>
            <w:tcW w:w="4491" w:type="dxa"/>
            <w:vAlign w:val="center"/>
          </w:tcPr>
          <w:p w14:paraId="641E8E0B">
            <w:pPr>
              <w:spacing w:before="20" w:after="20" w:line="240" w:lineRule="auto"/>
            </w:pPr>
            <w:r>
              <w:rPr>
                <w:rFonts w:eastAsia="宋体"/>
                <w:sz w:val="21"/>
              </w:rPr>
              <w:t>市级专班协调、手续并行推进、节点考核督办</w:t>
            </w:r>
          </w:p>
        </w:tc>
      </w:tr>
    </w:tbl>
    <w:p w14:paraId="3469158B">
      <w:pPr>
        <w:pStyle w:val="3"/>
        <w:ind w:firstLine="602" w:firstLineChars="200"/>
      </w:pPr>
      <w:bookmarkStart w:id="28" w:name="_Toc239251001"/>
      <w:r>
        <w:rPr>
          <w:rFonts w:ascii="Times New Roman" w:hAnsi="Times New Roman" w:eastAsia="黑体" w:cs="Times New Roman"/>
        </w:rPr>
        <w:t>九、恳请市政府支持事项</w:t>
      </w:r>
      <w:bookmarkEnd w:id="28"/>
    </w:p>
    <w:p w14:paraId="3E6C4154">
      <w:pPr>
        <w:ind w:firstLine="560" w:firstLineChars="200"/>
        <w:jc w:val="both"/>
      </w:pPr>
      <w:r>
        <w:t>为保障项目闭环落地，恳请市政府在以下方面给予支持：</w:t>
      </w:r>
    </w:p>
    <w:p w14:paraId="5A12F71A">
      <w:pPr>
        <w:ind w:firstLine="560" w:firstLineChars="200"/>
        <w:jc w:val="both"/>
      </w:pPr>
      <w:r>
        <w:t>（一）建立市级专项推进工作专班或联席会议机制，由市发展改革部门牵头，交通、工信（能源）、自然资源、生态环境、税务、电网企业及</w:t>
      </w:r>
      <w:r>
        <w:rPr>
          <w:rFonts w:hint="eastAsia"/>
          <w:lang w:eastAsia="zh-CN"/>
        </w:rPr>
        <w:t>庆阳市</w:t>
      </w:r>
      <w:r>
        <w:t>参加，统筹协调项目推进。</w:t>
      </w:r>
    </w:p>
    <w:p w14:paraId="249E7424">
      <w:pPr>
        <w:ind w:firstLine="560" w:firstLineChars="200"/>
        <w:jc w:val="both"/>
      </w:pPr>
      <w:r>
        <w:t>（二）审定并批复全市充换电基础设施专项规划，将本项目纳入市重点项目清单和相关专项规划。</w:t>
      </w:r>
    </w:p>
    <w:p w14:paraId="6DDA5ECB">
      <w:pPr>
        <w:ind w:firstLine="560" w:firstLineChars="200"/>
        <w:jc w:val="both"/>
      </w:pPr>
      <w:r>
        <w:t>（三）保障项目用地，落实零碳产业园约300亩用地及各充换电站点用地，优先保障供地。</w:t>
      </w:r>
    </w:p>
    <w:p w14:paraId="6D738A27">
      <w:pPr>
        <w:ind w:firstLine="560" w:firstLineChars="200"/>
        <w:jc w:val="both"/>
      </w:pPr>
      <w:r>
        <w:t>（四）支持绿电开发与电网接入，配置风光储充开发指标，开展源网荷储一体化和绿电直连试点，统筹推进电网增容与接入。</w:t>
      </w:r>
    </w:p>
    <w:p w14:paraId="0487F67A">
      <w:pPr>
        <w:ind w:firstLine="560" w:firstLineChars="200"/>
        <w:jc w:val="both"/>
      </w:pPr>
      <w:r>
        <w:t>（五）强化财税金融支持，争取省市产业基金、超长期特别国债和地方政府专项债、绿色信贷贴息、新能源重卡以旧换新等政策资金。</w:t>
      </w:r>
    </w:p>
    <w:p w14:paraId="6F0766FB">
      <w:pPr>
        <w:ind w:firstLine="560" w:firstLineChars="200"/>
        <w:jc w:val="both"/>
      </w:pPr>
      <w:r>
        <w:t>（六）开放应用场景，协调煤炭、矿产品短倒运输和客货邮运输场景，引导个体运输户和中小运输公司纳入平台统一调度、有序置换。</w:t>
      </w:r>
    </w:p>
    <w:p w14:paraId="0A06A206">
      <w:pPr>
        <w:ind w:firstLine="560" w:firstLineChars="200"/>
        <w:jc w:val="both"/>
      </w:pPr>
      <w:r>
        <w:t>（七）开辟审批绿色通道，依法依规并联办理各项手续，支持企业按期签订开工承诺书并开工建设。</w:t>
      </w:r>
    </w:p>
    <w:p w14:paraId="3B8276F4">
      <w:pPr>
        <w:pStyle w:val="3"/>
        <w:ind w:firstLine="602" w:firstLineChars="200"/>
      </w:pPr>
      <w:bookmarkStart w:id="29" w:name="_Toc239251002"/>
      <w:r>
        <w:rPr>
          <w:rFonts w:ascii="Times New Roman" w:hAnsi="Times New Roman" w:eastAsia="黑体" w:cs="Times New Roman"/>
        </w:rPr>
        <w:t>十、近期工作安排（30/60/90天）</w:t>
      </w:r>
      <w:bookmarkEnd w:id="29"/>
    </w:p>
    <w:p w14:paraId="171A4004">
      <w:pPr>
        <w:ind w:firstLine="560" w:firstLineChars="200"/>
        <w:jc w:val="both"/>
      </w:pPr>
      <w:r>
        <w:t>（一）30天内：华系投资组建庆阳项目筹备组进驻，启动SPV名称核准、章程和股东协议起草，同步启动全市充换电基础设施专项规划编制。</w:t>
      </w:r>
    </w:p>
    <w:p w14:paraId="651696F8">
      <w:pPr>
        <w:ind w:firstLine="560" w:firstLineChars="200"/>
        <w:jc w:val="both"/>
      </w:pPr>
      <w:r>
        <w:t>（二）60天内：完成SPV注册挂牌和本地团队组建，智能体平台开发团队进场，完成首批试点站点初选和全市运力摸底。</w:t>
      </w:r>
    </w:p>
    <w:p w14:paraId="2EAA86CE">
      <w:pPr>
        <w:ind w:firstLine="560" w:firstLineChars="200"/>
        <w:jc w:val="both"/>
      </w:pPr>
      <w:r>
        <w:t>（三）90天内：智能体平台具备上线条件，确定一期试点站点与首批车辆投放方案，完成一期可行性研究和融资方案报审，做好签订开工承诺书、启动一期建设的各项准备。</w:t>
      </w:r>
    </w:p>
    <w:p w14:paraId="5F025717">
      <w:pPr>
        <w:ind w:firstLine="560" w:firstLineChars="200"/>
        <w:jc w:val="both"/>
      </w:pPr>
      <w:r>
        <w:t>华系投资将以本方案为行动纲领，充分发挥资源整合、平台技术和已投运项目经验优势，以智能体平台为先导、以SPV公司为承载，挂图作战、按节点推进，确保框架协议约定各项指标如期兑现，努力把庆阳项目建成西北地区交能融合示范标杆。</w:t>
      </w:r>
    </w:p>
    <w:p w14:paraId="1761DA73">
      <w:pPr>
        <w:spacing w:line="560" w:lineRule="exact"/>
        <w:jc w:val="center"/>
      </w:pPr>
      <w:r>
        <w:t>华系投资有限公司　　</w:t>
      </w:r>
    </w:p>
    <w:p w14:paraId="20063AE1">
      <w:pPr>
        <w:spacing w:line="560" w:lineRule="exact"/>
        <w:jc w:val="center"/>
      </w:pPr>
      <w:r>
        <w:t>二〇二六年九月　　</w:t>
      </w:r>
    </w:p>
    <w:sectPr>
      <w:footerReference r:id="rId10" w:type="default"/>
      <w:pgSz w:w="11906" w:h="16838"/>
      <w:pgMar w:top="1440" w:right="1080" w:bottom="1440" w:left="108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宋体"/>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21264">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A277B">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88998">
    <w:pPr>
      <w:pStyle w:val="2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9885D4">
    <w:pPr>
      <w:pStyle w:val="24"/>
      <w:jc w:val="cente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6DE47E">
                          <w:pPr>
                            <w:pStyle w:val="24"/>
                            <w:jc w:val="center"/>
                          </w:pPr>
                          <w:r>
                            <w:t>第</w:t>
                          </w:r>
                          <w:r>
                            <w:fldChar w:fldCharType="begin"/>
                          </w:r>
                          <w:r>
                            <w:instrText xml:space="preserve"> PAGE  \* MERGEFORMAT </w:instrText>
                          </w:r>
                          <w:r>
                            <w:fldChar w:fldCharType="separate"/>
                          </w:r>
                          <w:r>
                            <w:t>1</w:t>
                          </w:r>
                          <w:r>
                            <w:fldChar w:fldCharType="end"/>
                          </w:r>
                          <w:r>
                            <w:t>页共</w:t>
                          </w:r>
                          <w:r>
                            <w:fldChar w:fldCharType="begin"/>
                          </w:r>
                          <w:r>
                            <w:instrText xml:space="preserve"> NUMPAGES  \* MERGEFORMAT </w:instrText>
                          </w:r>
                          <w:r>
                            <w:fldChar w:fldCharType="separate"/>
                          </w:r>
                          <w:r>
                            <w:t>14</w:t>
                          </w:r>
                          <w:r>
                            <w:fldChar w:fldCharType="end"/>
                          </w:r>
                          <w: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06DE47E">
                    <w:pPr>
                      <w:pStyle w:val="24"/>
                      <w:jc w:val="center"/>
                    </w:pPr>
                    <w:r>
                      <w:t>第</w:t>
                    </w:r>
                    <w:r>
                      <w:fldChar w:fldCharType="begin"/>
                    </w:r>
                    <w:r>
                      <w:instrText xml:space="preserve"> PAGE  \* MERGEFORMAT </w:instrText>
                    </w:r>
                    <w:r>
                      <w:fldChar w:fldCharType="separate"/>
                    </w:r>
                    <w:r>
                      <w:t>1</w:t>
                    </w:r>
                    <w:r>
                      <w:fldChar w:fldCharType="end"/>
                    </w:r>
                    <w:r>
                      <w:t>页共</w:t>
                    </w:r>
                    <w:r>
                      <w:fldChar w:fldCharType="begin"/>
                    </w:r>
                    <w:r>
                      <w:instrText xml:space="preserve"> NUMPAGES  \* MERGEFORMAT </w:instrText>
                    </w:r>
                    <w:r>
                      <w:fldChar w:fldCharType="separate"/>
                    </w:r>
                    <w:r>
                      <w:t>14</w:t>
                    </w:r>
                    <w:r>
                      <w:fldChar w:fldCharType="end"/>
                    </w:r>
                    <w:r>
                      <w:t>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1A2E0">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122AC">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6FB8"/>
    <w:rsid w:val="000F5397"/>
    <w:rsid w:val="0015074B"/>
    <w:rsid w:val="0029639D"/>
    <w:rsid w:val="00326F90"/>
    <w:rsid w:val="00357B11"/>
    <w:rsid w:val="008F18CF"/>
    <w:rsid w:val="00915906"/>
    <w:rsid w:val="00AA1D8D"/>
    <w:rsid w:val="00B47730"/>
    <w:rsid w:val="00CB0664"/>
    <w:rsid w:val="00D1682F"/>
    <w:rsid w:val="00FC693F"/>
    <w:rsid w:val="00FD4523"/>
    <w:rsid w:val="136E3D0D"/>
    <w:rsid w:val="17451C21"/>
    <w:rsid w:val="29657F00"/>
    <w:rsid w:val="429A4C88"/>
    <w:rsid w:val="51425CEE"/>
    <w:rsid w:val="5CA2740B"/>
    <w:rsid w:val="6ABC22B8"/>
    <w:rsid w:val="6BC8789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520" w:lineRule="exact"/>
    </w:pPr>
    <w:rPr>
      <w:rFonts w:ascii="Times New Roman" w:hAnsi="Times New Roman" w:eastAsia="仿宋" w:cs="Times New Roman"/>
      <w:color w:val="000000"/>
      <w:sz w:val="28"/>
      <w:szCs w:val="22"/>
      <w:lang w:val="en-US" w:eastAsia="en-US" w:bidi="ar-SA"/>
    </w:rPr>
  </w:style>
  <w:style w:type="paragraph" w:styleId="3">
    <w:name w:val="heading 1"/>
    <w:basedOn w:val="1"/>
    <w:next w:val="1"/>
    <w:link w:val="141"/>
    <w:qFormat/>
    <w:uiPriority w:val="9"/>
    <w:pPr>
      <w:keepNext/>
      <w:keepLines/>
      <w:spacing w:before="160" w:after="80" w:line="480" w:lineRule="exact"/>
      <w:outlineLvl w:val="0"/>
    </w:pPr>
    <w:rPr>
      <w:rFonts w:asciiTheme="majorHAnsi" w:hAnsiTheme="majorHAnsi" w:eastAsiaTheme="majorEastAsia" w:cstheme="majorBidi"/>
      <w:b/>
      <w:bCs/>
      <w:sz w:val="30"/>
      <w:szCs w:val="28"/>
    </w:rPr>
  </w:style>
  <w:style w:type="paragraph" w:styleId="4">
    <w:name w:val="heading 2"/>
    <w:basedOn w:val="1"/>
    <w:next w:val="1"/>
    <w:link w:val="142"/>
    <w:unhideWhenUsed/>
    <w:qFormat/>
    <w:uiPriority w:val="9"/>
    <w:pPr>
      <w:keepNext/>
      <w:keepLines/>
      <w:spacing w:before="160" w:after="80" w:line="480" w:lineRule="exact"/>
      <w:outlineLvl w:val="1"/>
    </w:pPr>
    <w:rPr>
      <w:rFonts w:asciiTheme="majorHAnsi" w:hAnsiTheme="majorHAnsi" w:eastAsiaTheme="majorEastAsia" w:cstheme="majorBidi"/>
      <w:b/>
      <w:bCs/>
      <w:szCs w:val="26"/>
    </w:rPr>
  </w:style>
  <w:style w:type="paragraph" w:styleId="5">
    <w:name w:val="heading 3"/>
    <w:basedOn w:val="1"/>
    <w:next w:val="1"/>
    <w:link w:val="143"/>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9"/>
    <w:unhideWhenUsed/>
    <w:qFormat/>
    <w:uiPriority w:val="99"/>
    <w:pPr>
      <w:tabs>
        <w:tab w:val="center" w:pos="4680"/>
        <w:tab w:val="right" w:pos="9360"/>
      </w:tabs>
      <w:spacing w:line="240" w:lineRule="auto"/>
    </w:pPr>
  </w:style>
  <w:style w:type="paragraph" w:styleId="25">
    <w:name w:val="header"/>
    <w:basedOn w:val="1"/>
    <w:link w:val="138"/>
    <w:unhideWhenUsed/>
    <w:qFormat/>
    <w:uiPriority w:val="99"/>
    <w:pPr>
      <w:tabs>
        <w:tab w:val="center" w:pos="4680"/>
        <w:tab w:val="right" w:pos="9360"/>
      </w:tabs>
      <w:spacing w:line="240" w:lineRule="auto"/>
    </w:pPr>
  </w:style>
  <w:style w:type="paragraph" w:styleId="26">
    <w:name w:val="toc 1"/>
    <w:basedOn w:val="1"/>
    <w:next w:val="1"/>
    <w:autoRedefine/>
    <w:unhideWhenUsed/>
    <w:qFormat/>
    <w:uiPriority w:val="39"/>
  </w:style>
  <w:style w:type="paragraph" w:styleId="2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autoRedefine/>
    <w:unhideWhenUsed/>
    <w:qFormat/>
    <w:uiPriority w:val="39"/>
    <w:pPr>
      <w:ind w:left="420" w:leftChars="200"/>
    </w:pPr>
  </w:style>
  <w:style w:type="paragraph" w:styleId="30">
    <w:name w:val="Body Text 2"/>
    <w:basedOn w:val="1"/>
    <w:link w:val="148"/>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basedOn w:val="134"/>
    <w:unhideWhenUsed/>
    <w:qFormat/>
    <w:uiPriority w:val="99"/>
    <w:rPr>
      <w:color w:val="0000FF" w:themeColor="hyperlink"/>
      <w:u w:val="single"/>
      <w14:textFill>
        <w14:solidFill>
          <w14:schemeClr w14:val="hlink"/>
        </w14:solidFill>
      </w14:textFill>
    </w:rPr>
  </w:style>
  <w:style w:type="character" w:customStyle="1" w:styleId="138">
    <w:name w:val="页眉 字符"/>
    <w:basedOn w:val="134"/>
    <w:link w:val="25"/>
    <w:qFormat/>
    <w:uiPriority w:val="99"/>
  </w:style>
  <w:style w:type="character" w:customStyle="1" w:styleId="139">
    <w:name w:val="页脚 字符"/>
    <w:basedOn w:val="134"/>
    <w:link w:val="24"/>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字符"/>
    <w:basedOn w:val="134"/>
    <w:link w:val="19"/>
    <w:qFormat/>
    <w:uiPriority w:val="99"/>
  </w:style>
  <w:style w:type="character" w:customStyle="1" w:styleId="148">
    <w:name w:val="正文文本 2 字符"/>
    <w:basedOn w:val="134"/>
    <w:link w:val="30"/>
    <w:qFormat/>
    <w:uiPriority w:val="99"/>
  </w:style>
  <w:style w:type="character" w:customStyle="1" w:styleId="149">
    <w:name w:val="正文文本 3 字符"/>
    <w:basedOn w:val="134"/>
    <w:link w:val="17"/>
    <w:qFormat/>
    <w:uiPriority w:val="99"/>
    <w:rPr>
      <w:sz w:val="16"/>
      <w:szCs w:val="16"/>
    </w:rPr>
  </w:style>
  <w:style w:type="character" w:customStyle="1" w:styleId="150">
    <w:name w:val="宏文本 字符"/>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字符"/>
    <w:basedOn w:val="134"/>
    <w:link w:val="151"/>
    <w:qFormat/>
    <w:uiPriority w:val="29"/>
    <w:rPr>
      <w:i/>
      <w:iCs/>
      <w:color w:val="000000" w:themeColor="text1"/>
      <w14:textFill>
        <w14:solidFill>
          <w14:schemeClr w14:val="tx1"/>
        </w14:solidFill>
      </w14:textFill>
    </w:rPr>
  </w:style>
  <w:style w:type="character" w:customStyle="1" w:styleId="153">
    <w:name w:val="标题 4 字符"/>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字符"/>
    <w:basedOn w:val="134"/>
    <w:link w:val="159"/>
    <w:qFormat/>
    <w:uiPriority w:val="30"/>
    <w:rPr>
      <w:b/>
      <w:bCs/>
      <w:i/>
      <w:iCs/>
      <w:color w:val="4F81BD" w:themeColor="accent1"/>
      <w14:textFill>
        <w14:solidFill>
          <w14:schemeClr w14:val="accent1"/>
        </w14:solidFill>
      </w14:textFill>
    </w:rPr>
  </w:style>
  <w:style w:type="character" w:customStyle="1" w:styleId="161">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4"/>
    <w:qFormat/>
    <w:uiPriority w:val="21"/>
    <w:rPr>
      <w:b/>
      <w:bCs/>
      <w:i/>
      <w:iCs/>
      <w:color w:val="4F81BD" w:themeColor="accent1"/>
      <w14:textFill>
        <w14:solidFill>
          <w14:schemeClr w14:val="accent1"/>
        </w14:solidFill>
      </w14:textFill>
    </w:rPr>
  </w:style>
  <w:style w:type="character" w:customStyle="1" w:styleId="163">
    <w:name w:val="Subtle Reference"/>
    <w:basedOn w:val="134"/>
    <w:qFormat/>
    <w:uiPriority w:val="31"/>
    <w:rPr>
      <w:smallCaps/>
      <w:color w:val="C0504D" w:themeColor="accent2"/>
      <w:u w:val="single"/>
      <w14:textFill>
        <w14:solidFill>
          <w14:schemeClr w14:val="accent2"/>
        </w14:solidFill>
      </w14:textFill>
    </w:rPr>
  </w:style>
  <w:style w:type="character" w:customStyle="1" w:styleId="164">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4"/>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12</Pages>
  <Words>6752</Words>
  <Characters>7180</Characters>
  <Lines>348</Lines>
  <Paragraphs>395</Paragraphs>
  <TotalTime>122</TotalTime>
  <ScaleCrop>false</ScaleCrop>
  <LinksUpToDate>false</LinksUpToDate>
  <CharactersWithSpaces>7444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华系投资有限公司</dc:creator>
  <dc:description>generated by python-docx</dc:description>
  <cp:lastModifiedBy>Mercury227</cp:lastModifiedBy>
  <cp:lastPrinted>2026-09-02T06:16:00Z</cp:lastPrinted>
  <dcterms:modified xsi:type="dcterms:W3CDTF">2026-09-02T08:47:08Z</dcterms:modified>
  <dc:title>庆阳市交能融合产业项目落地推进实施方案</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eyJoZGlkIjoiNDRhYTI4Yzg2MmI0MWZiNmVjNWNkOTE1YzUzMjc2MGIiLCJ1c2VySWQiOiIyMTc5MDk0MDQifQ==</vt:lpwstr>
  </property>
  <property fmtid="{D5CDD505-2E9C-101B-9397-08002B2CF9AE}" pid="3" name="KSOProductBuildVer">
    <vt:lpwstr>2052-12.1.0.28043</vt:lpwstr>
  </property>
  <property fmtid="{D5CDD505-2E9C-101B-9397-08002B2CF9AE}" pid="4" name="ICV">
    <vt:lpwstr>139DF16CE8BF494E88967104904D259F_13</vt:lpwstr>
  </property>
</Properties>
</file>