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pPr>
    </w:p>
    <w:p>
      <w:pPr>
        <w:pStyle w:val="TitleX"/>
        <w:widowControl/>
        <w:jc w:val="center"/>
      </w:pPr>
      <w:r>
        <w:t>智能多式联运物流数据系统</w:t>
      </w:r>
    </w:p>
    <w:p>
      <w:pPr>
        <w:pStyle w:val="SubtitleX"/>
        <w:widowControl/>
        <w:jc w:val="center"/>
      </w:pPr>
      <w:r>
        <w:t>供需管理、多式联运方案、供需匹配大厅</w:t>
        <w:br/>
        <w:t>需求规格说明（业务闭环版）</w:t>
      </w:r>
    </w:p>
    <w:p>
      <w:pPr>
        <w:widowControl/>
      </w:pPr>
    </w:p>
    <w:p>
      <w:pPr>
        <w:widowControl/>
      </w:pPr>
    </w:p>
    <w:p>
      <w:pPr>
        <w:widowControl/>
        <w:jc w:val="center"/>
      </w:pPr>
      <w:r>
        <w:rPr>
          <w:rFonts w:ascii="Noto Sans CJK SC" w:hAnsi="Noto Sans CJK SC" w:eastAsia="Noto Sans CJK SC"/>
          <w:sz w:val="26"/>
        </w:rPr>
        <w:t>角色范围：粮食贸易企业 / 物流运营商 / 平台运营方</w:t>
      </w:r>
    </w:p>
    <w:p>
      <w:pPr>
        <w:widowControl/>
      </w:pPr>
    </w:p>
    <w:p>
      <w:pPr>
        <w:widowControl/>
      </w:pPr>
    </w:p>
    <w:p>
      <w:pPr>
        <w:widowControl/>
      </w:pPr>
    </w:p>
    <w:p>
      <w:pPr>
        <w:widowControl/>
      </w:pPr>
    </w:p>
    <w:p>
      <w:pPr>
        <w:widowControl/>
        <w:jc w:val="center"/>
      </w:pPr>
      <w:r>
        <w:rPr>
          <w:rFonts w:ascii="Noto Sans CJK SC" w:hAnsi="Noto Sans CJK SC" w:eastAsia="Noto Sans CJK SC"/>
          <w:sz w:val="24"/>
        </w:rPr>
        <w:t>版本：V1.3</w:t>
        <w:br/>
        <w:t>日期：2026年10月</w:t>
      </w:r>
    </w:p>
    <w:p>
      <w:pPr>
        <w:widowControl/>
      </w:pPr>
      <w:r>
        <w:br w:type="page"/>
      </w:r>
    </w:p>
    <w:p>
      <w:pPr>
        <w:pStyle w:val="Heading1"/>
        <w:widowControl/>
      </w:pPr>
      <w:r>
        <w:t>1 文档范围与总体设计</w:t>
      </w:r>
    </w:p>
    <w:p>
      <w:pPr>
        <w:widowControl/>
        <w:ind w:firstLine="420"/>
        <w:jc w:val="both"/>
      </w:pPr>
      <w:r>
        <w:t>本文档针对智能多式联运物流数据系统中的“供需管理、多式联运方案、供需匹配大厅”三个模块进行需求细化，重点明确三类业务角色、菜单结构、字段级功能需求、供需信息发布与可见范围、竞价/议价机制、业务流程以及运输需求状态联动规则。三个模块共同构成正式运输业务前半段闭环，并为后续合同、运输任务及实际执行提供确定的业务输入。</w:t>
      </w:r>
    </w:p>
    <w:p>
      <w:pPr>
        <w:pStyle w:val="Heading2"/>
        <w:widowControl/>
      </w:pPr>
      <w:r>
        <w:t>1.1 业务角色</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角色</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主要职责</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发起方。基于交易订单形成运输需求；可直接发布运输需求，也可先进行多式联运方案求解后发布完整方案；可查看平台全部公开运输供给，选择合适供给发起定向对接，并对物流运营商报价进行比选、议价和承运确认。</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服务供给方。维护并发布运输供给；可查看平台全部公开运输需求及完整多式联运方案，对符合自身能力的业务提交报价或申请承运。若某运输需求/方案由粮食贸易企业指定其他物流运营商，则该定向业务对本企业不可见。</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平台运营方</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平台运营及基础数据维护方。可查看全部运输需求、完整方案、运输供给、报价、议价和匹配结果，包括公开业务和定向业务；负责基础规则、公开字段、价格协商规则及异常数据维护，不代替供需双方完成商业确认。</w:t>
            </w:r>
          </w:p>
        </w:tc>
      </w:tr>
    </w:tbl>
    <w:p>
      <w:pPr>
        <w:widowControl/>
        <w:spacing w:after="0"/>
      </w:pPr>
    </w:p>
    <w:p>
      <w:pPr>
        <w:pStyle w:val="Heading2"/>
        <w:widowControl/>
      </w:pPr>
      <w:r>
        <w:t>1.2 菜单结构</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一级菜单</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二级菜单</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功能定位</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供需管理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运输需求管理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基于交易订单形成运输需求，维护需求并可直接发布至供需匹配大厅，或进入多式联运方案求解。</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供需管理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运输供给管理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物流运营商维护运输线路、服务区域、运力、服务时间、参考价格等运输供给，并发布至供需匹配大厅供给侧展示。</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多式联运方案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求解</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统一方案求解页面；从运输需求进入自动带入信息，直接从菜单进入则手工填写信息后求解。</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多式联运方案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线路价格</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统一维护公路、铁路、水运线路及基础价格，为方案求解和成本测算提供数据支撑。</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供需匹配大厅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统一供需市场，无二级菜单。页面内部通过“需求大厅/供给大厅”页签组织信息，不改变菜单结构。</w:t>
            </w:r>
          </w:p>
        </w:tc>
      </w:tr>
    </w:tbl>
    <w:p>
      <w:pPr>
        <w:widowControl/>
        <w:spacing w:after="0"/>
      </w:pPr>
    </w:p>
    <w:tbl>
      <w:tblPr>
        <w:tblStyle w:val="TableGrid"/>
        <w:tblW w:type="auto" w:w="0"/>
        <w:jc w:val="center"/>
        <w:tblLook w:firstColumn="1" w:firstRow="1" w:lastColumn="0" w:lastRow="0" w:noHBand="0" w:noVBand="1" w:val="04A0"/>
      </w:tblPr>
      <w:tblGrid>
        <w:gridCol w:w="9915"/>
      </w:tblGrid>
      <w:tr>
        <w:tc>
          <w:tcPr>
            <w:tcW w:type="dxa" w:w="9915"/>
            <w:shd w:fill="FCECEC"/>
            <w:tcMar>
              <w:top w:w="120" w:type="dxa"/>
              <w:start w:w="130" w:type="dxa"/>
              <w:bottom w:w="120" w:type="dxa"/>
              <w:end w:w="130" w:type="dxa"/>
            </w:tcMar>
          </w:tcPr>
          <w:p>
            <w:r>
              <w:rPr>
                <w:rFonts w:ascii="Noto Sans CJK SC" w:hAnsi="Noto Sans CJK SC" w:eastAsia="Noto Sans CJK SC"/>
                <w:b/>
                <w:color w:val="9E1B1B"/>
              </w:rPr>
              <w:t>菜单约束：</w:t>
            </w:r>
            <w:r>
              <w:rPr>
                <w:rFonts w:ascii="Noto Sans CJK SC" w:hAnsi="Noto Sans CJK SC" w:eastAsia="Noto Sans CJK SC"/>
                <w:sz w:val="20"/>
              </w:rPr>
              <w:t>本版仅调整供需匹配业务逻辑和大厅页面组织，不新增、不删除一级或二级菜单。供需匹配大厅内部的“需求大厅/供给大厅”仅为页面页签或视图切换，不属于菜单项。</w:t>
            </w:r>
          </w:p>
        </w:tc>
      </w:tr>
    </w:tbl>
    <w:p>
      <w:pPr>
        <w:widowControl/>
        <w:spacing w:after="0"/>
      </w:pPr>
    </w:p>
    <w:p>
      <w:pPr>
        <w:pStyle w:val="Heading2"/>
        <w:widowControl/>
      </w:pPr>
      <w:r>
        <w:t>1.3 核心业务主线</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主线</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业务流程</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主要匹配方式</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需求直接匹配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 → 运输需求 → 发布到需求大厅 → 物流运营商报价/申请承运 → 贸易企业比选/议价 → 确认承运 → 匹配完成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公开竞价或指定议价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完整方案匹配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 → 运输需求 → 多式联运方案求解 → 选择完整方案 → 发布到需求大厅 → 物流运营商整体报价 → 贸易企业比选/议价 → 确认承运 → 匹配完成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公开竞价或指定议价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供给反向对接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物流运营商发布运输供给 → 供给大厅公开展示 → 粮食贸易企业筛选供给 → 选择本企业运输需求或完整方案发起对接 → 双方议价 → 确认承运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指定议价</w:t>
            </w:r>
          </w:p>
        </w:tc>
      </w:tr>
    </w:tbl>
    <w:p>
      <w:pPr>
        <w:widowControl/>
        <w:spacing w:after="0"/>
      </w:pPr>
    </w:p>
    <w:p>
      <w:pPr>
        <w:pStyle w:val="Heading2"/>
        <w:widowControl/>
      </w:pPr>
      <w:r>
        <w:t>1.4 核心设计原则</w:t>
      </w:r>
    </w:p>
    <w:p>
      <w:pPr>
        <w:pStyle w:val="ListBullet"/>
        <w:widowControl/>
        <w:spacing w:after="60"/>
        <w:ind w:left="340" w:hanging="142"/>
      </w:pPr>
      <w:r>
        <w:rPr>
          <w:rFonts w:ascii="Noto Sans CJK SC" w:hAnsi="Noto Sans CJK SC" w:eastAsia="Noto Sans CJK SC"/>
          <w:sz w:val="20"/>
        </w:rPr>
        <w:t>正式运输需求的上游业务来源只保留“交易订单”，不扩展销售订单、采购订单等其他订单类型。</w:t>
      </w:r>
    </w:p>
    <w:p>
      <w:pPr>
        <w:pStyle w:val="ListBullet"/>
        <w:widowControl/>
        <w:spacing w:after="60"/>
        <w:ind w:left="340" w:hanging="142"/>
      </w:pPr>
      <w:r>
        <w:rPr>
          <w:rFonts w:ascii="Noto Sans CJK SC" w:hAnsi="Noto Sans CJK SC" w:eastAsia="Noto Sans CJK SC"/>
          <w:sz w:val="20"/>
        </w:rPr>
        <w:t>多式联运方案只设置一个“求解”页面，不设置“正式求解/方案试算”等二选一入口。系统根据进入路径自动判断是否带入运输需求。</w:t>
      </w:r>
    </w:p>
    <w:p>
      <w:pPr>
        <w:pStyle w:val="ListBullet"/>
        <w:widowControl/>
        <w:spacing w:after="60"/>
        <w:ind w:left="340" w:hanging="142"/>
      </w:pPr>
      <w:r>
        <w:rPr>
          <w:rFonts w:ascii="Noto Sans CJK SC" w:hAnsi="Noto Sans CJK SC" w:eastAsia="Noto Sans CJK SC"/>
          <w:sz w:val="20"/>
        </w:rPr>
        <w:t>供需匹配大厅同时承载需求侧和供给侧信息。需求侧发布对象包括“完整运输需求”和“完整多式联运方案”；供给侧发布对象为“运输供给”。</w:t>
      </w:r>
    </w:p>
    <w:p>
      <w:pPr>
        <w:pStyle w:val="ListBullet"/>
        <w:widowControl/>
        <w:spacing w:after="60"/>
        <w:ind w:left="340" w:hanging="142"/>
      </w:pPr>
      <w:r>
        <w:rPr>
          <w:rFonts w:ascii="Noto Sans CJK SC" w:hAnsi="Noto Sans CJK SC" w:eastAsia="Noto Sans CJK SC"/>
          <w:sz w:val="20"/>
        </w:rPr>
        <w:t>多式联运方案内部区段仅用于说明路径、时效、费用和资源要求，不在供需匹配大厅拆分为区段级发布或区段级报价。</w:t>
      </w:r>
    </w:p>
    <w:p>
      <w:pPr>
        <w:pStyle w:val="ListBullet"/>
        <w:widowControl/>
        <w:spacing w:after="60"/>
        <w:ind w:left="340" w:hanging="142"/>
      </w:pPr>
      <w:r>
        <w:rPr>
          <w:rFonts w:ascii="Noto Sans CJK SC" w:hAnsi="Noto Sans CJK SC" w:eastAsia="Noto Sans CJK SC"/>
          <w:sz w:val="20"/>
        </w:rPr>
        <w:t>匹配支持“公开竞价”和“指定议价”两种方式。公开竞价对符合可见规则的物流运营商开放报价；指定议价仅对发布贸易企业、被指定物流运营商和平台运营方可见。</w:t>
      </w:r>
    </w:p>
    <w:p>
      <w:pPr>
        <w:pStyle w:val="ListBullet"/>
        <w:widowControl/>
        <w:spacing w:after="60"/>
        <w:ind w:left="340" w:hanging="142"/>
      </w:pPr>
      <w:r>
        <w:rPr>
          <w:rFonts w:ascii="Noto Sans CJK SC" w:hAnsi="Noto Sans CJK SC" w:eastAsia="Noto Sans CJK SC"/>
          <w:sz w:val="20"/>
        </w:rPr>
        <w:t>粮食贸易企业可查看全部公开运输供给，并可从供给大厅直接选择某一供给发起定向对接；物流运营商可查看全部公开运输需求/方案，并可主动报价或申请承运。</w:t>
      </w:r>
    </w:p>
    <w:p>
      <w:pPr>
        <w:pStyle w:val="ListBullet"/>
        <w:widowControl/>
        <w:spacing w:after="60"/>
        <w:ind w:left="340" w:hanging="142"/>
      </w:pPr>
      <w:r>
        <w:rPr>
          <w:rFonts w:ascii="Noto Sans CJK SC" w:hAnsi="Noto Sans CJK SC" w:eastAsia="Noto Sans CJK SC"/>
          <w:sz w:val="20"/>
        </w:rPr>
        <w:t>平台运营方可查看全部供需、报价、议价和结果数据，包括定向业务；平台只提供信息撮合、过程留痕和规则支撑，不替代双方确定成交价格。</w:t>
      </w:r>
    </w:p>
    <w:p>
      <w:pPr>
        <w:pStyle w:val="ListBullet"/>
        <w:widowControl/>
        <w:spacing w:after="60"/>
        <w:ind w:left="340" w:hanging="142"/>
      </w:pPr>
      <w:r>
        <w:rPr>
          <w:rFonts w:ascii="Noto Sans CJK SC" w:hAnsi="Noto Sans CJK SC" w:eastAsia="Noto Sans CJK SC"/>
          <w:sz w:val="20"/>
        </w:rPr>
        <w:t>当匹配对象关联运输需求时，公开发布、报价、议价、确认承运、重新匹配、匹配完成等关键动作应同步回写运输需求状态或匹配阶段。</w:t>
      </w:r>
    </w:p>
    <w:p>
      <w:pPr>
        <w:pStyle w:val="Heading1"/>
        <w:widowControl/>
      </w:pPr>
      <w:r>
        <w:t>2 供需管理</w:t>
      </w:r>
    </w:p>
    <w:p>
      <w:pPr>
        <w:widowControl/>
        <w:ind w:firstLine="420"/>
        <w:jc w:val="both"/>
      </w:pPr>
      <w:r>
        <w:t>供需管理负责统一管理运输需求和运输供给，是多式联运方案求解与供需匹配的业务数据入口。运输需求由粮食贸易企业基于交易订单形成；运输供给由物流运营商维护并发布。需求和供给均可进入供需匹配大厅，但在大厅中分别进入“需求大厅”和“供给大厅”进行展示。</w:t>
      </w:r>
    </w:p>
    <w:p>
      <w:pPr>
        <w:pStyle w:val="Heading2"/>
        <w:widowControl/>
      </w:pPr>
      <w:r>
        <w:t>2.1 运输需求管理</w:t>
      </w:r>
    </w:p>
    <w:p>
      <w:pPr>
        <w:pStyle w:val="Heading3"/>
        <w:widowControl/>
      </w:pPr>
      <w:r>
        <w:t>2.1.1 功能描述</w:t>
      </w:r>
    </w:p>
    <w:p>
      <w:pPr>
        <w:widowControl/>
        <w:ind w:firstLine="420"/>
        <w:jc w:val="both"/>
      </w:pPr>
      <w:r>
        <w:t>运输需求管理面向粮食贸易企业实际调运业务，以交易订单为唯一正式业务来源。业务人员从交易订单中选择待运输货物，系统带入订单已有货物和主体信息，用户补充起讫地、运输数量、计划时间、运输要求等字段后形成正式运输需求。运输需求形成后，可直接发布至供需匹配大厅，也可先进入多式联运方案求解，选择完整方案后再发布。</w:t>
      </w:r>
    </w:p>
    <w:p>
      <w:pPr>
        <w:pStyle w:val="Heading3"/>
        <w:widowControl/>
      </w:pPr>
      <w:r>
        <w:t>2.1.2 交易订单带入字段</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rPr>
          <w:tblHeader w:val="true"/>
        </w:trPr>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字段类别</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字段名称</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来源</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来源与标识</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交易订单编号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运输需求唯一上游订单类型。</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来源与标识</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交易订单明细编号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交易订单存在多条货物明细时使用。</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交易主体</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货主/委托方</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默认取订单主体。</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交易主体</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收货方</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系统带入/补充</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优先取订单已有信息。</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粮食品种</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如玉米、稻谷、大豆等。</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货物名称</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与交易订单保持一致。</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等级/规格</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原则上只读。</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订单数量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交易订单原始数量。</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已形成需求数量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系统计算</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统计有效运输需求已占用数量。</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剩余可运输数量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系统计算</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订单数量减去已占用数量。</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联系人</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发货联系人/电话</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系统带入/补充</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用于后续业务联系。</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联系人</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收货联系人/电话</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系统带入/补充</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用于后续业务联系。</w:t>
            </w:r>
          </w:p>
        </w:tc>
      </w:tr>
    </w:tbl>
    <w:p>
      <w:pPr>
        <w:widowControl/>
        <w:spacing w:after="0"/>
      </w:pPr>
    </w:p>
    <w:p>
      <w:pPr>
        <w:pStyle w:val="Heading3"/>
        <w:widowControl/>
      </w:pPr>
      <w:r>
        <w:t>2.1.3 运输需求字段</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rPr>
          <w:tblHeader w:val="true"/>
        </w:trPr>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要求</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基础标识</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运输需求编号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系统生成</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全局唯一，是方案、匹配、合同和任务的关联主键。</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基础标识</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运输需求名称</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自动生成/可修改</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建议“起运地-目的地-货物-日期”。</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来源关联</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交易订单编号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只读。</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粮食品种、货物名称、等级/规格</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交易事实类字段。</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本次运输数量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不得超过交易订单剩余可运输数量。</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计量单位</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如吨。</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起运信息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起运省/市/区县</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支持行政区划选择。</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起运信息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起运节点/详细地址</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支持粮库、仓库、园区、站点、港口等。</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目的信息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目的省/市/区县</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支持行政区划选择。</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目的信息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目的节点/详细地址</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支持仓库、加工厂、站点、港口等。</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计划发运时间</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用于匹配及方案求解。</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要求到达时间</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选填/建议填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用于时效约束。</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意向运输方式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公路、铁路、水运，可多选；不选表示不限定。</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是否允许多式联运</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是/否。</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是否允许中转</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是/否。</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最大中转次数</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条件填写</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允许中转时填写。</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装载要求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散装/集装箱</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作为方案与物流能力匹配依据。</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偏好要求</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成本/时效偏好</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成本优先、时效优先、综合优先。</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价格参考</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期望价格/预算金额</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可选择是否向物流运营商公开。</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业务信息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联系人、联系电话</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本需求业务联系人。</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其他</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备注、附件</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特殊要求说明。</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状态</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运输需求状态</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系统维护</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随方案与匹配过程自动更新。</w:t>
            </w:r>
          </w:p>
        </w:tc>
      </w:tr>
    </w:tbl>
    <w:p>
      <w:pPr>
        <w:widowControl/>
        <w:spacing w:after="0"/>
      </w:pPr>
    </w:p>
    <w:p>
      <w:pPr>
        <w:pStyle w:val="Heading3"/>
        <w:widowControl/>
      </w:pPr>
      <w:r>
        <w:t>2.1.4 发布匹配设置</w:t>
      </w:r>
    </w:p>
    <w:p>
      <w:pPr>
        <w:widowControl/>
        <w:ind w:firstLine="420"/>
        <w:jc w:val="both"/>
      </w:pPr>
      <w:r>
        <w:t>粮食贸易企业对运输需求执行“发布至供需匹配大厅”时，应在发布弹窗中确定匹配方式和可见范围。</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要求</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发布对象</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系统固定</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匹配方式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公开竞价 / 指定议价。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指定物流运营商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条件必填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匹配方式为“指定议价”时选择一家物流运营商。</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响应截止时间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必填/系统默认</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公开竞价达到截止时间后不再接收新报价；指定议价可作为回复时限。</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报价方式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总价 / 单价+计价单位。</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期望价格是否公开</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可控制物流运营商是否能看到预算或期望价。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联系人是否公开</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按平台规则控制公开字段。</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发布说明</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补充运输要求。</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附件</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发布相关资料。</w:t>
            </w:r>
          </w:p>
        </w:tc>
      </w:tr>
    </w:tbl>
    <w:p>
      <w:pPr>
        <w:widowControl/>
        <w:spacing w:after="0"/>
      </w:pPr>
    </w:p>
    <w:p>
      <w:pPr>
        <w:pStyle w:val="ListBullet"/>
        <w:widowControl/>
        <w:spacing w:after="60"/>
        <w:ind w:left="340" w:hanging="142"/>
      </w:pPr>
      <w:r>
        <w:rPr>
          <w:rFonts w:ascii="Noto Sans CJK SC" w:hAnsi="Noto Sans CJK SC" w:eastAsia="Noto Sans CJK SC"/>
          <w:sz w:val="20"/>
        </w:rPr>
        <w:t>公开竞价：运输需求发布后，对全部已认证物流运营商可见；物流运营商可在响应截止时间前报价。</w:t>
      </w:r>
    </w:p>
    <w:p>
      <w:pPr>
        <w:pStyle w:val="ListBullet"/>
        <w:widowControl/>
        <w:spacing w:after="60"/>
        <w:ind w:left="340" w:hanging="142"/>
      </w:pPr>
      <w:r>
        <w:rPr>
          <w:rFonts w:ascii="Noto Sans CJK SC" w:hAnsi="Noto Sans CJK SC" w:eastAsia="Noto Sans CJK SC"/>
          <w:sz w:val="20"/>
        </w:rPr>
        <w:t>指定议价：运输需求仅对指定物流运营商、发布粮食贸易企业和平台运营方可见；其他物流运营商不可见，也不能报价。</w:t>
      </w:r>
    </w:p>
    <w:p>
      <w:pPr>
        <w:pStyle w:val="ListBullet"/>
        <w:widowControl/>
        <w:spacing w:after="60"/>
        <w:ind w:left="340" w:hanging="142"/>
      </w:pPr>
      <w:r>
        <w:rPr>
          <w:rFonts w:ascii="Noto Sans CJK SC" w:hAnsi="Noto Sans CJK SC" w:eastAsia="Noto Sans CJK SC"/>
          <w:sz w:val="20"/>
        </w:rPr>
        <w:t>一条运输需求同一时点原则上只保留一个有效匹配发布。需要由公开竞价改为指定议价，或由指定议价改为公开竞价时，应结束当前匹配后重新发布。</w:t>
      </w:r>
    </w:p>
    <w:p>
      <w:pPr>
        <w:pStyle w:val="Heading3"/>
        <w:widowControl/>
      </w:pPr>
      <w:r>
        <w:t>2.1.5 主要操作</w:t>
      </w:r>
    </w:p>
    <w:p>
      <w:pPr>
        <w:pStyle w:val="ListBullet"/>
        <w:widowControl/>
        <w:spacing w:after="60"/>
        <w:ind w:left="340" w:hanging="142"/>
      </w:pPr>
      <w:r>
        <w:rPr>
          <w:rFonts w:ascii="Noto Sans CJK SC" w:hAnsi="Noto Sans CJK SC" w:eastAsia="Noto Sans CJK SC"/>
          <w:sz w:val="20"/>
        </w:rPr>
        <w:t>保存草稿</w:t>
      </w:r>
    </w:p>
    <w:p>
      <w:pPr>
        <w:pStyle w:val="ListBullet"/>
        <w:widowControl/>
        <w:spacing w:after="60"/>
        <w:ind w:left="340" w:hanging="142"/>
      </w:pPr>
      <w:r>
        <w:rPr>
          <w:rFonts w:ascii="Noto Sans CJK SC" w:hAnsi="Noto Sans CJK SC" w:eastAsia="Noto Sans CJK SC"/>
          <w:sz w:val="20"/>
        </w:rPr>
        <w:t>发布需求</w:t>
      </w:r>
    </w:p>
    <w:p>
      <w:pPr>
        <w:pStyle w:val="ListBullet"/>
        <w:widowControl/>
        <w:spacing w:after="60"/>
        <w:ind w:left="340" w:hanging="142"/>
      </w:pPr>
      <w:r>
        <w:rPr>
          <w:rFonts w:ascii="Noto Sans CJK SC" w:hAnsi="Noto Sans CJK SC" w:eastAsia="Noto Sans CJK SC"/>
          <w:sz w:val="20"/>
        </w:rPr>
        <w:t>发布至供需匹配大厅</w:t>
      </w:r>
    </w:p>
    <w:p>
      <w:pPr>
        <w:pStyle w:val="ListBullet"/>
        <w:widowControl/>
        <w:spacing w:after="60"/>
        <w:ind w:left="340" w:hanging="142"/>
      </w:pPr>
      <w:r>
        <w:rPr>
          <w:rFonts w:ascii="Noto Sans CJK SC" w:hAnsi="Noto Sans CJK SC" w:eastAsia="Noto Sans CJK SC"/>
          <w:sz w:val="20"/>
        </w:rPr>
        <w:t>进入方案求解</w:t>
      </w:r>
    </w:p>
    <w:p>
      <w:pPr>
        <w:pStyle w:val="ListBullet"/>
        <w:widowControl/>
        <w:spacing w:after="60"/>
        <w:ind w:left="340" w:hanging="142"/>
      </w:pPr>
      <w:r>
        <w:rPr>
          <w:rFonts w:ascii="Noto Sans CJK SC" w:hAnsi="Noto Sans CJK SC" w:eastAsia="Noto Sans CJK SC"/>
          <w:sz w:val="20"/>
        </w:rPr>
        <w:t>编辑</w:t>
      </w:r>
    </w:p>
    <w:p>
      <w:pPr>
        <w:pStyle w:val="ListBullet"/>
        <w:widowControl/>
        <w:spacing w:after="60"/>
        <w:ind w:left="340" w:hanging="142"/>
      </w:pPr>
      <w:r>
        <w:rPr>
          <w:rFonts w:ascii="Noto Sans CJK SC" w:hAnsi="Noto Sans CJK SC" w:eastAsia="Noto Sans CJK SC"/>
          <w:sz w:val="20"/>
        </w:rPr>
        <w:t>撤回匹配发布</w:t>
      </w:r>
    </w:p>
    <w:p>
      <w:pPr>
        <w:pStyle w:val="ListBullet"/>
        <w:widowControl/>
        <w:spacing w:after="60"/>
        <w:ind w:left="340" w:hanging="142"/>
      </w:pPr>
      <w:r>
        <w:rPr>
          <w:rFonts w:ascii="Noto Sans CJK SC" w:hAnsi="Noto Sans CJK SC" w:eastAsia="Noto Sans CJK SC"/>
          <w:sz w:val="20"/>
        </w:rPr>
        <w:t>取消运输需求</w:t>
      </w:r>
    </w:p>
    <w:p>
      <w:pPr>
        <w:pStyle w:val="ListBullet"/>
        <w:widowControl/>
        <w:spacing w:after="60"/>
        <w:ind w:left="340" w:hanging="142"/>
      </w:pPr>
      <w:r>
        <w:rPr>
          <w:rFonts w:ascii="Noto Sans CJK SC" w:hAnsi="Noto Sans CJK SC" w:eastAsia="Noto Sans CJK SC"/>
          <w:sz w:val="20"/>
        </w:rPr>
        <w:t>查看详情及匹配/议价记录。</w:t>
      </w:r>
    </w:p>
    <w:p>
      <w:pPr>
        <w:pStyle w:val="Heading3"/>
        <w:widowControl/>
      </w:pPr>
      <w:r>
        <w:t>2.1.6 角色</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角色</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权限与职责</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创建、编辑、发布和取消本企业运输需求；选择公开竞价或指定议价；查看本企业需求收到的报价、还价和承运确认结果。</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不创建运输需求；可在需求大厅查看全部公开需求，以及指定给本企业的定向需求；对指定给其他运营商的需求不可见。</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平台运营方</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查看全部运输需求，包括公开需求和定向需求；维护发布规则和异常数据。</w:t>
            </w:r>
          </w:p>
        </w:tc>
      </w:tr>
    </w:tbl>
    <w:p>
      <w:pPr>
        <w:widowControl/>
        <w:spacing w:after="0"/>
      </w:pPr>
    </w:p>
    <w:p>
      <w:pPr>
        <w:pStyle w:val="Heading3"/>
        <w:widowControl/>
      </w:pPr>
      <w:r>
        <w:t>2.1.7 功能目标</w:t>
      </w:r>
    </w:p>
    <w:p>
      <w:pPr>
        <w:widowControl/>
        <w:ind w:firstLine="420"/>
        <w:jc w:val="both"/>
      </w:pPr>
      <w:r>
        <w:t>将交易订单转化为可用于方案求解和市场化匹配的标准运输需求，并允许贸易企业自主选择公开竞价或指定议价，提高运输资源发现和价格形成效率。</w:t>
      </w:r>
    </w:p>
    <w:p>
      <w:pPr>
        <w:pStyle w:val="Heading2"/>
        <w:widowControl/>
      </w:pPr>
      <w:r>
        <w:t>2.2 运输供给管理</w:t>
      </w:r>
    </w:p>
    <w:p>
      <w:pPr>
        <w:pStyle w:val="Heading3"/>
        <w:widowControl/>
      </w:pPr>
      <w:r>
        <w:t>2.2.1 功能描述</w:t>
      </w:r>
    </w:p>
    <w:p>
      <w:pPr>
        <w:widowControl/>
        <w:ind w:firstLine="420"/>
        <w:jc w:val="both"/>
      </w:pPr>
      <w:r>
        <w:t>运输供给管理面向物流运营商，用于维护和发布可对外提供的运输服务能力。已发布且有效的运输供给同步展示在供需匹配大厅“供给大厅”，所有已认证用户均可查看公开字段。粮食贸易企业可筛选供给并选择某条供给发起定向匹配对接。</w:t>
      </w:r>
    </w:p>
    <w:p>
      <w:pPr>
        <w:pStyle w:val="Heading3"/>
        <w:widowControl/>
      </w:pPr>
      <w:r>
        <w:t>2.2.2 运输供给字段</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rPr>
          <w:tblHeader w:val="true"/>
        </w:trPr>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要求</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基础信息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供给编号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系统生成</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唯一标识。</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基础信息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供给名称</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服务标题。</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主体信息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物流运营商名称</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系统带入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当前登录主体。</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主体信息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联系人、联系电话</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可按规则脱敏展示。</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运输方式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公路、铁路、水运、多式联运综合服务。</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起点/终点</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主要服务线路。</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服务区域</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起运区域和到达区域。</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途经节点</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增强匹配准确度。</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运力信息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可承运数量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当前有效期内可承运能力。</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运力信息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最小/最大承运量</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服务门槛。</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资源信息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资源类型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按方式填写</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车辆、班列、船舶、箱源等。</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货物条件</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适用粮食品种</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为空表示无特殊限制。</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服务时间</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可服务开始/结束时间</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有效时间窗口。</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时效信息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参考运输时长</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作为贸易企业筛选依据。</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参考价格</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大厅参考价，不等于最终成交价。</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计价单位</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条件必填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元/吨、元/车、元/箱等。</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能力标签</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特色服务能力</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散改集、门到门、港前短驳、综合联运等。</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有效期</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有效开始/结束时间</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控制供给是否展示。</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状态</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草稿/已发布/暂停/已失效</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系统维护</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仅“已发布且有效”进入供给大厅。</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其他</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服务说明、附件</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补充说明。</w:t>
            </w:r>
          </w:p>
        </w:tc>
      </w:tr>
    </w:tbl>
    <w:p>
      <w:pPr>
        <w:widowControl/>
        <w:spacing w:after="0"/>
      </w:pPr>
    </w:p>
    <w:p>
      <w:pPr>
        <w:pStyle w:val="Heading3"/>
        <w:widowControl/>
      </w:pPr>
      <w:r>
        <w:t>2.2.3 供给发布与对接规则</w:t>
      </w:r>
    </w:p>
    <w:p>
      <w:pPr>
        <w:pStyle w:val="ListBullet"/>
        <w:widowControl/>
        <w:spacing w:after="60"/>
        <w:ind w:left="340" w:hanging="142"/>
      </w:pPr>
      <w:r>
        <w:rPr>
          <w:rFonts w:ascii="Noto Sans CJK SC" w:hAnsi="Noto Sans CJK SC" w:eastAsia="Noto Sans CJK SC"/>
          <w:sz w:val="20"/>
        </w:rPr>
        <w:t>物流运营商发布供给后，供给信息自动进入供需匹配大厅“供给大厅”。</w:t>
      </w:r>
    </w:p>
    <w:p>
      <w:pPr>
        <w:pStyle w:val="ListBullet"/>
        <w:widowControl/>
        <w:spacing w:after="60"/>
        <w:ind w:left="340" w:hanging="142"/>
      </w:pPr>
      <w:r>
        <w:rPr>
          <w:rFonts w:ascii="Noto Sans CJK SC" w:hAnsi="Noto Sans CJK SC" w:eastAsia="Noto Sans CJK SC"/>
          <w:sz w:val="20"/>
        </w:rPr>
        <w:t>粮食贸易企业可查看全部有效公开供给，并按照运输方式、线路、区域、时间、参考价格和物流运营商等条件筛选。</w:t>
      </w:r>
    </w:p>
    <w:p>
      <w:pPr>
        <w:pStyle w:val="ListBullet"/>
        <w:widowControl/>
        <w:spacing w:after="60"/>
        <w:ind w:left="340" w:hanging="142"/>
      </w:pPr>
      <w:r>
        <w:rPr>
          <w:rFonts w:ascii="Noto Sans CJK SC" w:hAnsi="Noto Sans CJK SC" w:eastAsia="Noto Sans CJK SC"/>
          <w:sz w:val="20"/>
        </w:rPr>
        <w:t>贸易企业点击“申请对接/发起匹配”时，需选择本企业一条有效运输需求或一套完整多式联运方案作为本次对接业务对象。</w:t>
      </w:r>
    </w:p>
    <w:p>
      <w:pPr>
        <w:pStyle w:val="ListBullet"/>
        <w:widowControl/>
        <w:spacing w:after="60"/>
        <w:ind w:left="340" w:hanging="142"/>
      </w:pPr>
      <w:r>
        <w:rPr>
          <w:rFonts w:ascii="Noto Sans CJK SC" w:hAnsi="Noto Sans CJK SC" w:eastAsia="Noto Sans CJK SC"/>
          <w:sz w:val="20"/>
        </w:rPr>
        <w:t>由供给大厅发起的对接默认为“指定议价”，仅本次贸易企业、供给所属物流运营商和平台运营方可查看议价过程。</w:t>
      </w:r>
    </w:p>
    <w:p>
      <w:pPr>
        <w:pStyle w:val="ListBullet"/>
        <w:widowControl/>
        <w:spacing w:after="60"/>
        <w:ind w:left="340" w:hanging="142"/>
      </w:pPr>
      <w:r>
        <w:rPr>
          <w:rFonts w:ascii="Noto Sans CJK SC" w:hAnsi="Noto Sans CJK SC" w:eastAsia="Noto Sans CJK SC"/>
          <w:sz w:val="20"/>
        </w:rPr>
        <w:t>供给参考价格仅作为贸易企业筛选依据，进入匹配后双方可重新报价、还价并形成最终确认价格。</w:t>
      </w:r>
    </w:p>
    <w:p>
      <w:pPr>
        <w:pStyle w:val="Heading3"/>
        <w:widowControl/>
      </w:pPr>
      <w:r>
        <w:t>2.2.4 角色</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角色</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权限与职责</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查看全部公开运输供给；筛选适合供给并选择本企业运输需求或完整方案发起定向对接。</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新增、编辑、发布、暂停和失效本企业供给；查看本企业供给收到的对接申请。</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平台运营方</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查看全部运输供给及其对接情况，维护公共线路、字典和异常数据。</w:t>
            </w:r>
          </w:p>
        </w:tc>
      </w:tr>
    </w:tbl>
    <w:p>
      <w:pPr>
        <w:widowControl/>
        <w:spacing w:after="0"/>
      </w:pPr>
    </w:p>
    <w:p>
      <w:pPr>
        <w:pStyle w:val="Heading3"/>
        <w:widowControl/>
      </w:pPr>
      <w:r>
        <w:t>2.2.5 功能目标</w:t>
      </w:r>
    </w:p>
    <w:p>
      <w:pPr>
        <w:widowControl/>
        <w:ind w:firstLine="420"/>
        <w:jc w:val="both"/>
      </w:pPr>
      <w:r>
        <w:t>形成可公开检索的运输服务市场，使贸易企业不仅能够“发布需求等物流商来报价”，也能够主动“找供给、选物流商、发起议价”，实现双向撮合。</w:t>
      </w:r>
    </w:p>
    <w:p>
      <w:pPr>
        <w:pStyle w:val="Heading1"/>
        <w:widowControl/>
      </w:pPr>
      <w:r>
        <w:t>3 多式联运方案</w:t>
      </w:r>
    </w:p>
    <w:p>
      <w:pPr>
        <w:widowControl/>
        <w:ind w:firstLine="420"/>
        <w:jc w:val="both"/>
      </w:pPr>
      <w:r>
        <w:t>多式联运方案模块用于解决“这批粮食应该怎么运”的问题，一级菜单保持“多式联运方案”，下设“求解”和“线路价格”两个二级菜单。方案求解页面维持单入口设计，方案内部可展示多个运输区段，但供需匹配仍以完整方案为对象。</w:t>
      </w:r>
    </w:p>
    <w:p>
      <w:pPr>
        <w:pStyle w:val="Heading2"/>
        <w:widowControl/>
      </w:pPr>
      <w:r>
        <w:t>3.1 求解</w:t>
      </w:r>
    </w:p>
    <w:p>
      <w:pPr>
        <w:pStyle w:val="Heading3"/>
        <w:widowControl/>
      </w:pPr>
      <w:r>
        <w:t>3.1.1 功能描述</w:t>
      </w:r>
    </w:p>
    <w:p>
      <w:pPr>
        <w:widowControl/>
        <w:ind w:firstLine="420"/>
        <w:jc w:val="both"/>
      </w:pPr>
      <w:r>
        <w:t>“求解”仅设置一个统一页面。系统根据进入路径自动决定是否带入运输需求信息：从运输需求进入时自动带入需求编号、交易订单、货物、数量、起讫地、计划时间和运输要求；直接从菜单进入时页面展示空白求解表单，由用户手工填写后点击“开始求解”。页面不出现“正式方案/试算方案”二选一。</w:t>
      </w:r>
    </w:p>
    <w:p>
      <w:pPr>
        <w:pStyle w:val="Heading3"/>
        <w:widowControl/>
      </w:pPr>
      <w:r>
        <w:t>3.1.2 求解输入字段</w:t>
      </w:r>
    </w:p>
    <w:tbl>
      <w:tblPr>
        <w:tblStyle w:val="TableGrid"/>
        <w:tblW w:type="auto" w:w="0"/>
        <w:jc w:val="center"/>
        <w:tblLayout w:type="autofit"/>
        <w:tblLook w:firstColumn="1" w:firstRow="1" w:lastColumn="0" w:lastRow="0" w:noHBand="0" w:noVBand="1" w:val="04A0"/>
      </w:tblPr>
      <w:tblGrid>
        <w:gridCol w:w="1983"/>
        <w:gridCol w:w="1983"/>
        <w:gridCol w:w="1983"/>
        <w:gridCol w:w="1983"/>
        <w:gridCol w:w="1983"/>
      </w:tblGrid>
      <w:tr>
        <w:trPr>
          <w:tblHeader w:val="true"/>
        </w:trPr>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从运输需求进入</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直接进入</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业务关联</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运输需求编号</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自动带入/只读</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为空</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存在时用于状态回写。</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业务关联</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交易订单编号</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自动带入/只读</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为空</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用于业务穿透。</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货物信息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粮食品种</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方案适配依据。</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货物信息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货物名称</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可与粮食品种一致。</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数量信息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运输数量、计量单位</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用于容量、成本和时效测算。</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起讫信息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起运地/起运节点</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支持节点或地图选点。</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起讫信息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目的地/目的节点</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支持节点或地图选点。</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时间信息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计划发运时间</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方案排程起点。</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时间信息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要求/期望到达时间</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自动带入/补充</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时效约束。</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运输约束</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允许运输方式</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带入并可收窄</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公路、铁路、水运。</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运输约束</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是否允许中转</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带入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控制是否生成联运组合。</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运输约束</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最大中转次数</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条件填写</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条件填写</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限制方案复杂度。</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装载条件</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散装/集装箱、箱型</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带入/补充</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适配节点和运输资源。</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优化偏好</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优选策略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可设置</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可设置</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成本优先、时效优先、综合优先。</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指定条件</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指定港口/铁路站点/线路</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限定求解范围。</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其他</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补充条件</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仅作用于本次求解。</w:t>
            </w:r>
          </w:p>
        </w:tc>
      </w:tr>
    </w:tbl>
    <w:p>
      <w:pPr>
        <w:widowControl/>
        <w:spacing w:after="0"/>
      </w:pPr>
    </w:p>
    <w:p>
      <w:pPr>
        <w:pStyle w:val="Heading3"/>
        <w:widowControl/>
      </w:pPr>
      <w:r>
        <w:t>3.1.3 候选方案结果</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方案标识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方案编号、方案名称、方案版本</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每次重算形成版本。</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业务关联</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运输需求编号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从运输需求进入时关联。</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方案类型</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运输方式组合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如公路直运、公铁联运、公水联运、公铁水联运。</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总体路径</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起点、终点、主要中转节点</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完整运输路径。</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运输区段</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区段数量、顺序、起讫点、运输方式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仅作为方案内部明细。</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规模</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总里程</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全程预计里程。</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预计总时长、预计到达时间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方案比选指标。</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费用</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预计总费用</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测算价，不等于最终成交价。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衔接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中转次数、节点等待时间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反映方案复杂度。</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评价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成本水平、时效水平、资源可获得性、风险提示</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辅助决策。</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推荐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推荐标识、推荐依据</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仅供参考。</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状态</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候选、已选择、已发布、已失效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系统维护。</w:t>
            </w:r>
          </w:p>
        </w:tc>
      </w:tr>
    </w:tbl>
    <w:p>
      <w:pPr>
        <w:widowControl/>
        <w:spacing w:after="0"/>
      </w:pPr>
    </w:p>
    <w:p>
      <w:pPr>
        <w:pStyle w:val="Heading3"/>
        <w:widowControl/>
      </w:pPr>
      <w:r>
        <w:t>3.1.4 方案选择与发布</w:t>
      </w:r>
    </w:p>
    <w:p>
      <w:pPr>
        <w:pStyle w:val="ListBullet"/>
        <w:widowControl/>
        <w:spacing w:after="60"/>
        <w:ind w:left="340" w:hanging="142"/>
      </w:pPr>
      <w:r>
        <w:rPr>
          <w:rFonts w:ascii="Noto Sans CJK SC" w:hAnsi="Noto Sans CJK SC" w:eastAsia="Noto Sans CJK SC"/>
          <w:sz w:val="20"/>
        </w:rPr>
        <w:t>用户从候选方案中选择一套完整方案作为后续匹配对象。</w:t>
      </w:r>
    </w:p>
    <w:p>
      <w:pPr>
        <w:pStyle w:val="ListBullet"/>
        <w:widowControl/>
        <w:spacing w:after="60"/>
        <w:ind w:left="340" w:hanging="142"/>
      </w:pPr>
      <w:r>
        <w:rPr>
          <w:rFonts w:ascii="Noto Sans CJK SC" w:hAnsi="Noto Sans CJK SC" w:eastAsia="Noto Sans CJK SC"/>
          <w:sz w:val="20"/>
        </w:rPr>
        <w:t>若方案来源于运输需求，选择完整方案后可继续“发布至供需匹配大厅”；发布时选择“公开竞价”或“指定议价”。</w:t>
      </w:r>
    </w:p>
    <w:p>
      <w:pPr>
        <w:pStyle w:val="ListBullet"/>
        <w:widowControl/>
        <w:spacing w:after="60"/>
        <w:ind w:left="340" w:hanging="142"/>
      </w:pPr>
      <w:r>
        <w:rPr>
          <w:rFonts w:ascii="Noto Sans CJK SC" w:hAnsi="Noto Sans CJK SC" w:eastAsia="Noto Sans CJK SC"/>
          <w:sz w:val="20"/>
        </w:rPr>
        <w:t>公开竞价：完整方案对全部已认证物流运营商公开，物流运营商以整套方案为对象提交整体报价。</w:t>
      </w:r>
    </w:p>
    <w:p>
      <w:pPr>
        <w:pStyle w:val="ListBullet"/>
        <w:widowControl/>
        <w:spacing w:after="60"/>
        <w:ind w:left="340" w:hanging="142"/>
      </w:pPr>
      <w:r>
        <w:rPr>
          <w:rFonts w:ascii="Noto Sans CJK SC" w:hAnsi="Noto Sans CJK SC" w:eastAsia="Noto Sans CJK SC"/>
          <w:sz w:val="20"/>
        </w:rPr>
        <w:t>指定议价：发布时指定一家物流运营商，完整方案仅对指定运营商、发布贸易企业和平台运营方可见。</w:t>
      </w:r>
    </w:p>
    <w:p>
      <w:pPr>
        <w:pStyle w:val="ListBullet"/>
        <w:widowControl/>
        <w:spacing w:after="60"/>
        <w:ind w:left="340" w:hanging="142"/>
      </w:pPr>
      <w:r>
        <w:rPr>
          <w:rFonts w:ascii="Noto Sans CJK SC" w:hAnsi="Noto Sans CJK SC" w:eastAsia="Noto Sans CJK SC"/>
          <w:sz w:val="20"/>
        </w:rPr>
        <w:t>方案区段仅作为完整方案详情展示，物流运营商不得只对其中某个区段报价或申请承运。</w:t>
      </w:r>
    </w:p>
    <w:p>
      <w:pPr>
        <w:pStyle w:val="ListBullet"/>
        <w:widowControl/>
        <w:spacing w:after="60"/>
        <w:ind w:left="340" w:hanging="142"/>
      </w:pPr>
      <w:r>
        <w:rPr>
          <w:rFonts w:ascii="Noto Sans CJK SC" w:hAnsi="Noto Sans CJK SC" w:eastAsia="Noto Sans CJK SC"/>
          <w:sz w:val="20"/>
        </w:rPr>
        <w:t>直接从菜单进入并手工求解的方案可用于查询比选；如需进入正式匹配，应由具备发布权限的贸易企业明确发布主体并选择匹配方式。</w:t>
      </w:r>
    </w:p>
    <w:p>
      <w:pPr>
        <w:pStyle w:val="Heading3"/>
        <w:widowControl/>
      </w:pPr>
      <w:r>
        <w:t>3.1.5 角色</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角色</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权限与职责</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从本企业运输需求进入求解或直接输入条件求解；选择完整方案并发布到供需匹配大厅。</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可使用统一求解能力进行线路、时效和成本查询；在需求大厅响应他人发布的完整方案。</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平台运营方</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可使用方案求解进行业务支持和模型验证；维护线路价格和求解基础参数。</w:t>
            </w:r>
          </w:p>
        </w:tc>
      </w:tr>
    </w:tbl>
    <w:p>
      <w:pPr>
        <w:widowControl/>
        <w:spacing w:after="0"/>
      </w:pPr>
    </w:p>
    <w:p>
      <w:pPr>
        <w:pStyle w:val="Heading2"/>
        <w:widowControl/>
      </w:pPr>
      <w:r>
        <w:t>3.2 线路价格</w:t>
      </w:r>
    </w:p>
    <w:p>
      <w:pPr>
        <w:pStyle w:val="Heading3"/>
        <w:widowControl/>
      </w:pPr>
      <w:r>
        <w:t>3.2.1 功能描述</w:t>
      </w:r>
    </w:p>
    <w:p>
      <w:pPr>
        <w:widowControl/>
        <w:ind w:firstLine="420"/>
        <w:jc w:val="both"/>
      </w:pPr>
      <w:r>
        <w:t>线路价格用于统一维护公路、铁路、水运及主要联运衔接线路和基础价格，作为方案求解、费用测算和趋势分析的数据基础。线路价格为参考基础价格，不等于供需匹配中的物流运营商报价和最终成交价。</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线路标识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线路编号、线路名称</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唯一识别线路。</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线路属性</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运输方式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公路、铁路、水运。</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起讫信息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起点、终点</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线路起讫节点。</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路径信息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途经节点</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主要节点。</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距离信息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运输里程</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方案测算基础。</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货物条件</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适用货物/粮食品种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可配置。</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计价方式、计价单位、基础价格</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标准参考价。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有效期</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有效开始/结束时间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价格历史管理。</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来源信息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数据来源、维护单位、更新时间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可追溯。</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状态</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启用/停用</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控制是否参与方案求解。</w:t>
            </w:r>
          </w:p>
        </w:tc>
      </w:tr>
    </w:tbl>
    <w:p>
      <w:pPr>
        <w:widowControl/>
        <w:spacing w:after="0"/>
      </w:pPr>
    </w:p>
    <w:p>
      <w:pPr>
        <w:pStyle w:val="Heading3"/>
        <w:widowControl/>
      </w:pPr>
      <w:r>
        <w:t>3.2.2 角色</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角色</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权限与职责</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查看线路及参考价格。</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查看公共线路及参考价格，不直接修改公共基础价格。</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平台运营方</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维护线路、基础价格、有效期、来源及历史记录。</w:t>
            </w:r>
          </w:p>
        </w:tc>
      </w:tr>
    </w:tbl>
    <w:p>
      <w:pPr>
        <w:widowControl/>
        <w:spacing w:after="0"/>
      </w:pPr>
    </w:p>
    <w:p>
      <w:pPr>
        <w:pStyle w:val="Heading1"/>
        <w:widowControl/>
      </w:pPr>
      <w:r>
        <w:t>4 供需匹配大厅</w:t>
      </w:r>
    </w:p>
    <w:p>
      <w:pPr>
        <w:pStyle w:val="Heading2"/>
        <w:widowControl/>
      </w:pPr>
      <w:r>
        <w:t>4.1 功能描述</w:t>
      </w:r>
    </w:p>
    <w:p>
      <w:pPr>
        <w:widowControl/>
        <w:ind w:firstLine="420"/>
        <w:jc w:val="both"/>
      </w:pPr>
      <w:r>
        <w:t>供需匹配大厅是平台统一的运输供需市场，不新增二级菜单。页面内部采用“需求大厅 / 供给大厅”页签或视图切换组织信息：需求大厅展示粮食贸易企业公开发布的运输需求和完整多式联运方案；供给大厅展示物流运营商公开发布的运输供给。页面布局可采用筛选区+卡片/列表区+详情抽屉/详情页的形式，使用户可以快速浏览供需信息并发起对接。</w:t>
      </w:r>
    </w:p>
    <w:p>
      <w:pPr>
        <w:widowControl/>
        <w:ind w:firstLine="420"/>
        <w:jc w:val="both"/>
      </w:pPr>
      <w:r>
        <w:t>大厅不仅承担信息展示，还承担报价、竞价、议价、承运确认和全过程留痕。参考竞价业务的处理方式，系统同时支持“公开竞价”和“指定议价”：公开竞价由多个物流运营商分别报价，粮食贸易企业查看报价后进行比选；指定议价由贸易企业指定一家物流运营商，双方围绕价格和服务条件进行定向协商。</w:t>
      </w:r>
    </w:p>
    <w:tbl>
      <w:tblPr>
        <w:tblStyle w:val="TableGrid"/>
        <w:tblW w:type="auto" w:w="0"/>
        <w:jc w:val="center"/>
        <w:tblLook w:firstColumn="1" w:firstRow="1" w:lastColumn="0" w:lastRow="0" w:noHBand="0" w:noVBand="1" w:val="04A0"/>
      </w:tblPr>
      <w:tblGrid>
        <w:gridCol w:w="9915"/>
      </w:tblGrid>
      <w:tr>
        <w:tc>
          <w:tcPr>
            <w:tcW w:type="dxa" w:w="9915"/>
            <w:shd w:fill="FCECEC"/>
            <w:tcMar>
              <w:top w:w="120" w:type="dxa"/>
              <w:start w:w="130" w:type="dxa"/>
              <w:bottom w:w="120" w:type="dxa"/>
              <w:end w:w="130" w:type="dxa"/>
            </w:tcMar>
          </w:tcPr>
          <w:p>
            <w:r>
              <w:rPr>
                <w:rFonts w:ascii="Noto Sans CJK SC" w:hAnsi="Noto Sans CJK SC" w:eastAsia="Noto Sans CJK SC"/>
                <w:b/>
                <w:color w:val="9E1B1B"/>
              </w:rPr>
              <w:t>关键可见性规则：</w:t>
            </w:r>
            <w:r>
              <w:rPr>
                <w:rFonts w:ascii="Noto Sans CJK SC" w:hAnsi="Noto Sans CJK SC" w:eastAsia="Noto Sans CJK SC"/>
                <w:sz w:val="20"/>
              </w:rPr>
              <w:t>公开需求/方案对全部已认证物流运营商可见；若贸易企业选择“指定议价”，则该业务仅对被指定物流运营商、发布贸易企业和平台运营方可见，其他物流运营商不可见。平台运营方始终可查看全部公开和定向供需业务。</w:t>
            </w:r>
          </w:p>
        </w:tc>
      </w:tr>
    </w:tbl>
    <w:p>
      <w:pPr>
        <w:widowControl/>
        <w:spacing w:after="0"/>
      </w:pPr>
    </w:p>
    <w:p>
      <w:pPr>
        <w:pStyle w:val="Heading2"/>
        <w:widowControl/>
      </w:pPr>
      <w:r>
        <w:t>4.2 页面组织与布局</w:t>
      </w:r>
    </w:p>
    <w:p>
      <w:pPr>
        <w:pStyle w:val="Heading3"/>
        <w:widowControl/>
      </w:pPr>
      <w:r>
        <w:t>4.2.1 页面页签</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页面页签</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主要展示对象</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主要使用场景</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需求大厅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运输需求、完整多式联运方案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物流运营商找需求、报价/申请承运；贸易企业查看市场需求；平台运营查看全量需求侧信息。</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运输供给</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粮食贸易企业找运力、找物流商并发起定向对接；物流运营商查看市场供给；平台运营查看全量供给侧信息。</w:t>
            </w:r>
          </w:p>
        </w:tc>
      </w:tr>
    </w:tbl>
    <w:p>
      <w:pPr>
        <w:widowControl/>
        <w:spacing w:after="0"/>
      </w:pPr>
    </w:p>
    <w:p>
      <w:pPr>
        <w:widowControl/>
        <w:ind w:firstLine="420"/>
        <w:jc w:val="both"/>
      </w:pPr>
      <w:r>
        <w:t>“需求大厅/供给大厅”仅为供需匹配大厅页面内部页签，不新增菜单。页面顶部可设置发布类型、运输方式、粮食品种、起运地、目的地、日期、价格区间、物流运营商等筛选条件，列表区域可采用双列卡片或表格模式展示。</w:t>
      </w:r>
    </w:p>
    <w:p>
      <w:pPr>
        <w:pStyle w:val="Heading3"/>
        <w:widowControl/>
      </w:pPr>
      <w:r>
        <w:t>4.2.2 卡片/列表公共字段</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需求大厅字段</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供给大厅字段</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标识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匹配发布编号、运输需求编号/方案编号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供给编号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标题</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需求标题/方案标题</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供给名称</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主体</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发布粮食贸易企业</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货物</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粮食品种、运输数量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适用粮食品种、可承运数量</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起运地、目的地；方案可展示路径摘要</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服务起点、终点、服务区域</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运输方式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意向运输方式或完整方案方式组合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供给运输方式</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计划发运时间、要求到达时间、响应截止时间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可服务时间、供给有效期</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期望价格/方案预计费用（按公开规则展示）</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参考价格</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匹配方式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公开竞价/指定议价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供给侧发起对接默认为指定议价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状态</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待报价/竞价中/议价中/待确认/已成交/已关闭</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已发布/暂停/已失效</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操作</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查看详情、报价/申请承运、查看我的报价等</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查看详情、申请对接/发起匹配等</w:t>
            </w:r>
          </w:p>
        </w:tc>
      </w:tr>
    </w:tbl>
    <w:p>
      <w:pPr>
        <w:widowControl/>
        <w:spacing w:after="0"/>
      </w:pPr>
    </w:p>
    <w:p>
      <w:pPr>
        <w:pStyle w:val="Heading2"/>
        <w:widowControl/>
      </w:pPr>
      <w:r>
        <w:t>4.3 需求大厅</w:t>
      </w:r>
    </w:p>
    <w:p>
      <w:pPr>
        <w:pStyle w:val="Heading3"/>
        <w:widowControl/>
      </w:pPr>
      <w:r>
        <w:t>4.3.1 发布对象</w:t>
      </w:r>
    </w:p>
    <w:p>
      <w:pPr>
        <w:widowControl/>
        <w:ind w:firstLine="420"/>
        <w:jc w:val="both"/>
      </w:pPr>
      <w:r>
        <w:t>需求大厅承载两种完整业务对象：运输需求和完整多式联运方案。运输需求可直接从“运输需求管理”发布；完整多式联运方案从“多式联运方案-求解”选择后发布。两种对象均不得拆成单个运输区段发布。</w:t>
      </w:r>
    </w:p>
    <w:p>
      <w:pPr>
        <w:pStyle w:val="Heading3"/>
        <w:widowControl/>
      </w:pPr>
      <w:r>
        <w:t>4.3.2 公开竞价模式</w:t>
      </w:r>
    </w:p>
    <w:p>
      <w:pPr>
        <w:widowControl/>
        <w:ind w:firstLine="420"/>
        <w:jc w:val="both"/>
      </w:pPr>
      <w:r>
        <w:t>公开竞价适用于贸易企业希望通过市场化报价比较运输成本和服务能力的场景。发布后，符合可见条件的物流运营商可在响应截止时间前提交报价。贸易企业可查看所有有效报价，并根据价格、时效、运力、资源、服务能力等因素开展比选。</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rPr>
          <w:tblHeader w:val="true"/>
        </w:trPr>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环节</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操作主体</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主要动作</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状态</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发布运输需求或完整方案，匹配方式选择“公开竞价”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待报价/竞价中</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提交整体报价、可承运数量、服务时间、资源能力和报价说明</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已报价</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比选</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查看全部有效报价并筛选意向物流运营商</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竞价中</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议价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粮食贸易企业/物流运营商</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围绕某一报价发起还价、接受、再次报价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议价中</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成交确认</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确认承运物流运营商及最终价格</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待确认→已成交</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结束</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系统/粮食贸易企业</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竞价截止未成交或主动关闭</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待重新匹配/已关闭</w:t>
            </w:r>
          </w:p>
        </w:tc>
      </w:tr>
    </w:tbl>
    <w:p>
      <w:pPr>
        <w:widowControl/>
        <w:spacing w:after="0"/>
      </w:pPr>
    </w:p>
    <w:p>
      <w:pPr>
        <w:pStyle w:val="Heading3"/>
        <w:widowControl/>
      </w:pPr>
      <w:r>
        <w:t>4.3.3 指定议价模式</w:t>
      </w:r>
    </w:p>
    <w:p>
      <w:pPr>
        <w:widowControl/>
        <w:ind w:firstLine="420"/>
        <w:jc w:val="both"/>
      </w:pPr>
      <w:r>
        <w:t>指定议价适用于贸易企业已经明确意向物流运营商，或希望与某一物流商定向商讨价格的场景。发布时指定一家物流运营商，系统生成定向匹配记录。该业务不进入其他物流运营商的公开需求列表。</w:t>
      </w:r>
    </w:p>
    <w:p>
      <w:pPr>
        <w:pStyle w:val="ListBullet"/>
        <w:widowControl/>
        <w:spacing w:after="60"/>
        <w:ind w:left="340" w:hanging="142"/>
      </w:pPr>
      <w:r>
        <w:rPr>
          <w:rFonts w:ascii="Noto Sans CJK SC" w:hAnsi="Noto Sans CJK SC" w:eastAsia="Noto Sans CJK SC"/>
          <w:sz w:val="20"/>
        </w:rPr>
        <w:t>被指定物流运营商可查看需求/方案完整信息并提交初始报价。</w:t>
      </w:r>
    </w:p>
    <w:p>
      <w:pPr>
        <w:pStyle w:val="ListBullet"/>
        <w:widowControl/>
        <w:spacing w:after="60"/>
        <w:ind w:left="340" w:hanging="142"/>
      </w:pPr>
      <w:r>
        <w:rPr>
          <w:rFonts w:ascii="Noto Sans CJK SC" w:hAnsi="Noto Sans CJK SC" w:eastAsia="Noto Sans CJK SC"/>
          <w:sz w:val="20"/>
        </w:rPr>
        <w:t>粮食贸易企业可以接受报价、发起还价或补充服务条件。</w:t>
      </w:r>
    </w:p>
    <w:p>
      <w:pPr>
        <w:pStyle w:val="ListBullet"/>
        <w:widowControl/>
        <w:spacing w:after="60"/>
        <w:ind w:left="340" w:hanging="142"/>
      </w:pPr>
      <w:r>
        <w:rPr>
          <w:rFonts w:ascii="Noto Sans CJK SC" w:hAnsi="Noto Sans CJK SC" w:eastAsia="Noto Sans CJK SC"/>
          <w:sz w:val="20"/>
        </w:rPr>
        <w:t>物流运营商可接受贸易企业还价或再次报价，形成多轮价格商讨。</w:t>
      </w:r>
    </w:p>
    <w:p>
      <w:pPr>
        <w:pStyle w:val="ListBullet"/>
        <w:widowControl/>
        <w:spacing w:after="60"/>
        <w:ind w:left="340" w:hanging="142"/>
      </w:pPr>
      <w:r>
        <w:rPr>
          <w:rFonts w:ascii="Noto Sans CJK SC" w:hAnsi="Noto Sans CJK SC" w:eastAsia="Noto Sans CJK SC"/>
          <w:sz w:val="20"/>
        </w:rPr>
        <w:t>双方达成一致后由粮食贸易企业执行承运确认；未达成一致可关闭本次定向匹配，再改为公开竞价或重新指定其他物流运营商。</w:t>
      </w:r>
    </w:p>
    <w:p>
      <w:pPr>
        <w:pStyle w:val="Heading3"/>
        <w:widowControl/>
      </w:pPr>
      <w:r>
        <w:t>4.3.4 物流运营商可见范围</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业务类型</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物流运营商可见范围</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公开运输需求</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全部已认证物流运营商可见。</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公开完整多式联运方案</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全部已认证物流运营商可见。</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指定给本企业的运输需求/方案</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仅本企业可见并可报价。</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指定给其他物流运营商的运输需求/方案</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本企业不可见。</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已结束/已撤回业务</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按历史查询权限查看，不再接受报价。</w:t>
            </w:r>
          </w:p>
        </w:tc>
      </w:tr>
    </w:tbl>
    <w:p>
      <w:pPr>
        <w:widowControl/>
        <w:spacing w:after="0"/>
      </w:pPr>
    </w:p>
    <w:p>
      <w:pPr>
        <w:pStyle w:val="Heading2"/>
        <w:widowControl/>
      </w:pPr>
      <w:r>
        <w:t>4.4 供给大厅</w:t>
      </w:r>
    </w:p>
    <w:p>
      <w:pPr>
        <w:pStyle w:val="Heading3"/>
        <w:widowControl/>
      </w:pPr>
      <w:r>
        <w:t>4.4.1 功能描述</w:t>
      </w:r>
    </w:p>
    <w:p>
      <w:pPr>
        <w:widowControl/>
        <w:ind w:firstLine="420"/>
        <w:jc w:val="both"/>
      </w:pPr>
      <w:r>
        <w:t>供给大厅集中展示所有物流运营商已发布且有效的运输供给，为粮食贸易企业提供“主动找运力”的入口。贸易企业可按运输方式、线路、服务区域、可服务时间、可承运数量、参考价格和物流运营商等维度筛选，点击供给卡片查看详情。</w:t>
      </w:r>
    </w:p>
    <w:p>
      <w:pPr>
        <w:pStyle w:val="Heading3"/>
        <w:widowControl/>
      </w:pPr>
      <w:r>
        <w:t>4.4.2 贸易企业选择供给发起对接</w:t>
      </w:r>
    </w:p>
    <w:p>
      <w:pPr>
        <w:widowControl/>
        <w:ind w:firstLine="420"/>
        <w:jc w:val="both"/>
      </w:pPr>
      <w:r>
        <w:t>粮食贸易企业点击某条运输供给的“申请对接/发起匹配”后，系统要求选择本企业现有运输需求或完整多式联运方案作为本次对接对象，再生成定向匹配记录。该流程本质上是由供给侧信息触发的“指定议价”。</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要求</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选择业务对象</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本企业有效运输需求 / 完整多式联运方案。</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供给编号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当前所选运输供给。</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自动带入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供给所属企业。</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期望承运数量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必填/默认带入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不得超过需求/方案未落实数量。</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期望价格</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贸易企业可主动给出目标价格。</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期望发运时间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带入/可确认</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与需求或方案保持一致。</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对接说明</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补充合作要求。</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有效回复时间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选填/默认</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要求物流运营商在规定时间内回复。</w:t>
            </w:r>
          </w:p>
        </w:tc>
      </w:tr>
    </w:tbl>
    <w:p>
      <w:pPr>
        <w:widowControl/>
        <w:spacing w:after="0"/>
      </w:pPr>
    </w:p>
    <w:p>
      <w:pPr>
        <w:pStyle w:val="ListBullet"/>
        <w:widowControl/>
        <w:spacing w:after="60"/>
        <w:ind w:left="340" w:hanging="142"/>
      </w:pPr>
      <w:r>
        <w:rPr>
          <w:rFonts w:ascii="Noto Sans CJK SC" w:hAnsi="Noto Sans CJK SC" w:eastAsia="Noto Sans CJK SC"/>
          <w:sz w:val="20"/>
        </w:rPr>
        <w:t>供给大厅发起的匹配不公开给其他物流运营商。</w:t>
      </w:r>
    </w:p>
    <w:p>
      <w:pPr>
        <w:pStyle w:val="ListBullet"/>
        <w:widowControl/>
        <w:spacing w:after="60"/>
        <w:ind w:left="340" w:hanging="142"/>
      </w:pPr>
      <w:r>
        <w:rPr>
          <w:rFonts w:ascii="Noto Sans CJK SC" w:hAnsi="Noto Sans CJK SC" w:eastAsia="Noto Sans CJK SC"/>
          <w:sz w:val="20"/>
        </w:rPr>
        <w:t>物流运营商收到定向对接后，可接受并报价、还价或拒绝。</w:t>
      </w:r>
    </w:p>
    <w:p>
      <w:pPr>
        <w:pStyle w:val="ListBullet"/>
        <w:widowControl/>
        <w:spacing w:after="60"/>
        <w:ind w:left="340" w:hanging="142"/>
      </w:pPr>
      <w:r>
        <w:rPr>
          <w:rFonts w:ascii="Noto Sans CJK SC" w:hAnsi="Noto Sans CJK SC" w:eastAsia="Noto Sans CJK SC"/>
          <w:sz w:val="20"/>
        </w:rPr>
        <w:t>贸易企业可继续进行价格商讨，最终确认价格和承运关系。</w:t>
      </w:r>
    </w:p>
    <w:p>
      <w:pPr>
        <w:pStyle w:val="ListBullet"/>
        <w:widowControl/>
        <w:spacing w:after="60"/>
        <w:ind w:left="340" w:hanging="142"/>
      </w:pPr>
      <w:r>
        <w:rPr>
          <w:rFonts w:ascii="Noto Sans CJK SC" w:hAnsi="Noto Sans CJK SC" w:eastAsia="Noto Sans CJK SC"/>
          <w:sz w:val="20"/>
        </w:rPr>
        <w:t>若贸易企业选择的供给与运输需求/方案的线路、时间或运输方式明显不兼容，系统应提示风险但允许用户基于实际业务继续发起或取消。</w:t>
      </w:r>
    </w:p>
    <w:p>
      <w:pPr>
        <w:pStyle w:val="Heading2"/>
        <w:widowControl/>
      </w:pPr>
      <w:r>
        <w:t>4.5 报价与价格商讨</w:t>
      </w:r>
    </w:p>
    <w:p>
      <w:pPr>
        <w:pStyle w:val="Heading3"/>
        <w:widowControl/>
      </w:pPr>
      <w:r>
        <w:t>4.5.1 功能描述</w:t>
      </w:r>
    </w:p>
    <w:p>
      <w:pPr>
        <w:widowControl/>
        <w:ind w:firstLine="420"/>
        <w:jc w:val="both"/>
      </w:pPr>
      <w:r>
        <w:t>价格商讨用于记录粮食贸易企业与物流运营商围绕运输价格、承运数量、运输时间和服务条件的协商过程。报价、还价、接受和拒绝均应形成结构化记录，避免仅依赖线下沟通导致平台无法追溯成交形成过程。</w:t>
      </w:r>
    </w:p>
    <w:p>
      <w:pPr>
        <w:pStyle w:val="Heading3"/>
        <w:widowControl/>
      </w:pPr>
      <w:r>
        <w:t>4.5.2 初始报价字段</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关联信息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匹配发布编号/匹配记录编号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关联公开竞价或定向议价业务。</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主体信息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报价主体。</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可承运数量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可等于全部数量或允许部分承运时填写部分数量。</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价格方式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总价/单价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报价金额</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必填。</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计价单位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单价模式必填，如元/吨。</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税费信息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含税/不含税</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按项目需要配置。</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可发运时间、预计完成时间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用于贸易企业比选。</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资源信息</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可提供车辆/班列/船舶/箱源/综合组织能力</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按运输方式填写。</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方案执行</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是否按原完整方案承接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方案发布时填写。</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有效期</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报价有效截止时间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超过有效期后报价自动失效。</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说明</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报价说明</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补充服务边界和价格条件。</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状态</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有效/已修改/已撤回/已失效/已接受</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系统维护。</w:t>
            </w:r>
          </w:p>
        </w:tc>
      </w:tr>
    </w:tbl>
    <w:p>
      <w:pPr>
        <w:widowControl/>
        <w:spacing w:after="0"/>
      </w:pPr>
    </w:p>
    <w:p>
      <w:pPr>
        <w:pStyle w:val="Heading3"/>
        <w:widowControl/>
      </w:pPr>
      <w:r>
        <w:t>4.5.3 议价记录字段</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议价轮次</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系统自动编号，如第1轮、第2轮。</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发起方</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 / 物流运营商。</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动作类型</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报价、还价、接受、拒绝、撤回。</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本轮提出的总价或单价。</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计价单位</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与价格方式一致。</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承运数量</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本轮协商对应数量。</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服务时间</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本轮约定发运/完成时间，可继承上一轮。</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附加条件</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装卸、箱源、等待、时效等附加条件。</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备注</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本轮议价说明。</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操作人/时间</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系统记录，用于留痕。</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结果状态</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待对方处理/已接受/已拒绝/已失效。</w:t>
            </w:r>
          </w:p>
        </w:tc>
      </w:tr>
    </w:tbl>
    <w:p>
      <w:pPr>
        <w:widowControl/>
        <w:spacing w:after="0"/>
      </w:pPr>
    </w:p>
    <w:p>
      <w:pPr>
        <w:pStyle w:val="Heading3"/>
        <w:widowControl/>
      </w:pPr>
      <w:r>
        <w:t>4.5.4 价格商讨规则</w:t>
      </w:r>
    </w:p>
    <w:p>
      <w:pPr>
        <w:pStyle w:val="ListBullet"/>
        <w:widowControl/>
        <w:spacing w:after="60"/>
        <w:ind w:left="340" w:hanging="142"/>
      </w:pPr>
      <w:r>
        <w:rPr>
          <w:rFonts w:ascii="Noto Sans CJK SC" w:hAnsi="Noto Sans CJK SC" w:eastAsia="Noto Sans CJK SC"/>
          <w:sz w:val="20"/>
        </w:rPr>
        <w:t>公开竞价期间，物流运营商只能查看本企业报价和平台允许公开的需求信息；原则上不展示竞争对手的具体报价和身份，贸易企业可查看全部有效报价。</w:t>
      </w:r>
    </w:p>
    <w:p>
      <w:pPr>
        <w:pStyle w:val="ListBullet"/>
        <w:widowControl/>
        <w:spacing w:after="60"/>
        <w:ind w:left="340" w:hanging="142"/>
      </w:pPr>
      <w:r>
        <w:rPr>
          <w:rFonts w:ascii="Noto Sans CJK SC" w:hAnsi="Noto Sans CJK SC" w:eastAsia="Noto Sans CJK SC"/>
          <w:sz w:val="20"/>
        </w:rPr>
        <w:t>贸易企业可从某一物流运营商报价进入“议价”，提出还价；一旦进入定向议价，该议价过程仅双方及平台运营方可见。</w:t>
      </w:r>
    </w:p>
    <w:p>
      <w:pPr>
        <w:pStyle w:val="ListBullet"/>
        <w:widowControl/>
        <w:spacing w:after="60"/>
        <w:ind w:left="340" w:hanging="142"/>
      </w:pPr>
      <w:r>
        <w:rPr>
          <w:rFonts w:ascii="Noto Sans CJK SC" w:hAnsi="Noto Sans CJK SC" w:eastAsia="Noto Sans CJK SC"/>
          <w:sz w:val="20"/>
        </w:rPr>
        <w:t>物流运营商可接受还价或再次报价；贸易企业也可继续还价，直至达成一致或任一方结束议价。</w:t>
      </w:r>
    </w:p>
    <w:p>
      <w:pPr>
        <w:pStyle w:val="ListBullet"/>
        <w:widowControl/>
        <w:spacing w:after="60"/>
        <w:ind w:left="340" w:hanging="142"/>
      </w:pPr>
      <w:r>
        <w:rPr>
          <w:rFonts w:ascii="Noto Sans CJK SC" w:hAnsi="Noto Sans CJK SC" w:eastAsia="Noto Sans CJK SC"/>
          <w:sz w:val="20"/>
        </w:rPr>
        <w:t>同一物流运营商每次新报价或还价均形成新版本，历史价格不得覆盖删除。</w:t>
      </w:r>
    </w:p>
    <w:p>
      <w:pPr>
        <w:pStyle w:val="ListBullet"/>
        <w:widowControl/>
        <w:spacing w:after="60"/>
        <w:ind w:left="340" w:hanging="142"/>
      </w:pPr>
      <w:r>
        <w:rPr>
          <w:rFonts w:ascii="Noto Sans CJK SC" w:hAnsi="Noto Sans CJK SC" w:eastAsia="Noto Sans CJK SC"/>
          <w:sz w:val="20"/>
        </w:rPr>
        <w:t>最终成交价格以贸易企业执行“确认承运”时选定并双方已接受的价格为准，不以线路价格、供给参考价或方案预计费用自动替代。</w:t>
      </w:r>
    </w:p>
    <w:p>
      <w:pPr>
        <w:pStyle w:val="Heading2"/>
        <w:widowControl/>
      </w:pPr>
      <w:r>
        <w:t>4.6 响应比选与承运确认</w:t>
      </w:r>
    </w:p>
    <w:p>
      <w:pPr>
        <w:widowControl/>
        <w:ind w:firstLine="420"/>
        <w:jc w:val="both"/>
      </w:pPr>
      <w:r>
        <w:t>粮食贸易企业在公开竞价中可查看多个物流运营商报价，也可在指定议价中查看当前物流运营商的多轮报价。系统应支持按价格、预计时效、可承运数量、历史履约、资源能力等维度进行横向比较，但最终由粮食贸易企业人工确认承运。</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类别</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字段</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业务关联</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匹配发布编号/匹配记录编号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关联本次匹配。</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业务对象</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运输需求编号/方案编号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按来源关联。</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供给关联</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供给编号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由供给大厅发起对接时记录。</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承运主体</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从有效报价/议价对象中选择。</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数量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确认承运数量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不得超过有效可承运数量和待落实数量。</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价格</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最终确认价格</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必须来自双方已确认的报价/议价结果或由确认时二次核实。</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计价方式、计价单位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与最终价格配套。</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确认发运时间、确认完成时间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从最终协商结果带入。</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资源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确认资源能力</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记录最终承诺资源。</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人员</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确认人</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系统记录。</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时间戳</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确认时间</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系统记录。</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状态</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已确认/已取消确认</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系统维护。</w:t>
            </w:r>
          </w:p>
        </w:tc>
      </w:tr>
    </w:tbl>
    <w:p>
      <w:pPr>
        <w:widowControl/>
        <w:spacing w:after="0"/>
      </w:pPr>
    </w:p>
    <w:p>
      <w:pPr>
        <w:pStyle w:val="Heading3"/>
        <w:widowControl/>
      </w:pPr>
      <w:r>
        <w:t>4.6.1 匹配完成判断</w:t>
      </w:r>
    </w:p>
    <w:p>
      <w:pPr>
        <w:pStyle w:val="ListBullet"/>
        <w:widowControl/>
        <w:spacing w:after="60"/>
        <w:ind w:left="340" w:hanging="142"/>
      </w:pPr>
      <w:r>
        <w:rPr>
          <w:rFonts w:ascii="Noto Sans CJK SC" w:hAnsi="Noto Sans CJK SC" w:eastAsia="Noto Sans CJK SC"/>
          <w:sz w:val="20"/>
        </w:rPr>
        <w:t>运输需求公开竞价可根据业务规则允许一家物流运营商全部承运，也可允许多家物流运营商分担数量；未全部落实时为“部分匹配”。</w:t>
      </w:r>
    </w:p>
    <w:p>
      <w:pPr>
        <w:pStyle w:val="ListBullet"/>
        <w:widowControl/>
        <w:spacing w:after="60"/>
        <w:ind w:left="340" w:hanging="142"/>
      </w:pPr>
      <w:r>
        <w:rPr>
          <w:rFonts w:ascii="Noto Sans CJK SC" w:hAnsi="Noto Sans CJK SC" w:eastAsia="Noto Sans CJK SC"/>
          <w:sz w:val="20"/>
        </w:rPr>
        <w:t>完整多式联运方案原则上以一家具备综合组织能力的物流运营商整体响应和承运；如项目允许拆分数量，仍以完整方案为对象，不按区段拆分。</w:t>
      </w:r>
    </w:p>
    <w:p>
      <w:pPr>
        <w:pStyle w:val="ListBullet"/>
        <w:widowControl/>
        <w:spacing w:after="60"/>
        <w:ind w:left="340" w:hanging="142"/>
      </w:pPr>
      <w:r>
        <w:rPr>
          <w:rFonts w:ascii="Noto Sans CJK SC" w:hAnsi="Noto Sans CJK SC" w:eastAsia="Noto Sans CJK SC"/>
          <w:sz w:val="20"/>
        </w:rPr>
        <w:t>当运输需求或完整方案全部运输数量均已确认承运，状态更新为“匹配完成”。</w:t>
      </w:r>
    </w:p>
    <w:p>
      <w:pPr>
        <w:pStyle w:val="Heading2"/>
        <w:widowControl/>
      </w:pPr>
      <w:r>
        <w:t>4.7 大厅可见性与角色权限矩阵</w:t>
      </w:r>
    </w:p>
    <w:tbl>
      <w:tblPr>
        <w:tblStyle w:val="TableGrid"/>
        <w:tblW w:type="auto" w:w="0"/>
        <w:jc w:val="center"/>
        <w:tblLayout w:type="autofit"/>
        <w:tblLook w:firstColumn="1" w:firstRow="1" w:lastColumn="0" w:lastRow="0" w:noHBand="0" w:noVBand="1" w:val="04A0"/>
      </w:tblPr>
      <w:tblGrid>
        <w:gridCol w:w="2479"/>
        <w:gridCol w:w="2479"/>
        <w:gridCol w:w="2479"/>
        <w:gridCol w:w="2479"/>
      </w:tblGrid>
      <w:tr>
        <w:trPr>
          <w:tblHeader w:val="true"/>
        </w:trPr>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内容/动作</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粮食贸易企业</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物流运营商</w:t>
            </w:r>
          </w:p>
        </w:tc>
        <w:tc>
          <w:tcPr>
            <w:tcW w:type="dxa" w:w="2479"/>
            <w:shd w:fill="E7E7E7"/>
            <w:vAlign w:val="center"/>
            <w:tcMar>
              <w:top w:w="80" w:type="dxa"/>
              <w:start w:w="100" w:type="dxa"/>
              <w:bottom w:w="80" w:type="dxa"/>
              <w:end w:w="100" w:type="dxa"/>
            </w:tcMar>
          </w:tcPr>
          <w:p>
            <w:pPr>
              <w:jc w:val="center"/>
            </w:pPr>
            <w:r>
              <w:rPr>
                <w:rFonts w:ascii="Noto Sans CJK SC" w:hAnsi="Noto Sans CJK SC" w:eastAsia="Noto Sans CJK SC"/>
                <w:b/>
                <w:sz w:val="18"/>
              </w:rPr>
              <w:t>平台运营方</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查看公开运输需求/方案</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可查看并报价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查看指定给本企业的运输需求/方案</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作为发布方可查看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仅被指定物流运营商可查看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查看指定给其他物流运营商的运输需求/方案</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发布方可查看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不可查看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查看公开运输供给</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可查看并发起对接</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发布运输需求/方案</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按授权辅助，不代替商业主体确认</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发布运输供给</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按规则查看/治理</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提交报价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不可代替物流运营商</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发起还价</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仅查看过程</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确认承运</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可，仅本企业业务</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不可代替贸易企业</w:t>
            </w:r>
          </w:p>
        </w:tc>
      </w:tr>
      <w:tr>
        <w:trPr>
          <w:cantSplit/>
        </w:trPr>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查看全部供需和议价过程</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仅本企业业务及公开信息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仅本企业相关业务及公开信息</w:t>
            </w:r>
          </w:p>
        </w:tc>
        <w:tc>
          <w:tcPr>
            <w:tcW w:type="dxa" w:w="2479"/>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可查看全量</w:t>
            </w:r>
          </w:p>
        </w:tc>
      </w:tr>
    </w:tbl>
    <w:p>
      <w:pPr>
        <w:widowControl/>
        <w:spacing w:after="0"/>
      </w:pPr>
    </w:p>
    <w:p>
      <w:pPr>
        <w:pStyle w:val="Heading2"/>
        <w:widowControl/>
      </w:pPr>
      <w:r>
        <w:t>4.8 运输需求状态同步</w:t>
      </w:r>
    </w:p>
    <w:p>
      <w:pPr>
        <w:widowControl/>
        <w:ind w:firstLine="420"/>
        <w:jc w:val="both"/>
      </w:pPr>
      <w:r>
        <w:t>运输需求继续作为正式业务主状态载体。大厅匹配过程中的关键动作需要同步回写运输需求状态或匹配阶段，以保证用户从运输需求列表即可掌握当前业务进度。</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场景/动作</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运输需求状态</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运输需求发布</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已发布</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可直接匹配或进入方案求解。</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需求以公开竞价发布到大厅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匹配中</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匹配方式记录为“公开竞价”。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需求以指定议价发布到大厅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匹配中</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匹配方式记录为“指定议价”。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从供给大厅选择供给并发起对接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匹配中</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生成指定议价记录。</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物流运营商首次报价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匹配中</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报价不等于成交。</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贸易企业或物流运营商发起还价</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议价中</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建议主状态显示“议价中”，或主状态保持“匹配中”并增加匹配阶段=议价中。</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双方达成价格但尚未最终确认承运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待确认</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等待贸易企业确认承运。</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确认部分承运数量</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部分匹配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仍有剩余运输数量。</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全部运输数量确认承运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匹配完成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供需匹配闭环完成。</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公开竞价截止无合适报价/指定议价失败</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待重新匹配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可重新公开或改为指定其他物流运营商。</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撤回匹配且无已确认承运</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已发布/待匹配</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根据是否已有方案恢复到对应前置状态。</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取消运输需求</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已取消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终止有效关联业务。</w:t>
            </w:r>
          </w:p>
        </w:tc>
      </w:tr>
    </w:tbl>
    <w:p>
      <w:pPr>
        <w:widowControl/>
        <w:spacing w:after="0"/>
      </w:pPr>
    </w:p>
    <w:p>
      <w:pPr>
        <w:pStyle w:val="Heading2"/>
        <w:widowControl/>
      </w:pPr>
      <w:r>
        <w:t>4.9 状态与报价日志</w:t>
      </w:r>
    </w:p>
    <w:p>
      <w:pPr>
        <w:pStyle w:val="ListBullet"/>
        <w:widowControl/>
        <w:spacing w:after="60"/>
        <w:ind w:left="340" w:hanging="142"/>
      </w:pPr>
      <w:r>
        <w:rPr>
          <w:rFonts w:ascii="Noto Sans CJK SC" w:hAnsi="Noto Sans CJK SC" w:eastAsia="Noto Sans CJK SC"/>
          <w:sz w:val="20"/>
        </w:rPr>
        <w:t>记录匹配发布、指定物流运营商、物流运营商报价、贸易企业还价、物流运营商再次报价、价格接受、承运确认、撤回、重新匹配等关键操作。</w:t>
      </w:r>
    </w:p>
    <w:p>
      <w:pPr>
        <w:pStyle w:val="ListBullet"/>
        <w:widowControl/>
        <w:spacing w:after="60"/>
        <w:ind w:left="340" w:hanging="142"/>
      </w:pPr>
      <w:r>
        <w:rPr>
          <w:rFonts w:ascii="Noto Sans CJK SC" w:hAnsi="Noto Sans CJK SC" w:eastAsia="Noto Sans CJK SC"/>
          <w:sz w:val="20"/>
        </w:rPr>
        <w:t>日志字段至少包括：业务对象、匹配记录编号、动作类型、原状态、新状态、价格、数量、操作主体、操作人、操作时间和备注。</w:t>
      </w:r>
    </w:p>
    <w:p>
      <w:pPr>
        <w:pStyle w:val="ListBullet"/>
        <w:widowControl/>
        <w:spacing w:after="60"/>
        <w:ind w:left="340" w:hanging="142"/>
      </w:pPr>
      <w:r>
        <w:rPr>
          <w:rFonts w:ascii="Noto Sans CJK SC" w:hAnsi="Noto Sans CJK SC" w:eastAsia="Noto Sans CJK SC"/>
          <w:sz w:val="20"/>
        </w:rPr>
        <w:t>平台运营方可查看完整日志；供需双方仅查看与自身业务相关的完整过程。</w:t>
      </w:r>
    </w:p>
    <w:p>
      <w:pPr>
        <w:pStyle w:val="Heading2"/>
        <w:widowControl/>
      </w:pPr>
      <w:r>
        <w:t>4.10 应用场景</w:t>
      </w:r>
    </w:p>
    <w:p>
      <w:pPr>
        <w:widowControl/>
        <w:ind w:firstLine="420"/>
        <w:jc w:val="both"/>
      </w:pPr>
      <w:r>
        <w:t>场景一（公开竞价）：粮食贸易企业发布“绥化—广州、玉米5000吨”运输需求并选择公开竞价。多家物流运营商在截止时间前分别报价。贸易企业查看所有报价后，选择报价320元/吨的运营商进行还价至310元/吨，物流运营商接受，贸易企业最终确认承运，运输需求状态更新为匹配完成。</w:t>
      </w:r>
    </w:p>
    <w:p>
      <w:pPr>
        <w:widowControl/>
        <w:ind w:firstLine="420"/>
        <w:jc w:val="both"/>
      </w:pPr>
      <w:r>
        <w:t>场景二（指定议价）：贸易企业希望直接与某物流运营商合作，在发布运输需求或完整方案时指定该物流运营商。其他物流运营商看不到该业务。被指定运营商提交报价，双方通过多轮还价形成最终价格后确认承运。</w:t>
      </w:r>
    </w:p>
    <w:p>
      <w:pPr>
        <w:widowControl/>
        <w:ind w:firstLine="420"/>
        <w:jc w:val="both"/>
      </w:pPr>
      <w:r>
        <w:t>场景三（从供给找物流商）：贸易企业在供给大厅筛选“东北—华南多式联运综合服务”，选择某物流运营商已发布的供给，点击“申请对接”，关联本企业“绥化—广州”运输需求。系统生成定向议价记录，双方商讨价格并确认承运。</w:t>
      </w:r>
    </w:p>
    <w:p>
      <w:pPr>
        <w:pStyle w:val="Heading2"/>
        <w:widowControl/>
      </w:pPr>
      <w:r>
        <w:t>4.11 功能目标</w:t>
      </w:r>
    </w:p>
    <w:p>
      <w:pPr>
        <w:widowControl/>
        <w:ind w:firstLine="420"/>
        <w:jc w:val="both"/>
      </w:pPr>
      <w:r>
        <w:t>建设双向可发现、可竞价、可议价的供需撮合市场：贸易企业既可以发布需求等待物流运营商报价，也可以主动浏览运输供给选择物流运营商；物流运营商可以主动发现公开粮食运输需求并参与报价；平台运营方能够掌握全部供需和价格形成过程，实现供需信息、价格商讨和承运确认全过程线上留痕。</w:t>
      </w:r>
    </w:p>
    <w:p>
      <w:pPr>
        <w:pStyle w:val="Heading1"/>
        <w:widowControl/>
      </w:pPr>
      <w:r>
        <w:t>5 业务闭环、状态与边界</w:t>
      </w:r>
    </w:p>
    <w:p>
      <w:pPr>
        <w:pStyle w:val="Heading2"/>
        <w:widowControl/>
      </w:pPr>
      <w:r>
        <w:t>5.1 三模块端到端闭环</w:t>
      </w:r>
    </w:p>
    <w:tbl>
      <w:tblPr>
        <w:tblStyle w:val="TableGrid"/>
        <w:tblW w:type="auto" w:w="0"/>
        <w:jc w:val="center"/>
        <w:tblLayout w:type="autofit"/>
        <w:tblLook w:firstColumn="1" w:firstRow="1" w:lastColumn="0" w:lastRow="0" w:noHBand="0" w:noVBand="1" w:val="04A0"/>
      </w:tblPr>
      <w:tblGrid>
        <w:gridCol w:w="1983"/>
        <w:gridCol w:w="1983"/>
        <w:gridCol w:w="1983"/>
        <w:gridCol w:w="1983"/>
        <w:gridCol w:w="1983"/>
      </w:tblGrid>
      <w:tr>
        <w:trPr>
          <w:tblHeader w:val="true"/>
        </w:trPr>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阶段</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业务对象</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主角色</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关键动作</w:t>
            </w:r>
          </w:p>
        </w:tc>
        <w:tc>
          <w:tcPr>
            <w:tcW w:type="dxa" w:w="1983"/>
            <w:shd w:fill="E7E7E7"/>
            <w:vAlign w:val="center"/>
            <w:tcMar>
              <w:top w:w="80" w:type="dxa"/>
              <w:start w:w="100" w:type="dxa"/>
              <w:bottom w:w="80" w:type="dxa"/>
              <w:end w:w="100" w:type="dxa"/>
            </w:tcMar>
          </w:tcPr>
          <w:p>
            <w:pPr>
              <w:jc w:val="center"/>
            </w:pPr>
            <w:r>
              <w:rPr>
                <w:rFonts w:ascii="Noto Sans CJK SC" w:hAnsi="Noto Sans CJK SC" w:eastAsia="Noto Sans CJK SC"/>
                <w:b/>
                <w:sz w:val="18"/>
              </w:rPr>
              <w:t>输出</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1</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选择待运输交易订单</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运输需求基础信息</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2</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补充运输条件并发布</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正式运输需求</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3A</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需求大厅发布</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公开竞价或指定议价发布完整运输需求</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匹配发布记录</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3B</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多式联运方案求解</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从需求进入自动带入或直接输入求解</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候选完整方案</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4B</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完整方案发布</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选择完整方案并按公开竞价或指定议价发布</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方案匹配发布记录</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3C</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供给发布</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发布运输供给</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供给大厅服务信息</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4C</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供给反向对接</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选择运输供给并关联本企业需求/方案</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定向匹配记录</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5</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报价/议价</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供需双方</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物流运营商报价、贸易企业还价、多轮协商</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最终协商价格</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6</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承运确认</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粮食贸易企业</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确认物流运营商、数量、价格和时间</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已确认承运结果</w:t>
            </w:r>
          </w:p>
        </w:tc>
      </w:tr>
      <w:tr>
        <w:trPr>
          <w:cantSplit/>
        </w:trPr>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7</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匹配完成</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系统</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校验全部数量落实</w:t>
            </w:r>
          </w:p>
        </w:tc>
        <w:tc>
          <w:tcPr>
            <w:tcW w:type="dxa" w:w="1983"/>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后续合同/运输任务输入</w:t>
            </w:r>
          </w:p>
        </w:tc>
      </w:tr>
    </w:tbl>
    <w:p>
      <w:pPr>
        <w:widowControl/>
        <w:spacing w:after="0"/>
      </w:pPr>
    </w:p>
    <w:p>
      <w:pPr>
        <w:pStyle w:val="Heading2"/>
        <w:widowControl/>
      </w:pPr>
      <w:r>
        <w:t>5.2 业务对象关系</w:t>
      </w:r>
    </w:p>
    <w:tbl>
      <w:tblPr>
        <w:tblStyle w:val="TableGrid"/>
        <w:tblW w:type="auto" w:w="0"/>
        <w:jc w:val="center"/>
        <w:tblLayout w:type="autofit"/>
        <w:tblLook w:firstColumn="1" w:firstRow="1" w:lastColumn="0" w:lastRow="0" w:noHBand="0" w:noVBand="1" w:val="04A0"/>
      </w:tblPr>
      <w:tblGrid>
        <w:gridCol w:w="3305"/>
        <w:gridCol w:w="3305"/>
        <w:gridCol w:w="3305"/>
      </w:tblGrid>
      <w:tr>
        <w:trPr>
          <w:tblHeader w:val="true"/>
        </w:trPr>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对象</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是否进入供需匹配大厅</w:t>
            </w:r>
          </w:p>
        </w:tc>
        <w:tc>
          <w:tcPr>
            <w:tcW w:type="dxa" w:w="3305"/>
            <w:shd w:fill="E7E7E7"/>
            <w:vAlign w:val="center"/>
            <w:tcMar>
              <w:top w:w="80" w:type="dxa"/>
              <w:start w:w="100" w:type="dxa"/>
              <w:bottom w:w="80" w:type="dxa"/>
              <w:end w:w="100" w:type="dxa"/>
            </w:tcMar>
          </w:tcPr>
          <w:p>
            <w:pPr>
              <w:jc w:val="center"/>
            </w:pPr>
            <w:r>
              <w:rPr>
                <w:rFonts w:ascii="Noto Sans CJK SC" w:hAnsi="Noto Sans CJK SC" w:eastAsia="Noto Sans CJK SC"/>
                <w:b/>
                <w:sz w:val="18"/>
              </w:rPr>
              <w:t>说明</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交易订单</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否</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用于形成运输需求。</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是，进入需求大厅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可公开竞价或指定议价。</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候选多式联运方案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否</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需先选择完整方案。</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已选择完整多式联运方案</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是，进入需求大厅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整体发布，不拆区段。</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方案区段</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否</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仅作为完整方案详情。</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运输供给</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是，进入供给大厅</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用于贸易企业主动找运力、找物流商。</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报价/议价记录</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否</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挂接匹配记录形成价格商讨过程。</w:t>
            </w:r>
          </w:p>
        </w:tc>
      </w:tr>
      <w:tr>
        <w:trPr>
          <w:cantSplit/>
        </w:trPr>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承运确认</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否</w:t>
            </w:r>
          </w:p>
        </w:tc>
        <w:tc>
          <w:tcPr>
            <w:tcW w:type="dxa" w:w="3305"/>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匹配成交结果。</w:t>
            </w:r>
          </w:p>
        </w:tc>
      </w:tr>
    </w:tbl>
    <w:p>
      <w:pPr>
        <w:widowControl/>
        <w:spacing w:after="0"/>
      </w:pPr>
    </w:p>
    <w:p>
      <w:pPr>
        <w:pStyle w:val="Heading2"/>
        <w:widowControl/>
      </w:pPr>
      <w:r>
        <w:t>5.3 与后续模块边界</w:t>
      </w:r>
    </w:p>
    <w:p>
      <w:pPr>
        <w:widowControl/>
        <w:ind w:firstLine="420"/>
        <w:jc w:val="both"/>
      </w:pPr>
      <w:r>
        <w:t>本需求规格以“供需匹配完成”为闭环终点。匹配完成后，系统输出业务对象、物流运营商、确认承运数量、最终价格、计划服务时间、匹配方式及相关方案信息，作为后续合同管理、多式联运任务和运输执行的输入。</w:t>
      </w:r>
    </w:p>
    <w:p>
      <w:pPr>
        <w:pStyle w:val="ListBullet"/>
        <w:widowControl/>
        <w:spacing w:after="60"/>
        <w:ind w:left="340" w:hanging="142"/>
      </w:pPr>
      <w:r>
        <w:rPr>
          <w:rFonts w:ascii="Noto Sans CJK SC" w:hAnsi="Noto Sans CJK SC" w:eastAsia="Noto Sans CJK SC"/>
          <w:sz w:val="20"/>
        </w:rPr>
        <w:t>供需匹配大厅负责价格形成和承运关系确认，但不在本模块完成合同签署、实际派车、运单执行和财务结算。</w:t>
      </w:r>
    </w:p>
    <w:p>
      <w:pPr>
        <w:pStyle w:val="ListBullet"/>
        <w:widowControl/>
        <w:spacing w:after="60"/>
        <w:ind w:left="340" w:hanging="142"/>
      </w:pPr>
      <w:r>
        <w:rPr>
          <w:rFonts w:ascii="Noto Sans CJK SC" w:hAnsi="Noto Sans CJK SC" w:eastAsia="Noto Sans CJK SC"/>
          <w:sz w:val="20"/>
        </w:rPr>
        <w:t>最终确认价格应传递给后续合同或业务委托，线路基础价格、供给参考价、方案预计费用继续保留为参考数据。</w:t>
      </w:r>
    </w:p>
    <w:p>
      <w:pPr>
        <w:pStyle w:val="ListBullet"/>
        <w:widowControl/>
        <w:spacing w:after="60"/>
        <w:ind w:left="340" w:hanging="142"/>
      </w:pPr>
      <w:r>
        <w:rPr>
          <w:rFonts w:ascii="Noto Sans CJK SC" w:hAnsi="Noto Sans CJK SC" w:eastAsia="Noto Sans CJK SC"/>
          <w:sz w:val="20"/>
        </w:rPr>
        <w:t>后续运输任务应能够追溯本次匹配是来源于公开竞价、指定议价还是供给反向对接。</w:t>
      </w:r>
    </w:p>
    <w:p>
      <w:pPr>
        <w:pStyle w:val="Heading2"/>
        <w:widowControl/>
      </w:pPr>
      <w:r>
        <w:t>5.4 最终菜单确认</w:t>
      </w:r>
    </w:p>
    <w:tbl>
      <w:tblPr>
        <w:tblStyle w:val="TableGrid"/>
        <w:tblW w:type="auto" w:w="0"/>
        <w:jc w:val="center"/>
        <w:tblLayout w:type="autofit"/>
        <w:tblLook w:firstColumn="1" w:firstRow="1" w:lastColumn="0" w:lastRow="0" w:noHBand="0" w:noVBand="1" w:val="04A0"/>
      </w:tblPr>
      <w:tblGrid>
        <w:gridCol w:w="4957"/>
        <w:gridCol w:w="4957"/>
      </w:tblGrid>
      <w:tr>
        <w:trPr>
          <w:tblHeader w:val="true"/>
        </w:trPr>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一级菜单</w:t>
            </w:r>
          </w:p>
        </w:tc>
        <w:tc>
          <w:tcPr>
            <w:tcW w:type="dxa" w:w="4957"/>
            <w:shd w:fill="E7E7E7"/>
            <w:vAlign w:val="center"/>
            <w:tcMar>
              <w:top w:w="80" w:type="dxa"/>
              <w:start w:w="100" w:type="dxa"/>
              <w:bottom w:w="80" w:type="dxa"/>
              <w:end w:w="100" w:type="dxa"/>
            </w:tcMar>
          </w:tcPr>
          <w:p>
            <w:pPr>
              <w:jc w:val="center"/>
            </w:pPr>
            <w:r>
              <w:rPr>
                <w:rFonts w:ascii="Noto Sans CJK SC" w:hAnsi="Noto Sans CJK SC" w:eastAsia="Noto Sans CJK SC"/>
                <w:b/>
                <w:sz w:val="18"/>
              </w:rPr>
              <w:t>二级菜单</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供需管理</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运输需求管理</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供需管理</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运输供给管理</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多式联运方案</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求解</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多式联运方案</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线路价格</w:t>
            </w:r>
          </w:p>
        </w:tc>
      </w:tr>
      <w:tr>
        <w:trPr>
          <w:cantSplit/>
        </w:trPr>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供需匹配大厅</w:t>
            </w:r>
          </w:p>
        </w:tc>
        <w:tc>
          <w:tcPr>
            <w:tcW w:type="dxa" w:w="4957"/>
            <w:vAlign w:val="center"/>
            <w:tcMar>
              <w:top w:w="80" w:type="dxa"/>
              <w:start w:w="100" w:type="dxa"/>
              <w:bottom w:w="80" w:type="dxa"/>
              <w:end w:w="100" w:type="dxa"/>
            </w:tcMar>
          </w:tcPr>
          <w:p>
            <w:pPr>
              <w:spacing w:after="0" w:line="276" w:lineRule="auto"/>
            </w:pPr>
            <w:r>
              <w:rPr>
                <w:rFonts w:ascii="Noto Sans CJK SC" w:hAnsi="Noto Sans CJK SC" w:eastAsia="Noto Sans CJK SC"/>
                <w:sz w:val="17"/>
              </w:rPr>
              <w:t>无二级菜单</w:t>
            </w:r>
          </w:p>
        </w:tc>
      </w:tr>
    </w:tbl>
    <w:p>
      <w:pPr>
        <w:widowControl/>
        <w:spacing w:after="0"/>
      </w:pPr>
    </w:p>
    <w:tbl>
      <w:tblPr>
        <w:tblStyle w:val="TableGrid"/>
        <w:tblW w:type="auto" w:w="0"/>
        <w:jc w:val="center"/>
        <w:tblLook w:firstColumn="1" w:firstRow="1" w:lastColumn="0" w:lastRow="0" w:noHBand="0" w:noVBand="1" w:val="04A0"/>
      </w:tblPr>
      <w:tblGrid>
        <w:gridCol w:w="9915"/>
      </w:tblGrid>
      <w:tr>
        <w:tc>
          <w:tcPr>
            <w:tcW w:type="dxa" w:w="9915"/>
            <w:shd w:fill="FCECEC"/>
            <w:tcMar>
              <w:top w:w="120" w:type="dxa"/>
              <w:start w:w="130" w:type="dxa"/>
              <w:bottom w:w="120" w:type="dxa"/>
              <w:end w:w="130" w:type="dxa"/>
            </w:tcMar>
          </w:tcPr>
          <w:p>
            <w:r>
              <w:rPr>
                <w:rFonts w:ascii="Noto Sans CJK SC" w:hAnsi="Noto Sans CJK SC" w:eastAsia="Noto Sans CJK SC"/>
                <w:b/>
                <w:color w:val="9E1B1B"/>
              </w:rPr>
              <w:t>最终业务口径：</w:t>
            </w:r>
            <w:r>
              <w:rPr>
                <w:rFonts w:ascii="Noto Sans CJK SC" w:hAnsi="Noto Sans CJK SC" w:eastAsia="Noto Sans CJK SC"/>
                <w:sz w:val="20"/>
              </w:rPr>
              <w:t>供需匹配大厅内部采用“需求大厅/供给大厅”页签组织页面，但菜单保持不变。需求大厅支持运输需求和完整多式联运方案的公开竞价或指定议价；供给大厅展示全部有效运输供给，贸易企业可选择供给发起指定议价。价格形成过程通过报价、还价、接受和承运确认进行线上留痕。</w:t>
            </w:r>
          </w:p>
        </w:tc>
      </w:tr>
    </w:tbl>
    <w:p>
      <w:pPr>
        <w:widowControl/>
        <w:spacing w:after="0"/>
      </w:pPr>
    </w:p>
    <w:sectPr w:rsidR="00FC693F" w:rsidRPr="0006063C" w:rsidSect="00034616">
      <w:headerReference w:type="default" r:id="rId9"/>
      <w:footerReference w:type="default" r:id="rId10"/>
      <w:pgSz w:w="12240" w:h="15840"/>
      <w:pgMar w:top="107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D7D7D"/>
        <w:sz w:val="16"/>
      </w:rPr>
      <w:t>V1.3 · 供需管理 / 多式联运方案 / 供需匹配大厅</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7"/>
      </w:rPr>
      <w:t>智能多式联运物流数据系统 · 三模块需求规格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Noto Sans CJK SC" w:hAnsi="Noto Sans CJK SC" w:eastAsia="Noto Sans CJK S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Noto Sans CJK SC" w:hAnsi="Noto Sans CJK SC" w:eastAsia="Noto Sans CJK SC"/>
      <w:b/>
      <w:bCs/>
      <w:color w:val="222222"/>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SC" w:hAnsi="Noto Sans CJK SC" w:eastAsia="Noto Sans CJK SC"/>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Noto Sans CJK SC" w:hAnsi="Noto Sans CJK SC" w:eastAsia="Noto Sans CJK SC"/>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0" w:after="360"/>
    </w:pPr>
    <w:rPr>
      <w:rFonts w:ascii="Noto Sans CJK SC" w:hAnsi="Noto Sans CJK SC" w:eastAsia="Noto Sans CJK SC"/>
      <w:b/>
      <w:color w:val="9E1B1B"/>
      <w:sz w:val="52"/>
    </w:rPr>
  </w:style>
  <w:style w:type="paragraph" w:customStyle="1" w:styleId="SubtitleX">
    <w:name w:val="SubtitleX"/>
    <w:pPr>
      <w:spacing w:before="0" w:after="280"/>
    </w:pPr>
    <w:rPr>
      <w:rFonts w:ascii="Noto Sans CJK SC" w:hAnsi="Noto Sans CJK SC" w:eastAsia="Noto Sans CJK SC"/>
      <w:b/>
      <w:color w:val="222222"/>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智能多式联运物流数据系统-供需管理、多式联运方案、供需匹配大厅需求规格说明V1.3</dc:title>
  <dc:subject>智能多式联运业务闭环需求规格</dc:subject>
  <dc:creator/>
  <cp:keywords>智能多式联运, 供需管理, 多式联运方案, 供需匹配大厅</cp:keywords>
  <dc:description>generated by python-docx</dc:description>
  <cp:lastModifiedBy/>
  <cp:revision>1</cp:revision>
  <dcterms:created xsi:type="dcterms:W3CDTF">2013-12-23T23:15:00Z</dcterms:created>
  <dcterms:modified xsi:type="dcterms:W3CDTF">2013-12-23T23:15:00Z</dcterms:modified>
  <cp:category/>
</cp:coreProperties>
</file>