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Noto Sans CJK SC" w:hAnsi="Noto Sans CJK SC" w:eastAsia="Noto Sans CJK SC"/>
          <w:b/>
          <w:color w:val="C00000"/>
          <w:sz w:val="44"/>
        </w:rPr>
        <w:t>智能多式联运物流数据系统</w:t>
      </w:r>
    </w:p>
    <w:p>
      <w:pPr>
        <w:jc w:val="center"/>
      </w:pPr>
      <w:r>
        <w:rPr>
          <w:rFonts w:ascii="Noto Sans CJK SC" w:hAnsi="Noto Sans CJK SC" w:eastAsia="Noto Sans CJK SC"/>
          <w:b/>
          <w:sz w:val="48"/>
        </w:rPr>
        <w:t>运输全程可视化需求规格说明</w:t>
      </w:r>
    </w:p>
    <w:p>
      <w:pPr>
        <w:spacing w:before="240"/>
        <w:jc w:val="center"/>
      </w:pPr>
      <w:r>
        <w:rPr>
          <w:color w:val="595959"/>
          <w:sz w:val="24"/>
        </w:rPr>
        <w:t>V1.0｜整合运输预测预警与全程可视化</w:t>
      </w:r>
    </w:p>
    <w:p>
      <w:r>
        <w:br/>
      </w:r>
    </w:p>
    <w:tbl>
      <w:tblPr>
        <w:tblW w:type="auto" w:w="0"/>
        <w:jc w:val="center"/>
        <w:tblLook w:firstColumn="1" w:firstRow="1" w:lastColumn="0" w:lastRow="0" w:noHBand="0" w:noVBand="1" w:val="04A0"/>
      </w:tblPr>
      <w:tblGrid>
        <w:gridCol w:w="10200"/>
      </w:tblGrid>
      <w:tr>
        <w:tc>
          <w:tcPr>
            <w:tcW w:type="dxa" w:w="10200"/>
            <w:shd w:fill="F7F7F7"/>
            <w:tcBorders>
              <w:top w:val="single" w:sz="10" w:color="C00000"/>
              <w:left w:val="single" w:sz="4" w:color="D9D9D9"/>
              <w:bottom w:val="single" w:sz="4" w:color="D9D9D9"/>
              <w:right w:val="single" w:sz="4" w:color="D9D9D9"/>
            </w:tcBorders>
          </w:tcPr>
          <w:p>
            <w:pPr>
              <w:spacing w:after="40"/>
            </w:pPr>
            <w:r>
              <w:rPr>
                <w:b/>
                <w:color w:val="C00000"/>
              </w:rPr>
              <w:t xml:space="preserve">设计原则  </w:t>
            </w:r>
            <w:r>
              <w:t>将原“运输预测与预警”和“运输全程可视化”合并为一个一级菜单“运输全程可视化”。预测、预警不再作为独立业务入口，而是直接嵌入运行总览、任务全程跟踪和专题地图中，形成“看运行—看进度—看预测—看风险”的统一监测体验。</w:t>
            </w:r>
          </w:p>
        </w:tc>
      </w:tr>
    </w:tbl>
    <w:p>
      <w:pPr>
        <w:spacing w:after="0"/>
      </w:pPr>
    </w:p>
    <w:p>
      <w:pPr>
        <w:pStyle w:val="Heading1"/>
      </w:pPr>
      <w:r>
        <w:t>1. 建设定位</w:t>
      </w:r>
    </w:p>
    <w:p>
      <w:pPr>
        <w:spacing w:line="324" w:lineRule="auto" w:after="100"/>
        <w:ind w:firstLine="420"/>
      </w:pPr>
      <w:r>
        <w:t>运输全程可视化面向多式联运运输过程的统一监测、预测分析和风险展示需求，将公路、铁路、水运等运输方式的任务、运单、运输区段、车辆、集装箱、船舶、节点事件及异常信息进行统一关联，通过地图、时间轴、指标、列表等方式展示运输全过程运行状态。</w:t>
      </w:r>
    </w:p>
    <w:p>
      <w:pPr>
        <w:spacing w:line="324" w:lineRule="auto" w:after="100"/>
        <w:ind w:firstLine="420"/>
      </w:pPr>
      <w:r>
        <w:t>本模块在原需求规格中“运输预测与预警”和“运输全程可视化”的基础上进行合并设计。预测能力作为运输过程监测的增强能力直接叠加在运输任务和关键节点上，异常预警作为全程可视化中的风险层进行集中展示，不再形成两个相互割裂的一级功能入口。</w:t>
      </w:r>
    </w:p>
    <w:p>
      <w:pPr>
        <w:spacing w:line="324" w:lineRule="auto" w:after="100"/>
        <w:ind w:firstLine="420"/>
      </w:pPr>
      <w:r>
        <w:t>本模块为监测与分析层，不替代前置“多式联运服务管理—联运跟踪”中的运输组织、司机/车辆安排、任务下发、移动端执行反馈等业务操作。联运跟踪负责“组织和执行”，运输全程可视化负责“统一看、持续监测、预测和预警”。</w:t>
      </w:r>
    </w:p>
    <w:p>
      <w:pPr>
        <w:pStyle w:val="Heading1"/>
      </w:pPr>
      <w:r>
        <w:t>2. 与前置业务的衔接</w:t>
      </w:r>
    </w:p>
    <w:p>
      <w:pPr>
        <w:spacing w:line="324" w:lineRule="auto" w:after="100"/>
        <w:ind w:firstLine="420"/>
      </w:pPr>
      <w:r>
        <w:t>运输全程可视化的数据来源于前序已经形成并进入执行阶段的运输业务，包括运输需求、多式联运方案、供需匹配结果、运输合同、运输委托或多式联运运单、运输任务、运输批次、散改集关系以及司机小程序反馈等信息。</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814"/>
            <w:shd w:fill="E7E6E6"/>
            <w:vAlign w:val="center"/>
            <w:tcMar>
              <w:top w:w="90" w:type="dxa"/>
              <w:start w:w="90" w:type="dxa"/>
              <w:bottom w:w="90" w:type="dxa"/>
              <w:end w:w="90" w:type="dxa"/>
            </w:tcMar>
          </w:tcPr>
          <w:p>
            <w:pPr>
              <w:jc w:val="center"/>
            </w:pPr>
            <w:r>
              <w:rPr>
                <w:rFonts w:ascii="Noto Sans CJK SC" w:hAnsi="Noto Sans CJK SC" w:eastAsia="Noto Sans CJK SC"/>
                <w:b/>
                <w:sz w:val="17"/>
              </w:rPr>
              <w:t>前置模块</w:t>
            </w:r>
          </w:p>
        </w:tc>
        <w:tc>
          <w:tcPr>
            <w:tcW w:type="dxa" w:w="4195"/>
            <w:shd w:fill="E7E6E6"/>
            <w:vAlign w:val="center"/>
            <w:tcMar>
              <w:top w:w="90" w:type="dxa"/>
              <w:start w:w="90" w:type="dxa"/>
              <w:bottom w:w="90" w:type="dxa"/>
              <w:end w:w="90" w:type="dxa"/>
            </w:tcMar>
          </w:tcPr>
          <w:p>
            <w:pPr>
              <w:jc w:val="center"/>
            </w:pPr>
            <w:r>
              <w:rPr>
                <w:rFonts w:ascii="Noto Sans CJK SC" w:hAnsi="Noto Sans CJK SC" w:eastAsia="Noto Sans CJK SC"/>
                <w:b/>
                <w:sz w:val="17"/>
              </w:rPr>
              <w:t>输入本模块的主要信息</w:t>
            </w:r>
          </w:p>
        </w:tc>
        <w:tc>
          <w:tcPr>
            <w:tcW w:type="dxa" w:w="3402"/>
            <w:shd w:fill="E7E6E6"/>
            <w:vAlign w:val="center"/>
            <w:tcMar>
              <w:top w:w="90" w:type="dxa"/>
              <w:start w:w="90" w:type="dxa"/>
              <w:bottom w:w="90" w:type="dxa"/>
              <w:end w:w="90" w:type="dxa"/>
            </w:tcMar>
          </w:tcPr>
          <w:p>
            <w:pPr>
              <w:jc w:val="center"/>
            </w:pPr>
            <w:r>
              <w:rPr>
                <w:rFonts w:ascii="Noto Sans CJK SC" w:hAnsi="Noto Sans CJK SC" w:eastAsia="Noto Sans CJK SC"/>
                <w:b/>
                <w:sz w:val="17"/>
              </w:rPr>
              <w:t>在本模块中的用途</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运输需求管理</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运输需求编号、货物、数量、起讫地、计划时间</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作为运输任务的业务来源和查询条件</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多式联运方案</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完整联运方案、运输区段、计划线路、计划时效</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用于计划线路与实际执行对比、分段展示</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供需匹配大厅</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成交物流运营商、成交运输能力、成交价格</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用于识别承运主体及业务归属</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合同管理</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合同编号、约定服务内容、计划时效及关键履约约束</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用于履约过程关联展示</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多式联运服务管理</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联运组织方式、运单/统一业务编号、任务、批次、车辆、司机、箱号、船舶/航次</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构成可视化主业务链</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司机小程序/外部平台</w:t>
            </w:r>
          </w:p>
        </w:tc>
        <w:tc>
          <w:tcPr>
            <w:tcW w:type="dxa" w:w="419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装货、发运、在途、到达、卸货、签收、异常、GPS/AIS/铁路节点等</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持续更新实际运输状态、轨迹和关键节点</w:t>
            </w:r>
          </w:p>
        </w:tc>
      </w:tr>
    </w:tbl>
    <w:p>
      <w:pPr>
        <w:spacing w:after="0"/>
      </w:pPr>
    </w:p>
    <w:tbl>
      <w:tblPr>
        <w:tblW w:type="auto" w:w="0"/>
        <w:jc w:val="center"/>
        <w:tblLook w:firstColumn="1" w:firstRow="1" w:lastColumn="0" w:lastRow="0" w:noHBand="0" w:noVBand="1" w:val="04A0"/>
      </w:tblPr>
      <w:tblGrid>
        <w:gridCol w:w="10200"/>
      </w:tblGrid>
      <w:tr>
        <w:tc>
          <w:tcPr>
            <w:tcW w:type="dxa" w:w="10200"/>
            <w:shd w:fill="F7F7F7"/>
            <w:tcBorders>
              <w:top w:val="single" w:sz="10" w:color="C00000"/>
              <w:left w:val="single" w:sz="4" w:color="D9D9D9"/>
              <w:bottom w:val="single" w:sz="4" w:color="D9D9D9"/>
              <w:right w:val="single" w:sz="4" w:color="D9D9D9"/>
            </w:tcBorders>
          </w:tcPr>
          <w:p>
            <w:pPr>
              <w:spacing w:after="40"/>
            </w:pPr>
            <w:r>
              <w:rPr>
                <w:b/>
                <w:color w:val="C00000"/>
              </w:rPr>
              <w:t xml:space="preserve">统一主线  </w:t>
            </w:r>
            <w:r>
              <w:t>运输需求 → 联运方案/直接组织 → 供需匹配 → 合同 → 联运组织 → 实际运输任务 → 运输全程可视化。可视化页面可从任一任务向上穿透查看需求、方案和合同，也可向下查看车辆、司机、箱号、船舶/航次和关键物流事件。</w:t>
            </w:r>
          </w:p>
        </w:tc>
      </w:tr>
    </w:tbl>
    <w:p>
      <w:pPr>
        <w:spacing w:after="0"/>
      </w:pPr>
    </w:p>
    <w:p>
      <w:pPr>
        <w:pStyle w:val="Heading1"/>
      </w:pPr>
      <w:r>
        <w:t>3. 角色与数据权限</w:t>
      </w:r>
    </w:p>
    <w:p>
      <w:pPr>
        <w:spacing w:line="324" w:lineRule="auto" w:after="100"/>
        <w:ind w:firstLine="420"/>
      </w:pPr>
      <w:r>
        <w:t>一级菜单“运输全程可视化”对粮食贸易企业、物流运营商、平台运营方三个角色均可见。三个角色使用同一套功能结构，但数据范围根据业务关系进行控制。</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814"/>
            <w:shd w:fill="E7E6E6"/>
            <w:vAlign w:val="center"/>
            <w:tcMar>
              <w:top w:w="90" w:type="dxa"/>
              <w:start w:w="90" w:type="dxa"/>
              <w:bottom w:w="90" w:type="dxa"/>
              <w:end w:w="90" w:type="dxa"/>
            </w:tcMar>
          </w:tcPr>
          <w:p>
            <w:pPr>
              <w:jc w:val="center"/>
            </w:pPr>
            <w:r>
              <w:rPr>
                <w:rFonts w:ascii="Noto Sans CJK SC" w:hAnsi="Noto Sans CJK SC" w:eastAsia="Noto Sans CJK SC"/>
                <w:b/>
                <w:sz w:val="17"/>
              </w:rPr>
              <w:t>角色</w:t>
            </w:r>
          </w:p>
        </w:tc>
        <w:tc>
          <w:tcPr>
            <w:tcW w:type="dxa" w:w="3969"/>
            <w:shd w:fill="E7E6E6"/>
            <w:vAlign w:val="center"/>
            <w:tcMar>
              <w:top w:w="90" w:type="dxa"/>
              <w:start w:w="90" w:type="dxa"/>
              <w:bottom w:w="90" w:type="dxa"/>
              <w:end w:w="90" w:type="dxa"/>
            </w:tcMar>
          </w:tcPr>
          <w:p>
            <w:pPr>
              <w:jc w:val="center"/>
            </w:pPr>
            <w:r>
              <w:rPr>
                <w:rFonts w:ascii="Noto Sans CJK SC" w:hAnsi="Noto Sans CJK SC" w:eastAsia="Noto Sans CJK SC"/>
                <w:b/>
                <w:sz w:val="17"/>
              </w:rPr>
              <w:t>可见范围</w:t>
            </w:r>
          </w:p>
        </w:tc>
        <w:tc>
          <w:tcPr>
            <w:tcW w:type="dxa" w:w="3628"/>
            <w:shd w:fill="E7E6E6"/>
            <w:vAlign w:val="center"/>
            <w:tcMar>
              <w:top w:w="90" w:type="dxa"/>
              <w:start w:w="90" w:type="dxa"/>
              <w:bottom w:w="90" w:type="dxa"/>
              <w:end w:w="90" w:type="dxa"/>
            </w:tcMar>
          </w:tcPr>
          <w:p>
            <w:pPr>
              <w:jc w:val="center"/>
            </w:pPr>
            <w:r>
              <w:rPr>
                <w:rFonts w:ascii="Noto Sans CJK SC" w:hAnsi="Noto Sans CJK SC" w:eastAsia="Noto Sans CJK SC"/>
                <w:b/>
                <w:sz w:val="17"/>
              </w:rPr>
              <w:t>主要使用目的</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粮食贸易企业</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查看本企业发起或作为货主关联的运输业务</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掌握粮食运输进度、预计到达时间、异常风险及履约情况</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物流运营商</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查看本企业承运或组织执行的运输业务</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掌握车辆/船舶/铁路区段运行状态，关注时效和异常风险</w:t>
            </w:r>
          </w:p>
        </w:tc>
      </w:tr>
      <w:tr>
        <w:tc>
          <w:tcPr>
            <w:tcW w:type="dxa" w:w="1814"/>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平台运营方</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查看平台全部运输业务及相关运行监测数据</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开展平台级运输态势监测、异常风险查看和运营分析</w:t>
            </w:r>
          </w:p>
        </w:tc>
      </w:tr>
    </w:tbl>
    <w:p>
      <w:pPr>
        <w:spacing w:after="0"/>
      </w:pPr>
    </w:p>
    <w:p>
      <w:pPr>
        <w:spacing w:line="324" w:lineRule="auto" w:after="100"/>
        <w:ind w:firstLine="420"/>
      </w:pPr>
      <w:r>
        <w:t>其中，预测规则、异常判定规则、预警等级及提醒策略等平台级配置功能由平台运营方维护；粮食贸易企业和物流运营商以查看预测预警结果、接收提醒和查看关联任务为主。</w:t>
      </w:r>
    </w:p>
    <w:p>
      <w:pPr>
        <w:pStyle w:val="Heading1"/>
      </w:pPr>
      <w:r>
        <w:t>4. 菜单结构设计</w:t>
      </w:r>
    </w:p>
    <w:p>
      <w:pPr>
        <w:spacing w:line="324" w:lineRule="auto" w:after="100"/>
        <w:ind w:firstLine="420"/>
      </w:pPr>
      <w:r>
        <w:t>建议将原“运输预测与预警”和“运输全程可视化”合并后，一级菜单统一命名为“运输全程可视化”，下设四个二级菜单。公路、水运、铁路不再各自形成独立二级菜单，而是在“专题视图”页面以内部分栏或页签方式切换，避免菜单层级过深。</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2268"/>
            <w:shd w:fill="E7E6E6"/>
            <w:vAlign w:val="center"/>
            <w:tcMar>
              <w:top w:w="90" w:type="dxa"/>
              <w:start w:w="90" w:type="dxa"/>
              <w:bottom w:w="90" w:type="dxa"/>
              <w:end w:w="90" w:type="dxa"/>
            </w:tcMar>
          </w:tcPr>
          <w:p>
            <w:pPr>
              <w:jc w:val="center"/>
            </w:pPr>
            <w:r>
              <w:rPr>
                <w:rFonts w:ascii="Noto Sans CJK SC" w:hAnsi="Noto Sans CJK SC" w:eastAsia="Noto Sans CJK SC"/>
                <w:b/>
                <w:sz w:val="17"/>
              </w:rPr>
              <w:t>一级菜单</w:t>
            </w:r>
          </w:p>
        </w:tc>
        <w:tc>
          <w:tcPr>
            <w:tcW w:type="dxa" w:w="2268"/>
            <w:shd w:fill="E7E6E6"/>
            <w:vAlign w:val="center"/>
            <w:tcMar>
              <w:top w:w="90" w:type="dxa"/>
              <w:start w:w="90" w:type="dxa"/>
              <w:bottom w:w="90" w:type="dxa"/>
              <w:end w:w="90" w:type="dxa"/>
            </w:tcMar>
          </w:tcPr>
          <w:p>
            <w:pPr>
              <w:jc w:val="center"/>
            </w:pPr>
            <w:r>
              <w:rPr>
                <w:rFonts w:ascii="Noto Sans CJK SC" w:hAnsi="Noto Sans CJK SC" w:eastAsia="Noto Sans CJK SC"/>
                <w:b/>
                <w:sz w:val="17"/>
              </w:rPr>
              <w:t>二级菜单</w:t>
            </w:r>
          </w:p>
        </w:tc>
        <w:tc>
          <w:tcPr>
            <w:tcW w:type="dxa" w:w="4876"/>
            <w:shd w:fill="E7E6E6"/>
            <w:vAlign w:val="center"/>
            <w:tcMar>
              <w:top w:w="90" w:type="dxa"/>
              <w:start w:w="90" w:type="dxa"/>
              <w:bottom w:w="90" w:type="dxa"/>
              <w:end w:w="90" w:type="dxa"/>
            </w:tcMar>
          </w:tcPr>
          <w:p>
            <w:pPr>
              <w:jc w:val="center"/>
            </w:pPr>
            <w:r>
              <w:rPr>
                <w:rFonts w:ascii="Noto Sans CJK SC" w:hAnsi="Noto Sans CJK SC" w:eastAsia="Noto Sans CJK SC"/>
                <w:b/>
                <w:sz w:val="17"/>
              </w:rPr>
              <w:t>定位</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运输全程可视化</w:t>
            </w:r>
          </w:p>
        </w:tc>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运行总览</w:t>
            </w:r>
          </w:p>
        </w:tc>
        <w:tc>
          <w:tcPr>
            <w:tcW w:type="dxa" w:w="48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平台/企业运输运行态势一张图，集中看任务、在途、时效和风险</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运输全程可视化</w:t>
            </w:r>
          </w:p>
        </w:tc>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全程跟踪</w:t>
            </w:r>
          </w:p>
        </w:tc>
        <w:tc>
          <w:tcPr>
            <w:tcW w:type="dxa" w:w="48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以运输任务为主线，看全链路线路、节点、载具、轨迹、ETA和事件</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运输全程可视化</w:t>
            </w:r>
          </w:p>
        </w:tc>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预测预警</w:t>
            </w:r>
          </w:p>
        </w:tc>
        <w:tc>
          <w:tcPr>
            <w:tcW w:type="dxa" w:w="48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集中查看ETA预测、延误风险、异常预警、港口拥堵和环境风险</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运输全程可视化</w:t>
            </w:r>
          </w:p>
        </w:tc>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专题视图</w:t>
            </w:r>
          </w:p>
        </w:tc>
        <w:tc>
          <w:tcPr>
            <w:tcW w:type="dxa" w:w="48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按公路、水运、铁路切换专业地图和运输方式特有状态</w:t>
            </w:r>
          </w:p>
        </w:tc>
      </w:tr>
    </w:tbl>
    <w:p>
      <w:pPr>
        <w:spacing w:after="0"/>
      </w:pPr>
    </w:p>
    <w:p>
      <w:pPr>
        <w:pStyle w:val="Heading1"/>
      </w:pPr>
      <w:r>
        <w:t>5. 运行总览</w:t>
      </w:r>
    </w:p>
    <w:p>
      <w:pPr>
        <w:pStyle w:val="Heading2"/>
      </w:pPr>
      <w:r>
        <w:t>5.1 功能描述</w:t>
      </w:r>
    </w:p>
    <w:p>
      <w:pPr>
        <w:spacing w:line="324" w:lineRule="auto" w:after="100"/>
        <w:ind w:firstLine="420"/>
      </w:pPr>
      <w:r>
        <w:t>运行总览整合公路、铁路、水运等多式联运业务数据，形成统一运输运行态势“一张图”。页面以地图为中心，结合指标卡、任务分布、运输方式占比、重点线路、关键节点、ETA风险和异常预警等信息，对当前运输运行情况进行汇总展示。</w:t>
      </w:r>
    </w:p>
    <w:p>
      <w:pPr>
        <w:spacing w:line="324" w:lineRule="auto" w:after="100"/>
        <w:ind w:firstLine="420"/>
      </w:pPr>
      <w:r>
        <w:t>总览中的预测和预警信息直接与运输任务、线路及节点关联。用户可从延误风险、异常预警、拥堵节点等指标直接下钻至对应运输任务的全程跟踪详情，不需要再跳转到独立预测系统。</w:t>
      </w:r>
    </w:p>
    <w:p>
      <w:pPr>
        <w:pStyle w:val="Heading2"/>
      </w:pPr>
      <w:r>
        <w:t>5.2 关键指标与字段</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701"/>
            <w:shd w:fill="E7E6E6"/>
            <w:vAlign w:val="center"/>
            <w:tcMar>
              <w:top w:w="90" w:type="dxa"/>
              <w:start w:w="90" w:type="dxa"/>
              <w:bottom w:w="90" w:type="dxa"/>
              <w:end w:w="90" w:type="dxa"/>
            </w:tcMar>
          </w:tcPr>
          <w:p>
            <w:pPr>
              <w:jc w:val="center"/>
            </w:pPr>
            <w:r>
              <w:rPr>
                <w:rFonts w:ascii="Noto Sans CJK SC" w:hAnsi="Noto Sans CJK SC" w:eastAsia="Noto Sans CJK SC"/>
                <w:b/>
                <w:sz w:val="17"/>
              </w:rPr>
              <w:t>区域</w:t>
            </w:r>
          </w:p>
        </w:tc>
        <w:tc>
          <w:tcPr>
            <w:tcW w:type="dxa" w:w="3685"/>
            <w:shd w:fill="E7E6E6"/>
            <w:vAlign w:val="center"/>
            <w:tcMar>
              <w:top w:w="90" w:type="dxa"/>
              <w:start w:w="90" w:type="dxa"/>
              <w:bottom w:w="90" w:type="dxa"/>
              <w:end w:w="90" w:type="dxa"/>
            </w:tcMar>
          </w:tcPr>
          <w:p>
            <w:pPr>
              <w:jc w:val="center"/>
            </w:pPr>
            <w:r>
              <w:rPr>
                <w:rFonts w:ascii="Noto Sans CJK SC" w:hAnsi="Noto Sans CJK SC" w:eastAsia="Noto Sans CJK SC"/>
                <w:b/>
                <w:sz w:val="17"/>
              </w:rPr>
              <w:t>字段/指标</w:t>
            </w:r>
          </w:p>
        </w:tc>
        <w:tc>
          <w:tcPr>
            <w:tcW w:type="dxa" w:w="4025"/>
            <w:shd w:fill="E7E6E6"/>
            <w:vAlign w:val="center"/>
            <w:tcMar>
              <w:top w:w="90" w:type="dxa"/>
              <w:start w:w="90" w:type="dxa"/>
              <w:bottom w:w="90" w:type="dxa"/>
              <w:end w:w="90" w:type="dxa"/>
            </w:tcMar>
          </w:tcPr>
          <w:p>
            <w:pPr>
              <w:jc w:val="center"/>
            </w:pPr>
            <w:r>
              <w:rPr>
                <w:rFonts w:ascii="Noto Sans CJK SC" w:hAnsi="Noto Sans CJK SC" w:eastAsia="Noto Sans CJK SC"/>
                <w:b/>
                <w:sz w:val="17"/>
              </w:rPr>
              <w:t>说明</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任务概览</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运输任务总量、待发运、在途、已到达、已完成</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按当前用户数据权限统计</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运输规模</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总运输量、公路运输量、铁路运输量、水运运输量</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支持按日/周/月及时间范围查询</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时效表现</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准点任务数、预计延误任务数、平均运输时长、平均剩余时长</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ETA结果与计划时效综合形成</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风险概览</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当前预警数、高等级预警数、未恢复异常数、受环境影响任务数</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点击可过滤地图和任务列表</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地图分布</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在途任务、主要线路、车辆、船舶、铁路区段、关键节点</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按运输方式和状态筛选</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重点节点</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港口、铁路站、中转节点、仓库等运行情况</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可叠加拥堵、等待、异常等状态</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趋势分析</w:t>
            </w:r>
          </w:p>
        </w:tc>
        <w:tc>
          <w:tcPr>
            <w:tcW w:type="dxa" w:w="368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发运量、完成量、准点率、异常数量、节点流转效率</w:t>
            </w:r>
          </w:p>
        </w:tc>
        <w:tc>
          <w:tcPr>
            <w:tcW w:type="dxa" w:w="402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支持时间序列趋势查看</w:t>
            </w:r>
          </w:p>
        </w:tc>
      </w:tr>
    </w:tbl>
    <w:p>
      <w:pPr>
        <w:spacing w:after="0"/>
      </w:pPr>
    </w:p>
    <w:p>
      <w:pPr>
        <w:pStyle w:val="Heading2"/>
      </w:pPr>
      <w:r>
        <w:t>5.3 应用场景</w:t>
      </w:r>
    </w:p>
    <w:p>
      <w:pPr>
        <w:spacing w:line="324" w:lineRule="auto" w:after="100"/>
        <w:ind w:firstLine="420"/>
      </w:pPr>
      <w:r>
        <w:t>粮食贸易企业进入系统后，可直接查看本企业当前有多少运输任务在途、哪些任务预计延误、主要货物分布在哪些区域；物流运营商可查看自己承运任务的在途规模、车辆/船舶分布和异常情况；平台运营方可查看平台范围内整体运行态势及重点风险。</w:t>
      </w:r>
    </w:p>
    <w:p>
      <w:pPr>
        <w:pStyle w:val="Heading2"/>
      </w:pPr>
      <w:r>
        <w:t>5.4 功能目标</w:t>
      </w:r>
    </w:p>
    <w:p>
      <w:pPr>
        <w:spacing w:line="324" w:lineRule="auto" w:after="100"/>
        <w:ind w:firstLine="420"/>
      </w:pPr>
      <w:r>
        <w:t>实现运输运行情况从分散任务列表向统一态势监测转变，让用户首先从整体掌握“有多少任务、在哪里、进展到哪一步、是否会晚、哪里有风险”，再按需下钻到单票任务。</w:t>
      </w:r>
    </w:p>
    <w:p>
      <w:pPr>
        <w:pStyle w:val="Heading1"/>
      </w:pPr>
      <w:r>
        <w:t>6. 全程跟踪</w:t>
      </w:r>
    </w:p>
    <w:p>
      <w:pPr>
        <w:pStyle w:val="Heading2"/>
      </w:pPr>
      <w:r>
        <w:t>6.1 功能描述</w:t>
      </w:r>
    </w:p>
    <w:p>
      <w:pPr>
        <w:spacing w:line="324" w:lineRule="auto" w:after="100"/>
        <w:ind w:firstLine="420"/>
      </w:pPr>
      <w:r>
        <w:t>全程跟踪以运输任务或联运业务主线为核心，将公路、铁路、水运不同运输区段及对应运单、批次和实际载具串联为完整运输链条。页面同时展示计划线路、实际运行位置、运输节点时间轴、当前区段、后续环节、ETA预测、异常预警及业务单证信息。</w:t>
      </w:r>
    </w:p>
    <w:p>
      <w:pPr>
        <w:spacing w:line="324" w:lineRule="auto" w:after="100"/>
        <w:ind w:firstLine="420"/>
      </w:pPr>
      <w:r>
        <w:t>该功能与“多式联运服务管理—联运跟踪”的区别在于：前者用于物流运营商配置车辆、司机、箱号、船舶/航次并向小程序下发任务；本功能不承担调度和任务编辑，主要消费执行结果并进行监测、穿透和可视化展示。</w:t>
      </w:r>
    </w:p>
    <w:p>
      <w:pPr>
        <w:pStyle w:val="Heading2"/>
      </w:pPr>
      <w:r>
        <w:t>6.2 任务列表字段</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701"/>
            <w:shd w:fill="E7E6E6"/>
            <w:vAlign w:val="center"/>
            <w:tcMar>
              <w:top w:w="90" w:type="dxa"/>
              <w:start w:w="90" w:type="dxa"/>
              <w:bottom w:w="90" w:type="dxa"/>
              <w:end w:w="90" w:type="dxa"/>
            </w:tcMar>
          </w:tcPr>
          <w:p>
            <w:pPr>
              <w:jc w:val="center"/>
            </w:pPr>
            <w:r>
              <w:rPr>
                <w:rFonts w:ascii="Noto Sans CJK SC" w:hAnsi="Noto Sans CJK SC" w:eastAsia="Noto Sans CJK SC"/>
                <w:b/>
                <w:sz w:val="17"/>
              </w:rPr>
              <w:t>字段类别</w:t>
            </w:r>
          </w:p>
        </w:tc>
        <w:tc>
          <w:tcPr>
            <w:tcW w:type="dxa" w:w="4082"/>
            <w:shd w:fill="E7E6E6"/>
            <w:vAlign w:val="center"/>
            <w:tcMar>
              <w:top w:w="90" w:type="dxa"/>
              <w:start w:w="90" w:type="dxa"/>
              <w:bottom w:w="90" w:type="dxa"/>
              <w:end w:w="90" w:type="dxa"/>
            </w:tcMar>
          </w:tcPr>
          <w:p>
            <w:pPr>
              <w:jc w:val="center"/>
            </w:pPr>
            <w:r>
              <w:rPr>
                <w:rFonts w:ascii="Noto Sans CJK SC" w:hAnsi="Noto Sans CJK SC" w:eastAsia="Noto Sans CJK SC"/>
                <w:b/>
                <w:sz w:val="17"/>
              </w:rPr>
              <w:t>字段</w:t>
            </w:r>
          </w:p>
        </w:tc>
        <w:tc>
          <w:tcPr>
            <w:tcW w:type="dxa" w:w="3628"/>
            <w:shd w:fill="E7E6E6"/>
            <w:vAlign w:val="center"/>
            <w:tcMar>
              <w:top w:w="90" w:type="dxa"/>
              <w:start w:w="90" w:type="dxa"/>
              <w:bottom w:w="90" w:type="dxa"/>
              <w:end w:w="90" w:type="dxa"/>
            </w:tcMar>
          </w:tcPr>
          <w:p>
            <w:pPr>
              <w:jc w:val="center"/>
            </w:pPr>
            <w:r>
              <w:rPr>
                <w:rFonts w:ascii="Noto Sans CJK SC" w:hAnsi="Noto Sans CJK SC" w:eastAsia="Noto Sans CJK SC"/>
                <w:b/>
                <w:sz w:val="17"/>
              </w:rPr>
              <w:t>说明</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业务标识</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运输任务编号、运输需求编号、合同编号、联运运单号/统一业务编号</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支持穿透查看来源业务</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货物信息</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粮食品种、粮食批次、运输数量、装载方式</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散货/集装箱等</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主体信息</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粮食贸易企业、物流运营商</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展示委托与承运关系</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线路信息</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起运地、目的地、当前运输方式、当前运输区段</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标识当前所处链路位置</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执行状态</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待发运、已发运、在途、中转、已到达、已完成</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与执行事件持续同步</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时效信息</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计划到达时间、预计到达时间、预计剩余时长、提前/延误状态</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ETA结果直接展示</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风险信息</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当前预警等级、异常类型、是否存在环境影响</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用于快速识别重点任务</w:t>
            </w:r>
          </w:p>
        </w:tc>
      </w:tr>
      <w:tr>
        <w:tc>
          <w:tcPr>
            <w:tcW w:type="dxa" w:w="170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更新时间</w:t>
            </w:r>
          </w:p>
        </w:tc>
        <w:tc>
          <w:tcPr>
            <w:tcW w:type="dxa" w:w="408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最新位置时间、最新事件时间</w:t>
            </w:r>
          </w:p>
        </w:tc>
        <w:tc>
          <w:tcPr>
            <w:tcW w:type="dxa" w:w="362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反映数据新鲜度</w:t>
            </w:r>
          </w:p>
        </w:tc>
      </w:tr>
    </w:tbl>
    <w:p>
      <w:pPr>
        <w:spacing w:after="0"/>
      </w:pPr>
    </w:p>
    <w:p>
      <w:pPr>
        <w:pStyle w:val="Heading2"/>
      </w:pPr>
      <w:r>
        <w:t>6.3 单票任务详情</w:t>
      </w:r>
    </w:p>
    <w:p>
      <w:pPr>
        <w:spacing w:line="324" w:lineRule="auto" w:after="100"/>
        <w:ind w:firstLine="420"/>
      </w:pPr>
      <w:r>
        <w:t>任务详情建议采用“地图 + 运输时间轴 + 任务信息侧栏”的组合方式。地图展示实际运输线路和当前载具位置；时间轴展示出库、装车、发运、到站、到港、装箱、装船、离港、到港、交付、签收等关键节点；侧栏集中展示任务、货物、承运主体、ETA、异常和单证信息。</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E7E6E6"/>
            <w:vAlign w:val="center"/>
            <w:tcMar>
              <w:top w:w="90" w:type="dxa"/>
              <w:start w:w="90" w:type="dxa"/>
              <w:bottom w:w="90" w:type="dxa"/>
              <w:end w:w="90" w:type="dxa"/>
            </w:tcMar>
          </w:tcPr>
          <w:p>
            <w:pPr>
              <w:jc w:val="center"/>
            </w:pPr>
            <w:r>
              <w:rPr>
                <w:rFonts w:ascii="Noto Sans CJK SC" w:hAnsi="Noto Sans CJK SC" w:eastAsia="Noto Sans CJK SC"/>
                <w:b/>
                <w:sz w:val="17"/>
              </w:rPr>
              <w:t>展示区域</w:t>
            </w:r>
          </w:p>
        </w:tc>
        <w:tc>
          <w:tcPr>
            <w:tcW w:type="dxa" w:w="7143"/>
            <w:shd w:fill="E7E6E6"/>
            <w:vAlign w:val="center"/>
            <w:tcMar>
              <w:top w:w="90" w:type="dxa"/>
              <w:start w:w="90" w:type="dxa"/>
              <w:bottom w:w="90" w:type="dxa"/>
              <w:end w:w="90" w:type="dxa"/>
            </w:tcMar>
          </w:tcPr>
          <w:p>
            <w:pPr>
              <w:jc w:val="center"/>
            </w:pPr>
            <w:r>
              <w:rPr>
                <w:rFonts w:ascii="Noto Sans CJK SC" w:hAnsi="Noto Sans CJK SC" w:eastAsia="Noto Sans CJK SC"/>
                <w:b/>
                <w:sz w:val="17"/>
              </w:rPr>
              <w:t>核心内容</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任务基本信息</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需求/任务/运单编号、粮食品种、批次、运输量、贸易企业、物流运营商、起讫地</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联运链路</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各运输区段、运输方式、区段起止节点、计划开始/结束时间、实际开始/结束时间</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运载工具</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公路车辆及司机、集装箱箱号、船舶及航次、铁路相关运单/班列信息</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地图轨迹</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公路GPS实际轨迹、水运AIS轨迹、铁路区段与到发节点</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节点时间轴</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计划节点、实际节点、已完成节点、当前节点、下一节点</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ETA预测</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关键节点ETA、最终到达ETA、预计剩余时长、预测可信度/数据质量</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异常预警</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当前异常、风险等级、发生位置、开始时间、持续时长、风险提示</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业务事件</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装货、发运、中转、到达、卸货、签收等事件及回传附件</w:t>
            </w:r>
          </w:p>
        </w:tc>
      </w:tr>
    </w:tbl>
    <w:p>
      <w:pPr>
        <w:spacing w:after="0"/>
      </w:pPr>
    </w:p>
    <w:p>
      <w:pPr>
        <w:pStyle w:val="Heading1"/>
      </w:pPr>
      <w:r>
        <w:t>7. 预测预警</w:t>
      </w:r>
    </w:p>
    <w:p>
      <w:pPr>
        <w:pStyle w:val="Heading2"/>
      </w:pPr>
      <w:r>
        <w:t>7.1 功能描述</w:t>
      </w:r>
    </w:p>
    <w:p>
      <w:pPr>
        <w:spacing w:line="324" w:lineRule="auto" w:after="100"/>
        <w:ind w:firstLine="420"/>
      </w:pPr>
      <w:r>
        <w:t>预测预警作为运输全程可视化中的风险监测能力，对运输任务全过程及关键节点的预计到达时间进行动态预测，并结合运输状态、位置变化、节点作业和外部环境等信息识别可能的延误和运行异常。预测结果直接叠加在任务详情、地图和时间轴中，同时在“预测预警”页面集中形成风险清单。</w:t>
      </w:r>
    </w:p>
    <w:p>
      <w:pPr>
        <w:pStyle w:val="Heading2"/>
      </w:pPr>
      <w:r>
        <w:t>7.2 ETA预测</w:t>
      </w:r>
    </w:p>
    <w:p>
      <w:pPr>
        <w:spacing w:line="324" w:lineRule="auto" w:after="100"/>
        <w:ind w:firstLine="420"/>
      </w:pPr>
      <w:r>
        <w:t>ETA预测综合运输方式、计划时效、实时位置、剩余里程、运输节点状态和历史运行情况，对关键节点和最终目的地的预计到达时间进行动态更新。当前重点支撑公路车辆和水运船舶ETA预测；铁路运输以铁路到发、中转等业务节点及可获得的计划/实际信息展示运输进度，后续如具备可靠预测数据可接入统一ETA展示。</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835"/>
            <w:shd w:fill="E7E6E6"/>
            <w:vAlign w:val="center"/>
            <w:tcMar>
              <w:top w:w="90" w:type="dxa"/>
              <w:start w:w="90" w:type="dxa"/>
              <w:bottom w:w="90" w:type="dxa"/>
              <w:end w:w="90" w:type="dxa"/>
            </w:tcMar>
          </w:tcPr>
          <w:p>
            <w:pPr>
              <w:jc w:val="center"/>
            </w:pPr>
            <w:r>
              <w:rPr>
                <w:rFonts w:ascii="Noto Sans CJK SC" w:hAnsi="Noto Sans CJK SC" w:eastAsia="Noto Sans CJK SC"/>
                <w:b/>
                <w:sz w:val="17"/>
              </w:rPr>
              <w:t>预测字段</w:t>
            </w:r>
          </w:p>
        </w:tc>
        <w:tc>
          <w:tcPr>
            <w:tcW w:type="dxa" w:w="6576"/>
            <w:shd w:fill="E7E6E6"/>
            <w:vAlign w:val="center"/>
            <w:tcMar>
              <w:top w:w="90" w:type="dxa"/>
              <w:start w:w="90" w:type="dxa"/>
              <w:bottom w:w="90" w:type="dxa"/>
              <w:end w:w="90" w:type="dxa"/>
            </w:tcMar>
          </w:tcPr>
          <w:p>
            <w:pPr>
              <w:jc w:val="center"/>
            </w:pPr>
            <w:r>
              <w:rPr>
                <w:rFonts w:ascii="Noto Sans CJK SC" w:hAnsi="Noto Sans CJK SC" w:eastAsia="Noto Sans CJK SC"/>
                <w:b/>
                <w:sz w:val="17"/>
              </w:rPr>
              <w:t>说明</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预测对象</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运输任务、车辆、船舶/航次、关键运输节点</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计划到达时间</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来自运输计划或联运方案</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预计到达时间（ETA）</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模型或可用数据动态生成的预计到达时间</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预计剩余时长</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从当前状态到目标节点/目的地的预计剩余时间</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预计剩余里程/航程</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公路或水运当前至目标位置的剩余距离</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时效状态</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正常、预计提前、预计延误</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预测时间范围/置信区间</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当数据质量不足时可采用范围形式输出</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预测可信度</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反映预测结果可靠程度</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数据质量状态</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GPS/AIS/关键业务数据的完整性与时效性</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主要影响因素</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当前速度、剩余距离、历史同线路时效、港口计划变化等</w:t>
            </w:r>
          </w:p>
        </w:tc>
      </w:tr>
    </w:tbl>
    <w:p>
      <w:pPr>
        <w:spacing w:after="0"/>
      </w:pPr>
    </w:p>
    <w:p>
      <w:pPr>
        <w:spacing w:line="324" w:lineRule="auto" w:after="100"/>
        <w:ind w:firstLine="420"/>
      </w:pPr>
      <w:r>
        <w:t>系统可在运输任务启动、轨迹显著变化、关键节点到达、装卸完成、中转状态变化等情况下触发重新预测，也支持周期性预测和人工重新预测。</w:t>
      </w:r>
    </w:p>
    <w:p>
      <w:pPr>
        <w:pStyle w:val="Heading2"/>
      </w:pPr>
      <w:r>
        <w:t>7.3 异常识别与预警</w:t>
      </w:r>
    </w:p>
    <w:p>
      <w:pPr>
        <w:spacing w:line="324" w:lineRule="auto" w:after="100"/>
        <w:ind w:firstLine="420"/>
      </w:pPr>
      <w:r>
        <w:t>系统结合运输方式、线路、货物类型和业务场景配置异常判定条件，对运输过程中的运行异常和时效风险进行识别。达到规则阈值时生成预警，并与运输任务、运载工具、运输节点和地图位置关联。</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2041"/>
            <w:shd w:fill="E7E6E6"/>
            <w:vAlign w:val="center"/>
            <w:tcMar>
              <w:top w:w="90" w:type="dxa"/>
              <w:start w:w="90" w:type="dxa"/>
              <w:bottom w:w="90" w:type="dxa"/>
              <w:end w:w="90" w:type="dxa"/>
            </w:tcMar>
          </w:tcPr>
          <w:p>
            <w:pPr>
              <w:jc w:val="center"/>
            </w:pPr>
            <w:r>
              <w:rPr>
                <w:rFonts w:ascii="Noto Sans CJK SC" w:hAnsi="Noto Sans CJK SC" w:eastAsia="Noto Sans CJK SC"/>
                <w:b/>
                <w:sz w:val="17"/>
              </w:rPr>
              <w:t>预警类型</w:t>
            </w:r>
          </w:p>
        </w:tc>
        <w:tc>
          <w:tcPr>
            <w:tcW w:type="dxa" w:w="3969"/>
            <w:shd w:fill="E7E6E6"/>
            <w:vAlign w:val="center"/>
            <w:tcMar>
              <w:top w:w="90" w:type="dxa"/>
              <w:start w:w="90" w:type="dxa"/>
              <w:bottom w:w="90" w:type="dxa"/>
              <w:end w:w="90" w:type="dxa"/>
            </w:tcMar>
          </w:tcPr>
          <w:p>
            <w:pPr>
              <w:jc w:val="center"/>
            </w:pPr>
            <w:r>
              <w:rPr>
                <w:rFonts w:ascii="Noto Sans CJK SC" w:hAnsi="Noto Sans CJK SC" w:eastAsia="Noto Sans CJK SC"/>
                <w:b/>
                <w:sz w:val="17"/>
              </w:rPr>
              <w:t>典型场景</w:t>
            </w:r>
          </w:p>
        </w:tc>
        <w:tc>
          <w:tcPr>
            <w:tcW w:type="dxa" w:w="3402"/>
            <w:shd w:fill="E7E6E6"/>
            <w:vAlign w:val="center"/>
            <w:tcMar>
              <w:top w:w="90" w:type="dxa"/>
              <w:start w:w="90" w:type="dxa"/>
              <w:bottom w:w="90" w:type="dxa"/>
              <w:end w:w="90" w:type="dxa"/>
            </w:tcMar>
          </w:tcPr>
          <w:p>
            <w:pPr>
              <w:jc w:val="center"/>
            </w:pPr>
            <w:r>
              <w:rPr>
                <w:rFonts w:ascii="Noto Sans CJK SC" w:hAnsi="Noto Sans CJK SC" w:eastAsia="Noto Sans CJK SC"/>
                <w:b/>
                <w:sz w:val="17"/>
              </w:rPr>
              <w:t>关联对象</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路线异常</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公路车辆偏离计划线路</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车辆、任务、当前位置</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停留异常</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车辆或任务在非计划位置长时间停留</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车辆、任务、停留位置</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位置更新异常</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GPS/AIS长时间未更新或数据异常</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车辆/船舶、任务</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节点作业超时</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装卸、中转、港口/铁路站等节点作业超过阈值</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任务、节点</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运输衔接超时</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前后运输方式或区段衔接超过计划时限</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联运任务、区段、节点</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时效延误</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ETA相对计划到达时间超出阈值</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任务、关键节点</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船期/线路变化</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船期调整、线路调整、运输中断等</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船舶/任务/线路</w:t>
            </w:r>
          </w:p>
        </w:tc>
      </w:tr>
      <w:tr>
        <w:tc>
          <w:tcPr>
            <w:tcW w:type="dxa" w:w="204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环境风险</w:t>
            </w:r>
          </w:p>
        </w:tc>
        <w:tc>
          <w:tcPr>
            <w:tcW w:type="dxa" w:w="396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气象、海况、政策等异常影响运输线路或节点</w:t>
            </w:r>
          </w:p>
        </w:tc>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区域、线路、节点、在途/计划任务</w:t>
            </w:r>
          </w:p>
        </w:tc>
      </w:tr>
    </w:tbl>
    <w:p>
      <w:pPr>
        <w:spacing w:after="0"/>
      </w:pPr>
    </w:p>
    <w:p>
      <w:pPr>
        <w:spacing w:line="324" w:lineRule="auto" w:after="100"/>
        <w:ind w:firstLine="420"/>
      </w:pPr>
      <w:r>
        <w:t>预警支持按照异常类型、影响程度、持续时间和业务范围进行分级。预警结果通过系统消息、页面提醒和任务详情中的风险标签展示。平台运营方维护预警规则、分级阈值和提醒策略；粮食贸易企业及物流运营商查看与本企业业务相关的预警结果。</w:t>
      </w:r>
    </w:p>
    <w:p>
      <w:pPr>
        <w:pStyle w:val="Heading2"/>
      </w:pPr>
      <w:r>
        <w:t>7.4 港口拥堵风险</w:t>
      </w:r>
    </w:p>
    <w:p>
      <w:pPr>
        <w:spacing w:line="324" w:lineRule="auto" w:after="100"/>
        <w:ind w:firstLine="420"/>
      </w:pPr>
      <w:r>
        <w:t>针对涉及水运和港口中转的运输任务，系统可调用港口拥堵分析结果，将港口拥堵趋势、拥堵等级、预计船舶等待时长以及未来一段时间港口运行状态叠加到相关港口节点和运输任务中。</w:t>
      </w:r>
    </w:p>
    <w:p>
      <w:pPr>
        <w:spacing w:line="324" w:lineRule="auto" w:after="100"/>
        <w:ind w:firstLine="420"/>
      </w:pPr>
      <w:r>
        <w:t>当运输任务经过的目标港口出现拥堵风险时，在地图端突出港口节点，并在任务详情显示“港口拥堵可能影响到港/靠泊时效”等风险提示；该信息作为预测和风险研判的辅助依据，不直接替代实际港口作业结果。</w:t>
      </w:r>
    </w:p>
    <w:p>
      <w:pPr>
        <w:pStyle w:val="Heading2"/>
      </w:pPr>
      <w:r>
        <w:t>7.5 环境异常风险</w:t>
      </w:r>
    </w:p>
    <w:p>
      <w:pPr>
        <w:spacing w:line="324" w:lineRule="auto" w:after="100"/>
        <w:ind w:firstLine="420"/>
      </w:pPr>
      <w:r>
        <w:t>系统汇聚气象预报、政策预警、海况等环境信息，并与运输线路、运输节点和运输任务进行空间与时间匹配，识别受影响的在途任务和计划任务。</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835"/>
            <w:shd w:fill="E7E6E6"/>
            <w:vAlign w:val="center"/>
            <w:tcMar>
              <w:top w:w="90" w:type="dxa"/>
              <w:start w:w="90" w:type="dxa"/>
              <w:bottom w:w="90" w:type="dxa"/>
              <w:end w:w="90" w:type="dxa"/>
            </w:tcMar>
          </w:tcPr>
          <w:p>
            <w:pPr>
              <w:jc w:val="center"/>
            </w:pPr>
            <w:r>
              <w:rPr>
                <w:rFonts w:ascii="Noto Sans CJK SC" w:hAnsi="Noto Sans CJK SC" w:eastAsia="Noto Sans CJK SC"/>
                <w:b/>
                <w:sz w:val="17"/>
              </w:rPr>
              <w:t>字段</w:t>
            </w:r>
          </w:p>
        </w:tc>
        <w:tc>
          <w:tcPr>
            <w:tcW w:type="dxa" w:w="6576"/>
            <w:shd w:fill="E7E6E6"/>
            <w:vAlign w:val="center"/>
            <w:tcMar>
              <w:top w:w="90" w:type="dxa"/>
              <w:start w:w="90" w:type="dxa"/>
              <w:bottom w:w="90" w:type="dxa"/>
              <w:end w:w="90" w:type="dxa"/>
            </w:tcMar>
          </w:tcPr>
          <w:p>
            <w:pPr>
              <w:jc w:val="center"/>
            </w:pPr>
            <w:r>
              <w:rPr>
                <w:rFonts w:ascii="Noto Sans CJK SC" w:hAnsi="Noto Sans CJK SC" w:eastAsia="Noto Sans CJK SC"/>
                <w:b/>
                <w:sz w:val="17"/>
              </w:rPr>
              <w:t>说明</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环境异常事件</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台风、强降雨、大风大雾、海况异常、相关政策或通行限制等</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受影响区域</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异常事件覆盖的空间范围</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受影响线路及节点</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与异常范围重叠的运输线路、港口、铁路站等</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受影响任务</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处于影响范围内的在途任务和计划任务</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预计影响时间</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异常事件可能影响运输的时间范围</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影响程度</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对运输时效、通行和节点作业的风险程度</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风险提示</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对可能出现的运输停滞、时效延期等进行说明</w:t>
            </w:r>
          </w:p>
        </w:tc>
      </w:tr>
    </w:tbl>
    <w:p>
      <w:pPr>
        <w:spacing w:after="0"/>
      </w:pPr>
    </w:p>
    <w:p>
      <w:pPr>
        <w:pStyle w:val="Heading2"/>
      </w:pPr>
      <w:r>
        <w:t>7.6 预警监测页面</w:t>
      </w:r>
    </w:p>
    <w:p>
      <w:pPr>
        <w:spacing w:line="324" w:lineRule="auto" w:after="100"/>
        <w:ind w:firstLine="420"/>
      </w:pPr>
      <w:r>
        <w:t>预测预警页面以“风险任务列表 + 地图风险分布 + 预警统计”为主，不再单独建设复杂预测任务后台。用户重点查看哪些运输任务存在风险、风险发生在哪里、预计会晚多久、由什么因素导致，并可直接穿透到全程跟踪页面。</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721"/>
            <w:shd w:fill="E7E6E6"/>
            <w:vAlign w:val="center"/>
            <w:tcMar>
              <w:top w:w="90" w:type="dxa"/>
              <w:start w:w="90" w:type="dxa"/>
              <w:bottom w:w="90" w:type="dxa"/>
              <w:end w:w="90" w:type="dxa"/>
            </w:tcMar>
          </w:tcPr>
          <w:p>
            <w:pPr>
              <w:jc w:val="center"/>
            </w:pPr>
            <w:r>
              <w:rPr>
                <w:rFonts w:ascii="Noto Sans CJK SC" w:hAnsi="Noto Sans CJK SC" w:eastAsia="Noto Sans CJK SC"/>
                <w:b/>
                <w:sz w:val="17"/>
              </w:rPr>
              <w:t>列表字段</w:t>
            </w:r>
          </w:p>
        </w:tc>
        <w:tc>
          <w:tcPr>
            <w:tcW w:type="dxa" w:w="6690"/>
            <w:shd w:fill="E7E6E6"/>
            <w:vAlign w:val="center"/>
            <w:tcMar>
              <w:top w:w="90" w:type="dxa"/>
              <w:start w:w="90" w:type="dxa"/>
              <w:bottom w:w="90" w:type="dxa"/>
              <w:end w:w="90" w:type="dxa"/>
            </w:tcMar>
          </w:tcPr>
          <w:p>
            <w:pPr>
              <w:jc w:val="center"/>
            </w:pPr>
            <w:r>
              <w:rPr>
                <w:rFonts w:ascii="Noto Sans CJK SC" w:hAnsi="Noto Sans CJK SC" w:eastAsia="Noto Sans CJK SC"/>
                <w:b/>
                <w:sz w:val="17"/>
              </w:rPr>
              <w:t>内容</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预警编号</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系统生成的预警唯一编号</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运输任务编号</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关联具体运输任务</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粮食贸易企业/物流运营商</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业务主体</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运输方式</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公路/铁路/水运/多式联运</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预警类型</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延误、偏航、停留、节点超时、港口拥堵、环境风险等</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预警等级</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按平台规则配置的风险等级</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发生位置/节点</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地图位置或业务节点</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预计影响</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预计延误时间、影响节点或影响范围</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开始时间/持续时间</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异常发生及持续情况</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当前状态</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新发生、持续中、已恢复/已解除等</w:t>
            </w:r>
          </w:p>
        </w:tc>
      </w:tr>
      <w:tr>
        <w:tc>
          <w:tcPr>
            <w:tcW w:type="dxa" w:w="272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操作</w:t>
            </w:r>
          </w:p>
        </w:tc>
        <w:tc>
          <w:tcPr>
            <w:tcW w:type="dxa" w:w="669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查看任务、查看地图、查看详情</w:t>
            </w:r>
          </w:p>
        </w:tc>
      </w:tr>
    </w:tbl>
    <w:p>
      <w:pPr>
        <w:spacing w:after="0"/>
      </w:pPr>
    </w:p>
    <w:p>
      <w:pPr>
        <w:pStyle w:val="Heading1"/>
      </w:pPr>
      <w:r>
        <w:t>8. 专题视图</w:t>
      </w:r>
    </w:p>
    <w:p>
      <w:pPr>
        <w:pStyle w:val="Heading2"/>
      </w:pPr>
      <w:r>
        <w:t>8.1 功能描述</w:t>
      </w:r>
    </w:p>
    <w:p>
      <w:pPr>
        <w:spacing w:line="324" w:lineRule="auto" w:after="100"/>
        <w:ind w:firstLine="420"/>
      </w:pPr>
      <w:r>
        <w:t>专题视图针对公路、水运、铁路三类运输方式分别展示其特有的运输载具、轨迹、节点和异常信息。页面内部通过“公路 / 水运 / 铁路”页签切换，保持统一地图交互和筛选逻辑。</w:t>
      </w:r>
    </w:p>
    <w:p>
      <w:pPr>
        <w:pStyle w:val="Heading2"/>
      </w:pPr>
      <w:r>
        <w:t>8.2 公路运输专题</w:t>
      </w:r>
    </w:p>
    <w:p>
      <w:pPr>
        <w:spacing w:line="324" w:lineRule="auto" w:after="100"/>
        <w:ind w:firstLine="420"/>
      </w:pPr>
      <w:r>
        <w:t>围绕公路运输任务和车辆运行情况，在地图中展示运输线路、车辆位置、实际轨迹、历史轨迹、当前运输状态，并叠加路线偏离、异常停留、位置长时间未更新、预计延误等风险信息。</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381"/>
            <w:shd w:fill="E7E6E6"/>
            <w:vAlign w:val="center"/>
            <w:tcMar>
              <w:top w:w="90" w:type="dxa"/>
              <w:start w:w="90" w:type="dxa"/>
              <w:bottom w:w="90" w:type="dxa"/>
              <w:end w:w="90" w:type="dxa"/>
            </w:tcMar>
          </w:tcPr>
          <w:p>
            <w:pPr>
              <w:jc w:val="center"/>
            </w:pPr>
            <w:r>
              <w:rPr>
                <w:rFonts w:ascii="Noto Sans CJK SC" w:hAnsi="Noto Sans CJK SC" w:eastAsia="Noto Sans CJK SC"/>
                <w:b/>
                <w:sz w:val="17"/>
              </w:rPr>
              <w:t>信息类别</w:t>
            </w:r>
          </w:p>
        </w:tc>
        <w:tc>
          <w:tcPr>
            <w:tcW w:type="dxa" w:w="7030"/>
            <w:shd w:fill="E7E6E6"/>
            <w:vAlign w:val="center"/>
            <w:tcMar>
              <w:top w:w="90" w:type="dxa"/>
              <w:start w:w="90" w:type="dxa"/>
              <w:bottom w:w="90" w:type="dxa"/>
              <w:end w:w="90" w:type="dxa"/>
            </w:tcMar>
          </w:tcPr>
          <w:p>
            <w:pPr>
              <w:jc w:val="center"/>
            </w:pPr>
            <w:r>
              <w:rPr>
                <w:rFonts w:ascii="Noto Sans CJK SC" w:hAnsi="Noto Sans CJK SC" w:eastAsia="Noto Sans CJK SC"/>
                <w:b/>
                <w:sz w:val="17"/>
              </w:rPr>
              <w:t>字段/展示内容</w:t>
            </w:r>
          </w:p>
        </w:tc>
      </w:tr>
      <w:tr>
        <w:tc>
          <w:tcPr>
            <w:tcW w:type="dxa" w:w="238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w:t>
            </w:r>
          </w:p>
        </w:tc>
        <w:tc>
          <w:tcPr>
            <w:tcW w:type="dxa" w:w="703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车牌号、车辆类型、司机、当前位置、速度、最新定位时间</w:t>
            </w:r>
          </w:p>
        </w:tc>
      </w:tr>
      <w:tr>
        <w:tc>
          <w:tcPr>
            <w:tcW w:type="dxa" w:w="238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w:t>
            </w:r>
          </w:p>
        </w:tc>
        <w:tc>
          <w:tcPr>
            <w:tcW w:type="dxa" w:w="703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任务编号、粮食品种、批次、起讫地、运输数量、当前状态</w:t>
            </w:r>
          </w:p>
        </w:tc>
      </w:tr>
      <w:tr>
        <w:tc>
          <w:tcPr>
            <w:tcW w:type="dxa" w:w="238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轨迹</w:t>
            </w:r>
          </w:p>
        </w:tc>
        <w:tc>
          <w:tcPr>
            <w:tcW w:type="dxa" w:w="703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计划线路、实际轨迹、历史轨迹、剩余里程</w:t>
            </w:r>
          </w:p>
        </w:tc>
      </w:tr>
      <w:tr>
        <w:tc>
          <w:tcPr>
            <w:tcW w:type="dxa" w:w="238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预测</w:t>
            </w:r>
          </w:p>
        </w:tc>
        <w:tc>
          <w:tcPr>
            <w:tcW w:type="dxa" w:w="703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预计到达时间、剩余行驶时长、时效状态</w:t>
            </w:r>
          </w:p>
        </w:tc>
      </w:tr>
      <w:tr>
        <w:tc>
          <w:tcPr>
            <w:tcW w:type="dxa" w:w="238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风险</w:t>
            </w:r>
          </w:p>
        </w:tc>
        <w:tc>
          <w:tcPr>
            <w:tcW w:type="dxa" w:w="703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路线偏离、异常停留、定位异常、时效延误等</w:t>
            </w:r>
          </w:p>
        </w:tc>
      </w:tr>
    </w:tbl>
    <w:p>
      <w:pPr>
        <w:spacing w:after="0"/>
      </w:pPr>
    </w:p>
    <w:p>
      <w:pPr>
        <w:pStyle w:val="Heading2"/>
      </w:pPr>
      <w:r>
        <w:t>8.3 水运运输专题</w:t>
      </w:r>
    </w:p>
    <w:p>
      <w:pPr>
        <w:spacing w:line="324" w:lineRule="auto" w:after="100"/>
        <w:ind w:firstLine="420"/>
      </w:pPr>
      <w:r>
        <w:t>围绕船舶、航线、港口及水运运输任务进行展示，呈现船舶当前位置、航速航向、计划航线、实际航迹、挂靠港口、航次状态和预计到港时间，并叠加锚地等待、港口拥堵、台风、恶劣海况及禁航等相关风险信息。</w:t>
      </w:r>
    </w:p>
    <w:p>
      <w:pPr>
        <w:pStyle w:val="Heading2"/>
      </w:pPr>
      <w:r>
        <w:t>8.4 铁路运输专题</w:t>
      </w:r>
    </w:p>
    <w:p>
      <w:pPr>
        <w:spacing w:line="324" w:lineRule="auto" w:after="100"/>
        <w:ind w:firstLine="420"/>
      </w:pPr>
      <w:r>
        <w:t>围绕铁路运输任务、铁路线路和站点展示运输线路、发站、到站、途经站点、当前运输状态及关键到发/中转节点信息，并叠加停装、限装、线路调整及节点衔接异常等信息。</w:t>
      </w:r>
    </w:p>
    <w:p>
      <w:pPr>
        <w:pStyle w:val="Heading1"/>
      </w:pPr>
      <w:r>
        <w:t>9. 页面筛选与查询</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E7E6E6"/>
            <w:vAlign w:val="center"/>
            <w:tcMar>
              <w:top w:w="90" w:type="dxa"/>
              <w:start w:w="90" w:type="dxa"/>
              <w:bottom w:w="90" w:type="dxa"/>
              <w:end w:w="90" w:type="dxa"/>
            </w:tcMar>
          </w:tcPr>
          <w:p>
            <w:pPr>
              <w:jc w:val="center"/>
            </w:pPr>
            <w:r>
              <w:rPr>
                <w:rFonts w:ascii="Noto Sans CJK SC" w:hAnsi="Noto Sans CJK SC" w:eastAsia="Noto Sans CJK SC"/>
                <w:b/>
                <w:sz w:val="17"/>
              </w:rPr>
              <w:t>筛选类别</w:t>
            </w:r>
          </w:p>
        </w:tc>
        <w:tc>
          <w:tcPr>
            <w:tcW w:type="dxa" w:w="7143"/>
            <w:shd w:fill="E7E6E6"/>
            <w:vAlign w:val="center"/>
            <w:tcMar>
              <w:top w:w="90" w:type="dxa"/>
              <w:start w:w="90" w:type="dxa"/>
              <w:bottom w:w="90" w:type="dxa"/>
              <w:end w:w="90" w:type="dxa"/>
            </w:tcMar>
          </w:tcPr>
          <w:p>
            <w:pPr>
              <w:jc w:val="center"/>
            </w:pPr>
            <w:r>
              <w:rPr>
                <w:rFonts w:ascii="Noto Sans CJK SC" w:hAnsi="Noto Sans CJK SC" w:eastAsia="Noto Sans CJK SC"/>
                <w:b/>
                <w:sz w:val="17"/>
              </w:rPr>
              <w:t>建议字段</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业务标识</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运输任务编号、运输需求编号、联运运单号/统一业务编号、合同编号</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业务主体</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粮食贸易企业、物流运营商</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货物</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粮食品种、粮食批次、装载方式</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运输方式</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公路、铁路、水运、多式联运</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空间条件</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起运地、目的地、当前所在区域、重点节点/港口</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状态</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待发运、在途、中转、到达、完成</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时效</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正常、预计提前、预计延误</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风险</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有无预警、预警等级、预警类型</w:t>
            </w:r>
          </w:p>
        </w:tc>
      </w:tr>
      <w:tr>
        <w:tc>
          <w:tcPr>
            <w:tcW w:type="dxa" w:w="2268"/>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时间</w:t>
            </w:r>
          </w:p>
        </w:tc>
        <w:tc>
          <w:tcPr>
            <w:tcW w:type="dxa" w:w="7143"/>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计划发运时间、实际发运时间、预计到达时间、完成时间</w:t>
            </w:r>
          </w:p>
        </w:tc>
      </w:tr>
    </w:tbl>
    <w:p>
      <w:pPr>
        <w:spacing w:after="0"/>
      </w:pPr>
    </w:p>
    <w:p>
      <w:pPr>
        <w:pStyle w:val="Heading1"/>
      </w:pPr>
      <w:r>
        <w:t>10. 数据联动与状态更新</w:t>
      </w:r>
    </w:p>
    <w:p>
      <w:pPr>
        <w:spacing w:line="324" w:lineRule="auto" w:after="100"/>
        <w:ind w:firstLine="420"/>
      </w:pPr>
      <w:r>
        <w:t>运输全程可视化不单独维护运输执行状态，所有状态以运输任务、司机小程序、外部物流系统以及EPCIS事件归集结果为准。系统接收到装货、发运、中转、到达、卸货、签收等事件后，更新任务当前节点、地图位置和时间轴。</w:t>
      </w:r>
    </w:p>
    <w:p>
      <w:pPr>
        <w:spacing w:line="324" w:lineRule="auto" w:after="100"/>
        <w:ind w:firstLine="420"/>
      </w:pPr>
      <w:r>
        <w:t>ETA预测结果和预警结果作为辅助监测数据与运输任务关联，不直接修改合同、结算或业务执行结果。预测发生变化时更新预计到达时间和风险状态；实际节点事件到达后，以实际执行结果覆盖计划状态，并作为后续预测校正和历史分析的依据。</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3402"/>
            <w:shd w:fill="E7E6E6"/>
            <w:vAlign w:val="center"/>
            <w:tcMar>
              <w:top w:w="90" w:type="dxa"/>
              <w:start w:w="90" w:type="dxa"/>
              <w:bottom w:w="90" w:type="dxa"/>
              <w:end w:w="90" w:type="dxa"/>
            </w:tcMar>
          </w:tcPr>
          <w:p>
            <w:pPr>
              <w:jc w:val="center"/>
            </w:pPr>
            <w:r>
              <w:rPr>
                <w:rFonts w:ascii="Noto Sans CJK SC" w:hAnsi="Noto Sans CJK SC" w:eastAsia="Noto Sans CJK SC"/>
                <w:b/>
                <w:sz w:val="17"/>
              </w:rPr>
              <w:t>事件/数据变化</w:t>
            </w:r>
          </w:p>
        </w:tc>
        <w:tc>
          <w:tcPr>
            <w:tcW w:type="dxa" w:w="6009"/>
            <w:shd w:fill="E7E6E6"/>
            <w:vAlign w:val="center"/>
            <w:tcMar>
              <w:top w:w="90" w:type="dxa"/>
              <w:start w:w="90" w:type="dxa"/>
              <w:bottom w:w="90" w:type="dxa"/>
              <w:end w:w="90" w:type="dxa"/>
            </w:tcMar>
          </w:tcPr>
          <w:p>
            <w:pPr>
              <w:jc w:val="center"/>
            </w:pPr>
            <w:r>
              <w:rPr>
                <w:rFonts w:ascii="Noto Sans CJK SC" w:hAnsi="Noto Sans CJK SC" w:eastAsia="Noto Sans CJK SC"/>
                <w:b/>
                <w:sz w:val="17"/>
              </w:rPr>
              <w:t>可视化联动</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车辆/船舶位置更新</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刷新地图位置、轨迹、剩余距离及相关ETA</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装货/发运/到站/到港等节点事件</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推进运输时间轴和当前节点</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ETA重新预测</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更新预计到达时间、剩余时长和提前/延误状态</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异常规则触发</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生成预警并在列表、地图和任务详情同步标识</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环境异常/港口拥堵变化</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更新受影响线路、节点和运输任务风险标签</w:t>
            </w:r>
          </w:p>
        </w:tc>
      </w:tr>
      <w:tr>
        <w:tc>
          <w:tcPr>
            <w:tcW w:type="dxa" w:w="3402"/>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任务签收/完成</w:t>
            </w:r>
          </w:p>
        </w:tc>
        <w:tc>
          <w:tcPr>
            <w:tcW w:type="dxa" w:w="6009"/>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更新为已完成并沉淀计划与实际执行结果</w:t>
            </w:r>
          </w:p>
        </w:tc>
      </w:tr>
    </w:tbl>
    <w:p>
      <w:pPr>
        <w:spacing w:after="0"/>
      </w:pPr>
    </w:p>
    <w:p>
      <w:pPr>
        <w:pStyle w:val="Heading1"/>
      </w:pPr>
      <w:r>
        <w:t>11. 数据来源</w:t>
      </w:r>
    </w:p>
    <w:p>
      <w:pPr>
        <w:spacing w:line="324" w:lineRule="auto" w:after="100"/>
        <w:ind w:firstLine="420"/>
      </w:pPr>
      <w:r>
        <w:t>本模块的数据来源与原需规保持一致，主要包括系统内部业务数据、移动端执行反馈及外部物流数据。</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551"/>
            <w:shd w:fill="E7E6E6"/>
            <w:vAlign w:val="center"/>
            <w:tcMar>
              <w:top w:w="90" w:type="dxa"/>
              <w:start w:w="90" w:type="dxa"/>
              <w:bottom w:w="90" w:type="dxa"/>
              <w:end w:w="90" w:type="dxa"/>
            </w:tcMar>
          </w:tcPr>
          <w:p>
            <w:pPr>
              <w:jc w:val="center"/>
            </w:pPr>
            <w:r>
              <w:rPr>
                <w:rFonts w:ascii="Noto Sans CJK SC" w:hAnsi="Noto Sans CJK SC" w:eastAsia="Noto Sans CJK SC"/>
                <w:b/>
                <w:sz w:val="17"/>
              </w:rPr>
              <w:t>数据来源</w:t>
            </w:r>
          </w:p>
        </w:tc>
        <w:tc>
          <w:tcPr>
            <w:tcW w:type="dxa" w:w="6860"/>
            <w:shd w:fill="E7E6E6"/>
            <w:vAlign w:val="center"/>
            <w:tcMar>
              <w:top w:w="90" w:type="dxa"/>
              <w:start w:w="90" w:type="dxa"/>
              <w:bottom w:w="90" w:type="dxa"/>
              <w:end w:w="90" w:type="dxa"/>
            </w:tcMar>
          </w:tcPr>
          <w:p>
            <w:pPr>
              <w:jc w:val="center"/>
            </w:pPr>
            <w:r>
              <w:rPr>
                <w:rFonts w:ascii="Noto Sans CJK SC" w:hAnsi="Noto Sans CJK SC" w:eastAsia="Noto Sans CJK SC"/>
                <w:b/>
                <w:sz w:val="17"/>
              </w:rPr>
              <w:t>主要数据</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运输业务数据</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运输需求、联运方案、合同、运输委托、多式联运运单、运输任务、粮食批次</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公路数据</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车辆档案、司机、GPS位置与轨迹、道路路网、历史运输时效</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水运数据</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船舶档案、AIS位置与轨迹、航次计划、港口到离状态、港口运行信息</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铁路数据</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铁路运单、发到站、中转节点、运输状态及可获取的行业数据</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移动端反馈</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装货、发运、在途、中转、到达、卸货、签收及异常反馈</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EPCIS事件</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出库、装车、发运、到站、中转、装箱、装船、到港、交付、签收等标准事件</w:t>
            </w:r>
          </w:p>
        </w:tc>
      </w:tr>
      <w:tr>
        <w:tc>
          <w:tcPr>
            <w:tcW w:type="dxa" w:w="2551"/>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环境与风险数据</w:t>
            </w:r>
          </w:p>
        </w:tc>
        <w:tc>
          <w:tcPr>
            <w:tcW w:type="dxa" w:w="6860"/>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气象预报、海况、政策预警、港口拥堵分析结果等</w:t>
            </w:r>
          </w:p>
        </w:tc>
      </w:tr>
    </w:tbl>
    <w:p>
      <w:pPr>
        <w:spacing w:after="0"/>
      </w:pPr>
    </w:p>
    <w:p>
      <w:pPr>
        <w:pStyle w:val="Heading1"/>
      </w:pPr>
      <w:r>
        <w:t>12. 关键业务规则</w:t>
      </w:r>
    </w:p>
    <w:p>
      <w:pPr>
        <w:pStyle w:val="ListBullet"/>
        <w:spacing w:after="40"/>
      </w:pPr>
      <w:r>
        <w:t>“运输全程可视化”作为一级菜单同时覆盖运输监测、ETA预测和异常预警，不再保留独立的“运输预测与预警”一级菜单。</w:t>
      </w:r>
    </w:p>
    <w:p>
      <w:pPr>
        <w:pStyle w:val="ListBullet"/>
        <w:spacing w:after="40"/>
      </w:pPr>
      <w:r>
        <w:t>菜单对粮食贸易企业、物流运营商、平台运营方三个角色均可见，但数据范围按企业与运输业务的关联关系控制；平台运营方可查看全部业务。</w:t>
      </w:r>
    </w:p>
    <w:p>
      <w:pPr>
        <w:pStyle w:val="ListBullet"/>
        <w:spacing w:after="40"/>
      </w:pPr>
      <w:r>
        <w:t>多式联运服务管理中的“联运跟踪”负责运输任务编排、司机/车辆/箱号配置和执行反馈；运输全程可视化负责监测展示、预测和风险分析，避免功能重复。</w:t>
      </w:r>
    </w:p>
    <w:p>
      <w:pPr>
        <w:pStyle w:val="ListBullet"/>
        <w:spacing w:after="40"/>
      </w:pPr>
      <w:r>
        <w:t>预测结果为辅助判断，不替代实际运输节点和实际到达结果；当实际节点数据产生后，应以实际执行结果为准。</w:t>
      </w:r>
    </w:p>
    <w:p>
      <w:pPr>
        <w:pStyle w:val="ListBullet"/>
        <w:spacing w:after="40"/>
      </w:pPr>
      <w:r>
        <w:t>公路运输重点采用车辆GPS进行位置与ETA分析；水运重点采用AIS、航次和港口数据；铁路依据可获取的铁路到发和中转数据展示运行进度。</w:t>
      </w:r>
    </w:p>
    <w:p>
      <w:pPr>
        <w:pStyle w:val="ListBullet"/>
        <w:spacing w:after="40"/>
      </w:pPr>
      <w:r>
        <w:t>异常预警必须关联运输任务、运载工具、节点或位置，支持从预警直接穿透到对应任务全程跟踪详情。</w:t>
      </w:r>
    </w:p>
    <w:p>
      <w:pPr>
        <w:pStyle w:val="ListBullet"/>
        <w:spacing w:after="40"/>
      </w:pPr>
      <w:r>
        <w:t>港口拥堵、气象、海况、政策等外部风险作为运输风险辅助信息，不应在数据不足时输出失真的精确延误时间。</w:t>
      </w:r>
    </w:p>
    <w:p>
      <w:pPr>
        <w:pStyle w:val="ListBullet"/>
        <w:spacing w:after="40"/>
      </w:pPr>
      <w:r>
        <w:t>预测和分析结果应保留数据质量或可信度信息，在GPS/AIS长时间离线、关键字段缺失等情况下对结果进行降级展示。</w:t>
      </w:r>
    </w:p>
    <w:p>
      <w:pPr>
        <w:pStyle w:val="Heading1"/>
      </w:pPr>
      <w:r>
        <w:t>13. 应用场景</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835"/>
            <w:shd w:fill="E7E6E6"/>
            <w:vAlign w:val="center"/>
            <w:tcMar>
              <w:top w:w="90" w:type="dxa"/>
              <w:start w:w="90" w:type="dxa"/>
              <w:bottom w:w="90" w:type="dxa"/>
              <w:end w:w="90" w:type="dxa"/>
            </w:tcMar>
          </w:tcPr>
          <w:p>
            <w:pPr>
              <w:jc w:val="center"/>
            </w:pPr>
            <w:r>
              <w:rPr>
                <w:rFonts w:ascii="Noto Sans CJK SC" w:hAnsi="Noto Sans CJK SC" w:eastAsia="Noto Sans CJK SC"/>
                <w:b/>
                <w:sz w:val="17"/>
              </w:rPr>
              <w:t>场景</w:t>
            </w:r>
          </w:p>
        </w:tc>
        <w:tc>
          <w:tcPr>
            <w:tcW w:type="dxa" w:w="6576"/>
            <w:shd w:fill="E7E6E6"/>
            <w:vAlign w:val="center"/>
            <w:tcMar>
              <w:top w:w="90" w:type="dxa"/>
              <w:start w:w="90" w:type="dxa"/>
              <w:bottom w:w="90" w:type="dxa"/>
              <w:end w:w="90" w:type="dxa"/>
            </w:tcMar>
          </w:tcPr>
          <w:p>
            <w:pPr>
              <w:jc w:val="center"/>
            </w:pPr>
            <w:r>
              <w:rPr>
                <w:rFonts w:ascii="Noto Sans CJK SC" w:hAnsi="Noto Sans CJK SC" w:eastAsia="Noto Sans CJK SC"/>
                <w:b/>
                <w:sz w:val="17"/>
              </w:rPr>
              <w:t>业务过程</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粮食贸易企业查看在途粮食</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进入运行总览查看本企业在途任务和预计延误数量 → 点击风险任务 → 进入全程跟踪查看当前区段、车辆/船舶位置、ETA和异常节点</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物流运营商关注运输时效</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在预测预警中筛选本企业高风险任务 → 查看延误原因和位置 → 结合前置联运跟踪模块开展实际运输组织和异常协调</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平台运营方监测整体运行</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查看全平台任务、运输方式分布和异常数量 → 在地图识别重点风险区域/港口 → 下钻查看受影响任务和运输主体</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港口拥堵影响水运任务</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港口拥堵等级上升 → 相关港口节点在地图标识 → 关联水运任务显示预计等待时间和风险提示 → ETA结果动态更新</w:t>
            </w:r>
          </w:p>
        </w:tc>
      </w:tr>
      <w:tr>
        <w:tc>
          <w:tcPr>
            <w:tcW w:type="dxa" w:w="2835"/>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环境异常影响线路</w:t>
            </w:r>
          </w:p>
        </w:tc>
        <w:tc>
          <w:tcPr>
            <w:tcW w:type="dxa" w:w="6576"/>
            <w:vAlign w:val="center"/>
            <w:tcMar>
              <w:top w:w="90" w:type="dxa"/>
              <w:start w:w="90" w:type="dxa"/>
              <w:bottom w:w="90" w:type="dxa"/>
              <w:end w:w="90" w:type="dxa"/>
            </w:tcMar>
          </w:tcPr>
          <w:p>
            <w:pPr>
              <w:spacing w:after="0" w:line="252" w:lineRule="auto"/>
            </w:pPr>
            <w:r>
              <w:rPr>
                <w:rFonts w:ascii="Noto Sans CJK SC" w:hAnsi="Noto Sans CJK SC" w:eastAsia="Noto Sans CJK SC"/>
                <w:sz w:val="17"/>
              </w:rPr>
              <w:t>气象/海况/政策异常与线路空间范围匹配 → 标识受影响线路、节点和任务 → 形成风险清单并推送页面提醒</w:t>
            </w:r>
          </w:p>
        </w:tc>
      </w:tr>
    </w:tbl>
    <w:p>
      <w:pPr>
        <w:spacing w:after="0"/>
      </w:pPr>
    </w:p>
    <w:p>
      <w:pPr>
        <w:pStyle w:val="Heading1"/>
      </w:pPr>
      <w:r>
        <w:t>14. 功能目标</w:t>
      </w:r>
    </w:p>
    <w:p>
      <w:pPr>
        <w:spacing w:line="324" w:lineRule="auto" w:after="100"/>
        <w:ind w:firstLine="420"/>
      </w:pPr>
      <w:r>
        <w:t>通过将运输预测预警能力直接嵌入运输全程可视化，形成一个统一的运行监测入口，使用户在同一业务界面完成“看任务、看位置、看节点、看ETA、看异常、看风险”的全过程监测，减少重复菜单和页面跳转。</w:t>
      </w:r>
    </w:p>
    <w:p>
      <w:pPr>
        <w:spacing w:line="324" w:lineRule="auto" w:after="100"/>
        <w:ind w:firstLine="420"/>
      </w:pPr>
      <w:r>
        <w:t>同时通过公路GPS、水运AIS、铁路节点、移动端执行反馈、EPCIS事件以及港口和环境风险数据的持续关联，形成从计划运输到实际执行、从当前状态到未来风险的连续运输视图，为粮食贸易企业、物流运营商和平台运营方提供统一的运输过程透明化能力。</w:t>
      </w:r>
    </w:p>
    <w:p>
      <w:pPr>
        <w:pStyle w:val="Heading1"/>
      </w:pPr>
      <w:r>
        <w:t>15. 验收要点</w:t>
      </w:r>
    </w:p>
    <w:p>
      <w:pPr>
        <w:spacing w:after="60"/>
      </w:pPr>
      <w:r>
        <w:t>1. 一级菜单仅保留“运输全程可视化”，原“运输预测与预警”能力已合并进入该菜单。</w:t>
      </w:r>
    </w:p>
    <w:p>
      <w:pPr>
        <w:spacing w:after="60"/>
      </w:pPr>
      <w:r>
        <w:t>2. 粮食贸易企业、物流运营商、平台运营方均可访问本菜单，且数据权限符合业务归属。</w:t>
      </w:r>
    </w:p>
    <w:p>
      <w:pPr>
        <w:spacing w:after="60"/>
      </w:pPr>
      <w:r>
        <w:t>3. 运行总览可同时展示运输任务、地图分布、运输方式、时效和风险指标。</w:t>
      </w:r>
    </w:p>
    <w:p>
      <w:pPr>
        <w:spacing w:after="60"/>
      </w:pPr>
      <w:r>
        <w:t>4. 全程跟踪可将公路、铁路、水运区段串联展示，并展示关键物流节点时间轴。</w:t>
      </w:r>
    </w:p>
    <w:p>
      <w:pPr>
        <w:spacing w:after="60"/>
      </w:pPr>
      <w:r>
        <w:t>5. 公路任务可展示车辆位置/轨迹；水运任务可展示船舶AIS位置/航迹；铁路任务可展示发到站及中转进度。</w:t>
      </w:r>
    </w:p>
    <w:p>
      <w:pPr>
        <w:spacing w:after="60"/>
      </w:pPr>
      <w:r>
        <w:t>6. 任务详情可展示计划到达时间、ETA、预计剩余时长和提前/延误状态。</w:t>
      </w:r>
    </w:p>
    <w:p>
      <w:pPr>
        <w:spacing w:after="60"/>
      </w:pPr>
      <w:r>
        <w:t>7. ETA可在任务启动、位置变化、关键节点变化等情况下更新，并保留预测可信度或数据质量状态。</w:t>
      </w:r>
    </w:p>
    <w:p>
      <w:pPr>
        <w:spacing w:after="60"/>
      </w:pPr>
      <w:r>
        <w:t>8. 系统能够识别并展示路线偏离、异常停留、位置未更新、节点超时、衔接超时、时效延误等异常。</w:t>
      </w:r>
    </w:p>
    <w:p>
      <w:pPr>
        <w:spacing w:after="60"/>
      </w:pPr>
      <w:r>
        <w:t>9. 港口拥堵和环境异常信息可与相关线路、节点和任务建立关联并在地图/任务详情中展示。</w:t>
      </w:r>
    </w:p>
    <w:p>
      <w:pPr>
        <w:spacing w:after="60"/>
      </w:pPr>
      <w:r>
        <w:t>10. 预警列表可按运输方式、异常类型、风险等级、线路、主体和时间筛选，并可穿透到任务详情。</w:t>
      </w:r>
    </w:p>
    <w:p>
      <w:pPr>
        <w:spacing w:after="60"/>
      </w:pPr>
      <w:r>
        <w:t>11. 专题视图支持公路、水运、铁路页签切换，不新增过多二级菜单。</w:t>
      </w:r>
    </w:p>
    <w:p>
      <w:pPr>
        <w:spacing w:after="60"/>
      </w:pPr>
      <w:r>
        <w:t>12. 运输全程可视化不承担司机派车、任务下发等执行操作，与前置“联运跟踪”职责边界清晰。</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智能多式联运物流数据系统｜运输全程可视化需求规格说明 V1.0   </w:t>
    </w:r>
    <w:r>
      <w:t xml:space="preserve">第 </w:t>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SC" w:hAnsi="Noto Sans CJK SC" w:eastAsia="Noto Sans CJK SC"/>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