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color w:val="AA0014"/>
          <w:sz w:val="44"/>
        </w:rPr>
        <w:t>智能多式联运物流数据系统</w:t>
      </w:r>
    </w:p>
    <w:p>
      <w:pPr>
        <w:jc w:val="center"/>
      </w:pPr>
      <w:r>
        <w:rPr>
          <w:rFonts w:ascii="Noto Sans CJK SC" w:hAnsi="Noto Sans CJK SC" w:eastAsia="Noto Sans CJK SC"/>
          <w:b/>
          <w:sz w:val="56"/>
        </w:rPr>
        <w:t>多式联运服务管理需求规格说明</w:t>
      </w:r>
    </w:p>
    <w:p>
      <w:pPr>
        <w:spacing w:before="280"/>
        <w:jc w:val="center"/>
      </w:pPr>
      <w:r>
        <w:rPr>
          <w:color w:val="646464"/>
          <w:sz w:val="26"/>
        </w:rPr>
        <w:t>V1.0  ·  业务流程重构版</w:t>
      </w:r>
    </w:p>
    <w:tbl>
      <w:tblPr>
        <w:tblStyle w:val="TableGrid"/>
        <w:tblW w:type="auto" w:w="0"/>
        <w:jc w:val="center"/>
        <w:tblLook w:firstColumn="1" w:firstRow="1" w:lastColumn="0" w:lastRow="0" w:noHBand="0" w:noVBand="1" w:val="04A0"/>
      </w:tblPr>
      <w:tblGrid>
        <w:gridCol w:w="10312"/>
      </w:tblGrid>
      <w:tr>
        <w:tc>
          <w:tcPr>
            <w:tcW w:type="dxa" w:w="10312"/>
            <w:shd w:fill="F8F8F8"/>
          </w:tcPr>
          <w:p>
            <w:pPr>
              <w:spacing w:after="60"/>
            </w:pPr>
            <w:r/>
            <w:r>
              <w:rPr>
                <w:rFonts w:ascii="Noto Sans CJK SC" w:hAnsi="Noto Sans CJK SC" w:eastAsia="Noto Sans CJK SC"/>
                <w:b/>
                <w:color w:val="A00014"/>
                <w:sz w:val="21"/>
              </w:rPr>
              <w:t>本版设计重点</w:t>
            </w:r>
          </w:p>
          <w:p>
            <w:pPr>
              <w:pStyle w:val="TableText"/>
              <w:spacing w:after="0"/>
            </w:pPr>
            <w:r>
              <w:rPr>
                <w:sz w:val="18"/>
              </w:rPr>
              <w:t>承接“供需管理 → 多式联运方案 → 供需匹配大厅 → 合同管理”后的运输执行阶段，统一解决联运组织、散改集衔接、司机/车辆执行编排、小程序执行反馈以及全过程联运跟踪问题。</w:t>
            </w:r>
          </w:p>
        </w:tc>
      </w:tr>
    </w:tbl>
    <w:p/>
    <w:p>
      <w:pPr>
        <w:spacing w:before="1600"/>
        <w:jc w:val="center"/>
      </w:pPr>
      <w:r>
        <w:rPr>
          <w:color w:val="6E6E6E"/>
          <w:sz w:val="24"/>
        </w:rPr>
        <w:t>2026 年 10 月</w:t>
      </w:r>
    </w:p>
    <w:p>
      <w:r>
        <w:br w:type="page"/>
      </w:r>
    </w:p>
    <w:p>
      <w:pPr>
        <w:pStyle w:val="Heading1"/>
      </w:pPr>
      <w:r>
        <w:t>1  建设定位与设计结论</w:t>
      </w:r>
    </w:p>
    <w:p>
      <w:r>
        <w:t>多式联运服务管理位于供需匹配、合同签署之后，是系统由“撮合成交”进入“运输组织与执行”的核心承接模块。系统以已确认的运输需求、已确认的完整多式联运方案、匹配成交结果和已生效合同为业务输入，形成统一的联运业务主线，并将实际运输过程中产生的粮食批次、运输任务、车辆、司机、集装箱、铁路运单、船舶航次和关键物流事件持续关联。</w:t>
      </w:r>
    </w:p>
    <w:tbl>
      <w:tblPr>
        <w:tblStyle w:val="TableGrid"/>
        <w:tblW w:type="auto" w:w="0"/>
        <w:jc w:val="center"/>
        <w:tblLook w:firstColumn="1" w:firstRow="1" w:lastColumn="0" w:lastRow="0" w:noHBand="0" w:noVBand="1" w:val="04A0"/>
      </w:tblPr>
      <w:tblGrid>
        <w:gridCol w:w="10312"/>
      </w:tblGrid>
      <w:tr>
        <w:tc>
          <w:tcPr>
            <w:tcW w:type="dxa" w:w="10312"/>
            <w:shd w:fill="FBEAEC"/>
          </w:tcPr>
          <w:p>
            <w:pPr>
              <w:spacing w:after="60"/>
            </w:pPr>
            <w:r/>
            <w:r>
              <w:rPr>
                <w:rFonts w:ascii="Noto Sans CJK SC" w:hAnsi="Noto Sans CJK SC" w:eastAsia="Noto Sans CJK SC"/>
                <w:b/>
                <w:color w:val="A00014"/>
                <w:sz w:val="21"/>
              </w:rPr>
              <w:t>推荐的二级菜单</w:t>
            </w:r>
          </w:p>
          <w:p>
            <w:pPr>
              <w:pStyle w:val="TableText"/>
              <w:spacing w:after="0"/>
            </w:pPr>
            <w:r>
              <w:rPr>
                <w:sz w:val="18"/>
              </w:rPr>
              <w:t>① 联运组织管理　② 散改集管理　③ 联运跟踪。</w:t>
              <w:br/>
              <w:t>不建议将第一个二级菜单直接命名为“一单制联运管理”，因为该页面同时要承载“使用多式联运运单”和“不使用多式联运运单”两种组织模式。用“联运组织管理”作为上位名称更准确。</w:t>
            </w:r>
          </w:p>
        </w:tc>
      </w:tr>
    </w:tbl>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814"/>
            <w:shd w:fill="C5001A"/>
            <w:vAlign w:val="center"/>
          </w:tcPr>
          <w:p>
            <w:pPr>
              <w:pStyle w:val="TableText"/>
              <w:jc w:val="center"/>
            </w:pPr>
            <w:r/>
            <w:r>
              <w:rPr>
                <w:rFonts w:ascii="Noto Sans CJK SC" w:hAnsi="Noto Sans CJK SC" w:eastAsia="Noto Sans CJK SC"/>
                <w:b/>
                <w:color w:val="FFFFFF"/>
                <w:sz w:val="17"/>
              </w:rPr>
              <w:t>一级菜单</w:t>
            </w:r>
          </w:p>
        </w:tc>
        <w:tc>
          <w:tcPr>
            <w:tcW w:type="dxa" w:w="1814"/>
            <w:shd w:fill="C5001A"/>
            <w:vAlign w:val="center"/>
          </w:tcPr>
          <w:p>
            <w:pPr>
              <w:pStyle w:val="TableText"/>
              <w:jc w:val="center"/>
            </w:pPr>
            <w:r/>
            <w:r>
              <w:rPr>
                <w:rFonts w:ascii="Noto Sans CJK SC" w:hAnsi="Noto Sans CJK SC" w:eastAsia="Noto Sans CJK SC"/>
                <w:b/>
                <w:color w:val="FFFFFF"/>
                <w:sz w:val="17"/>
              </w:rPr>
              <w:t>二级菜单</w:t>
            </w:r>
          </w:p>
        </w:tc>
        <w:tc>
          <w:tcPr>
            <w:tcW w:type="dxa" w:w="2551"/>
            <w:shd w:fill="C5001A"/>
            <w:vAlign w:val="center"/>
          </w:tcPr>
          <w:p>
            <w:pPr>
              <w:pStyle w:val="TableText"/>
              <w:jc w:val="center"/>
            </w:pPr>
            <w:r/>
            <w:r>
              <w:rPr>
                <w:rFonts w:ascii="Noto Sans CJK SC" w:hAnsi="Noto Sans CJK SC" w:eastAsia="Noto Sans CJK SC"/>
                <w:b/>
                <w:color w:val="FFFFFF"/>
                <w:sz w:val="17"/>
              </w:rPr>
              <w:t>页面内部组织</w:t>
            </w:r>
          </w:p>
        </w:tc>
        <w:tc>
          <w:tcPr>
            <w:tcW w:type="dxa" w:w="3969"/>
            <w:shd w:fill="C5001A"/>
            <w:vAlign w:val="center"/>
          </w:tcPr>
          <w:p>
            <w:pPr>
              <w:pStyle w:val="TableText"/>
              <w:jc w:val="center"/>
            </w:pPr>
            <w:r/>
            <w:r>
              <w:rPr>
                <w:rFonts w:ascii="Noto Sans CJK SC" w:hAnsi="Noto Sans CJK SC" w:eastAsia="Noto Sans CJK SC"/>
                <w:b/>
                <w:color w:val="FFFFFF"/>
                <w:sz w:val="17"/>
              </w:rPr>
              <w:t>主要作用</w:t>
            </w:r>
          </w:p>
        </w:tc>
      </w:tr>
      <w:tr>
        <w:tc>
          <w:tcPr>
            <w:tcW w:type="dxa" w:w="1814"/>
            <w:vAlign w:val="center"/>
            <w:shd w:fill="FAFAFA"/>
          </w:tcPr>
          <w:p>
            <w:pPr>
              <w:pStyle w:val="TableText"/>
            </w:pPr>
            <w:r/>
            <w:r>
              <w:rPr>
                <w:rFonts w:ascii="Noto Sans CJK SC" w:hAnsi="Noto Sans CJK SC" w:eastAsia="Noto Sans CJK SC"/>
                <w:b w:val="0"/>
                <w:sz w:val="16"/>
              </w:rPr>
              <w:t>多式联运服务管理</w:t>
            </w:r>
          </w:p>
        </w:tc>
        <w:tc>
          <w:tcPr>
            <w:tcW w:type="dxa" w:w="1814"/>
            <w:vAlign w:val="center"/>
          </w:tcPr>
          <w:p>
            <w:pPr>
              <w:pStyle w:val="TableText"/>
            </w:pPr>
            <w:r/>
            <w:r>
              <w:rPr>
                <w:rFonts w:ascii="Noto Sans CJK SC" w:hAnsi="Noto Sans CJK SC" w:eastAsia="Noto Sans CJK SC"/>
                <w:b w:val="0"/>
                <w:sz w:val="16"/>
              </w:rPr>
              <w:t>联运组织管理</w:t>
            </w:r>
          </w:p>
        </w:tc>
        <w:tc>
          <w:tcPr>
            <w:tcW w:type="dxa" w:w="2551"/>
            <w:vAlign w:val="center"/>
          </w:tcPr>
          <w:p>
            <w:pPr>
              <w:pStyle w:val="TableText"/>
            </w:pPr>
            <w:r/>
            <w:r>
              <w:rPr>
                <w:rFonts w:ascii="Noto Sans CJK SC" w:hAnsi="Noto Sans CJK SC" w:eastAsia="Noto Sans CJK SC"/>
                <w:b w:val="0"/>
                <w:sz w:val="16"/>
              </w:rPr>
              <w:t>一单制联运 / 传统联运</w:t>
            </w:r>
          </w:p>
        </w:tc>
        <w:tc>
          <w:tcPr>
            <w:tcW w:type="dxa" w:w="3969"/>
            <w:vAlign w:val="center"/>
          </w:tcPr>
          <w:p>
            <w:pPr>
              <w:pStyle w:val="TableText"/>
            </w:pPr>
            <w:r/>
            <w:r>
              <w:rPr>
                <w:rFonts w:ascii="Noto Sans CJK SC" w:hAnsi="Noto Sans CJK SC" w:eastAsia="Noto Sans CJK SC"/>
                <w:b w:val="0"/>
                <w:sz w:val="16"/>
              </w:rPr>
              <w:t>承接合同和匹配结果，形成联运业务，决定是否使用多式联运运单并组织各运输区段</w:t>
            </w:r>
          </w:p>
        </w:tc>
      </w:tr>
      <w:tr>
        <w:tc>
          <w:tcPr>
            <w:tcW w:type="dxa" w:w="1814"/>
            <w:vAlign w:val="center"/>
            <w:shd w:fill="FAFAFA"/>
          </w:tcPr>
          <w:p>
            <w:pPr>
              <w:pStyle w:val="TableText"/>
            </w:pPr>
            <w:r/>
            <w:r>
              <w:rPr>
                <w:rFonts w:ascii="Noto Sans CJK SC" w:hAnsi="Noto Sans CJK SC" w:eastAsia="Noto Sans CJK SC"/>
                <w:b w:val="0"/>
                <w:sz w:val="16"/>
              </w:rPr>
              <w:t>多式联运服务管理</w:t>
            </w:r>
          </w:p>
        </w:tc>
        <w:tc>
          <w:tcPr>
            <w:tcW w:type="dxa" w:w="1814"/>
            <w:vAlign w:val="center"/>
          </w:tcPr>
          <w:p>
            <w:pPr>
              <w:pStyle w:val="TableText"/>
            </w:pPr>
            <w:r/>
            <w:r>
              <w:rPr>
                <w:rFonts w:ascii="Noto Sans CJK SC" w:hAnsi="Noto Sans CJK SC" w:eastAsia="Noto Sans CJK SC"/>
                <w:b w:val="0"/>
                <w:sz w:val="16"/>
              </w:rPr>
              <w:t>散改集管理</w:t>
            </w:r>
          </w:p>
        </w:tc>
        <w:tc>
          <w:tcPr>
            <w:tcW w:type="dxa" w:w="2551"/>
            <w:vAlign w:val="center"/>
          </w:tcPr>
          <w:p>
            <w:pPr>
              <w:pStyle w:val="TableText"/>
            </w:pPr>
            <w:r/>
            <w:r>
              <w:rPr>
                <w:rFonts w:ascii="Noto Sans CJK SC" w:hAnsi="Noto Sans CJK SC" w:eastAsia="Noto Sans CJK SC"/>
                <w:b w:val="0"/>
                <w:sz w:val="16"/>
              </w:rPr>
              <w:t>批次关联 / 装箱登记 / 箱船关联</w:t>
            </w:r>
          </w:p>
        </w:tc>
        <w:tc>
          <w:tcPr>
            <w:tcW w:type="dxa" w:w="3969"/>
            <w:vAlign w:val="center"/>
          </w:tcPr>
          <w:p>
            <w:pPr>
              <w:pStyle w:val="TableText"/>
            </w:pPr>
            <w:r/>
            <w:r>
              <w:rPr>
                <w:rFonts w:ascii="Noto Sans CJK SC" w:hAnsi="Noto Sans CJK SC" w:eastAsia="Noto Sans CJK SC"/>
                <w:b w:val="0"/>
                <w:sz w:val="16"/>
              </w:rPr>
              <w:t>当运输需求为散货且需要散改集时，建立“粮食批次—车辆—集装箱—船舶/航次”连续关系</w:t>
            </w:r>
          </w:p>
        </w:tc>
      </w:tr>
      <w:tr>
        <w:tc>
          <w:tcPr>
            <w:tcW w:type="dxa" w:w="1814"/>
            <w:vAlign w:val="center"/>
            <w:shd w:fill="FAFAFA"/>
          </w:tcPr>
          <w:p>
            <w:pPr>
              <w:pStyle w:val="TableText"/>
            </w:pPr>
            <w:r/>
            <w:r>
              <w:rPr>
                <w:rFonts w:ascii="Noto Sans CJK SC" w:hAnsi="Noto Sans CJK SC" w:eastAsia="Noto Sans CJK SC"/>
                <w:b w:val="0"/>
                <w:sz w:val="16"/>
              </w:rPr>
              <w:t>多式联运服务管理</w:t>
            </w:r>
          </w:p>
        </w:tc>
        <w:tc>
          <w:tcPr>
            <w:tcW w:type="dxa" w:w="1814"/>
            <w:vAlign w:val="center"/>
          </w:tcPr>
          <w:p>
            <w:pPr>
              <w:pStyle w:val="TableText"/>
            </w:pPr>
            <w:r/>
            <w:r>
              <w:rPr>
                <w:rFonts w:ascii="Noto Sans CJK SC" w:hAnsi="Noto Sans CJK SC" w:eastAsia="Noto Sans CJK SC"/>
                <w:b w:val="0"/>
                <w:sz w:val="16"/>
              </w:rPr>
              <w:t>联运跟踪</w:t>
            </w:r>
          </w:p>
        </w:tc>
        <w:tc>
          <w:tcPr>
            <w:tcW w:type="dxa" w:w="2551"/>
            <w:vAlign w:val="center"/>
          </w:tcPr>
          <w:p>
            <w:pPr>
              <w:pStyle w:val="TableText"/>
            </w:pPr>
            <w:r/>
            <w:r>
              <w:rPr>
                <w:rFonts w:ascii="Noto Sans CJK SC" w:hAnsi="Noto Sans CJK SC" w:eastAsia="Noto Sans CJK SC"/>
                <w:b w:val="0"/>
                <w:sz w:val="16"/>
              </w:rPr>
              <w:t>执行编排 / 移动执行 / 全程跟踪</w:t>
            </w:r>
          </w:p>
        </w:tc>
        <w:tc>
          <w:tcPr>
            <w:tcW w:type="dxa" w:w="3969"/>
            <w:vAlign w:val="center"/>
          </w:tcPr>
          <w:p>
            <w:pPr>
              <w:pStyle w:val="TableText"/>
            </w:pPr>
            <w:r/>
            <w:r>
              <w:rPr>
                <w:rFonts w:ascii="Noto Sans CJK SC" w:hAnsi="Noto Sans CJK SC" w:eastAsia="Noto Sans CJK SC"/>
                <w:b w:val="0"/>
                <w:sz w:val="16"/>
              </w:rPr>
              <w:t>物流运营商配置车辆司机，司机小程序接单执行，PC端持续跟踪位置、节点、异常与结果</w:t>
            </w:r>
          </w:p>
        </w:tc>
      </w:tr>
    </w:tbl>
    <w:p/>
    <w:p>
      <w:pPr>
        <w:pStyle w:val="Heading1"/>
      </w:pPr>
      <w:r>
        <w:t>2  与前序业务的关联关系</w:t>
      </w:r>
    </w:p>
    <w:p>
      <w:r>
        <w:t>多式联运服务管理不重新创建运输需求，也不重新进行价格撮合。其业务对象应从前序模块自然流转，避免重复录入。</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C5001A"/>
            <w:vAlign w:val="center"/>
          </w:tcPr>
          <w:p>
            <w:pPr>
              <w:pStyle w:val="TableText"/>
              <w:jc w:val="center"/>
            </w:pPr>
            <w:r/>
            <w:r>
              <w:rPr>
                <w:rFonts w:ascii="Noto Sans CJK SC" w:hAnsi="Noto Sans CJK SC" w:eastAsia="Noto Sans CJK SC"/>
                <w:b/>
                <w:color w:val="FFFFFF"/>
                <w:sz w:val="17"/>
              </w:rPr>
              <w:t>前序来源</w:t>
            </w:r>
          </w:p>
        </w:tc>
        <w:tc>
          <w:tcPr>
            <w:tcW w:type="dxa" w:w="3969"/>
            <w:shd w:fill="C5001A"/>
            <w:vAlign w:val="center"/>
          </w:tcPr>
          <w:p>
            <w:pPr>
              <w:pStyle w:val="TableText"/>
              <w:jc w:val="center"/>
            </w:pPr>
            <w:r/>
            <w:r>
              <w:rPr>
                <w:rFonts w:ascii="Noto Sans CJK SC" w:hAnsi="Noto Sans CJK SC" w:eastAsia="Noto Sans CJK SC"/>
                <w:b/>
                <w:color w:val="FFFFFF"/>
                <w:sz w:val="17"/>
              </w:rPr>
              <w:t>进入本模块时带入内容</w:t>
            </w:r>
          </w:p>
        </w:tc>
        <w:tc>
          <w:tcPr>
            <w:tcW w:type="dxa" w:w="3969"/>
            <w:shd w:fill="C5001A"/>
            <w:vAlign w:val="center"/>
          </w:tcPr>
          <w:p>
            <w:pPr>
              <w:pStyle w:val="TableText"/>
              <w:jc w:val="center"/>
            </w:pPr>
            <w:r/>
            <w:r>
              <w:rPr>
                <w:rFonts w:ascii="Noto Sans CJK SC" w:hAnsi="Noto Sans CJK SC" w:eastAsia="Noto Sans CJK SC"/>
                <w:b/>
                <w:color w:val="FFFFFF"/>
                <w:sz w:val="17"/>
              </w:rPr>
              <w:t>本模块处理</w:t>
            </w:r>
          </w:p>
        </w:tc>
      </w:tr>
      <w:tr>
        <w:tc>
          <w:tcPr>
            <w:tcW w:type="dxa" w:w="2268"/>
            <w:vAlign w:val="center"/>
            <w:shd w:fill="FAFAFA"/>
          </w:tcPr>
          <w:p>
            <w:pPr>
              <w:pStyle w:val="TableText"/>
            </w:pPr>
            <w:r/>
            <w:r>
              <w:rPr>
                <w:rFonts w:ascii="Noto Sans CJK SC" w:hAnsi="Noto Sans CJK SC" w:eastAsia="Noto Sans CJK SC"/>
                <w:b w:val="0"/>
                <w:sz w:val="16"/>
              </w:rPr>
              <w:t>运输需求直接匹配成交</w:t>
            </w:r>
          </w:p>
        </w:tc>
        <w:tc>
          <w:tcPr>
            <w:tcW w:type="dxa" w:w="3969"/>
            <w:vAlign w:val="center"/>
          </w:tcPr>
          <w:p>
            <w:pPr>
              <w:pStyle w:val="TableText"/>
            </w:pPr>
            <w:r/>
            <w:r>
              <w:rPr>
                <w:rFonts w:ascii="Noto Sans CJK SC" w:hAnsi="Noto Sans CJK SC" w:eastAsia="Noto Sans CJK SC"/>
                <w:b w:val="0"/>
                <w:sz w:val="16"/>
              </w:rPr>
              <w:t>运输需求编号、交易订单编号、粮食品种、数量、起讫地、包装形态、是否散改集、成交物流运营商、成交价格、合同编号</w:t>
            </w:r>
          </w:p>
        </w:tc>
        <w:tc>
          <w:tcPr>
            <w:tcW w:type="dxa" w:w="3969"/>
            <w:vAlign w:val="center"/>
          </w:tcPr>
          <w:p>
            <w:pPr>
              <w:pStyle w:val="TableText"/>
            </w:pPr>
            <w:r/>
            <w:r>
              <w:rPr>
                <w:rFonts w:ascii="Noto Sans CJK SC" w:hAnsi="Noto Sans CJK SC" w:eastAsia="Noto Sans CJK SC"/>
                <w:b w:val="0"/>
                <w:sz w:val="16"/>
              </w:rPr>
              <w:t>由物流运营商确定实际联运组织方式，登记运输区段；可选择一单制联运或传统联运</w:t>
            </w:r>
          </w:p>
        </w:tc>
      </w:tr>
      <w:tr>
        <w:tc>
          <w:tcPr>
            <w:tcW w:type="dxa" w:w="2268"/>
            <w:vAlign w:val="center"/>
            <w:shd w:fill="FAFAFA"/>
          </w:tcPr>
          <w:p>
            <w:pPr>
              <w:pStyle w:val="TableText"/>
            </w:pPr>
            <w:r/>
            <w:r>
              <w:rPr>
                <w:rFonts w:ascii="Noto Sans CJK SC" w:hAnsi="Noto Sans CJK SC" w:eastAsia="Noto Sans CJK SC"/>
                <w:b w:val="0"/>
                <w:sz w:val="16"/>
              </w:rPr>
              <w:t>完整多式联运方案匹配成交</w:t>
            </w:r>
          </w:p>
        </w:tc>
        <w:tc>
          <w:tcPr>
            <w:tcW w:type="dxa" w:w="3969"/>
            <w:vAlign w:val="center"/>
          </w:tcPr>
          <w:p>
            <w:pPr>
              <w:pStyle w:val="TableText"/>
            </w:pPr>
            <w:r/>
            <w:r>
              <w:rPr>
                <w:rFonts w:ascii="Noto Sans CJK SC" w:hAnsi="Noto Sans CJK SC" w:eastAsia="Noto Sans CJK SC"/>
                <w:b w:val="0"/>
                <w:sz w:val="16"/>
              </w:rPr>
              <w:t>运输需求、确认方案、方案运输区段、关键节点、成交物流运营商、成交价格、合同编号</w:t>
            </w:r>
          </w:p>
        </w:tc>
        <w:tc>
          <w:tcPr>
            <w:tcW w:type="dxa" w:w="3969"/>
            <w:vAlign w:val="center"/>
          </w:tcPr>
          <w:p>
            <w:pPr>
              <w:pStyle w:val="TableText"/>
            </w:pPr>
            <w:r/>
            <w:r>
              <w:rPr>
                <w:rFonts w:ascii="Noto Sans CJK SC" w:hAnsi="Noto Sans CJK SC" w:eastAsia="Noto Sans CJK SC"/>
                <w:b w:val="0"/>
                <w:sz w:val="16"/>
              </w:rPr>
              <w:t>直接带入方案区段作为计划区段，物流运营商补充实际运力、运单、车辆/司机、铁路/水运执行信息</w:t>
            </w:r>
          </w:p>
        </w:tc>
      </w:tr>
      <w:tr>
        <w:tc>
          <w:tcPr>
            <w:tcW w:type="dxa" w:w="2268"/>
            <w:vAlign w:val="center"/>
            <w:shd w:fill="FAFAFA"/>
          </w:tcPr>
          <w:p>
            <w:pPr>
              <w:pStyle w:val="TableText"/>
            </w:pPr>
            <w:r/>
            <w:r>
              <w:rPr>
                <w:rFonts w:ascii="Noto Sans CJK SC" w:hAnsi="Noto Sans CJK SC" w:eastAsia="Noto Sans CJK SC"/>
                <w:b w:val="0"/>
                <w:sz w:val="16"/>
              </w:rPr>
              <w:t>合同签署完成</w:t>
            </w:r>
          </w:p>
        </w:tc>
        <w:tc>
          <w:tcPr>
            <w:tcW w:type="dxa" w:w="3969"/>
            <w:vAlign w:val="center"/>
          </w:tcPr>
          <w:p>
            <w:pPr>
              <w:pStyle w:val="TableText"/>
            </w:pPr>
            <w:r/>
            <w:r>
              <w:rPr>
                <w:rFonts w:ascii="Noto Sans CJK SC" w:hAnsi="Noto Sans CJK SC" w:eastAsia="Noto Sans CJK SC"/>
                <w:b w:val="0"/>
                <w:sz w:val="16"/>
              </w:rPr>
              <w:t>主合同编号、合同状态、承运主体、成交价格、费用约定、计划时间及其他约定</w:t>
            </w:r>
          </w:p>
        </w:tc>
        <w:tc>
          <w:tcPr>
            <w:tcW w:type="dxa" w:w="3969"/>
            <w:vAlign w:val="center"/>
          </w:tcPr>
          <w:p>
            <w:pPr>
              <w:pStyle w:val="TableText"/>
            </w:pPr>
            <w:r/>
            <w:r>
              <w:rPr>
                <w:rFonts w:ascii="Noto Sans CJK SC" w:hAnsi="Noto Sans CJK SC" w:eastAsia="Noto Sans CJK SC"/>
                <w:b w:val="0"/>
                <w:sz w:val="16"/>
              </w:rPr>
              <w:t>合同生效后允许进入联运组织；合同未生效时只允许查看，不允许下达执行任务</w:t>
            </w:r>
          </w:p>
        </w:tc>
      </w:tr>
    </w:tbl>
    <w:p/>
    <w:tbl>
      <w:tblPr>
        <w:tblStyle w:val="TableGrid"/>
        <w:tblW w:type="auto" w:w="0"/>
        <w:jc w:val="center"/>
        <w:tblLook w:firstColumn="1" w:firstRow="1" w:lastColumn="0" w:lastRow="0" w:noHBand="0" w:noVBand="1" w:val="04A0"/>
      </w:tblPr>
      <w:tblGrid>
        <w:gridCol w:w="10312"/>
      </w:tblGrid>
      <w:tr>
        <w:tc>
          <w:tcPr>
            <w:tcW w:type="dxa" w:w="10312"/>
            <w:shd w:fill="EEF6FF"/>
          </w:tcPr>
          <w:p>
            <w:pPr>
              <w:spacing w:after="60"/>
            </w:pPr>
            <w:r/>
            <w:r>
              <w:rPr>
                <w:rFonts w:ascii="Noto Sans CJK SC" w:hAnsi="Noto Sans CJK SC" w:eastAsia="Noto Sans CJK SC"/>
                <w:b/>
                <w:color w:val="A00014"/>
                <w:sz w:val="21"/>
              </w:rPr>
              <w:t>主链路</w:t>
            </w:r>
          </w:p>
          <w:p>
            <w:pPr>
              <w:pStyle w:val="TableText"/>
              <w:spacing w:after="0"/>
            </w:pPr>
            <w:r>
              <w:rPr>
                <w:sz w:val="18"/>
              </w:rPr>
              <w:t>运输需求 / 完整联运方案 → 供需匹配成交 → 合同签署生效 → 联运组织 → （如需）散改集 → 司机/车辆执行编排 → 小程序接单执行 → 联运跟踪 → 执行结果 → 对账结算。</w:t>
            </w:r>
          </w:p>
        </w:tc>
      </w:tr>
    </w:tbl>
    <w:p/>
    <w:p>
      <w:pPr>
        <w:pStyle w:val="Heading1"/>
      </w:pPr>
      <w:r>
        <w:t>3  角色与数据权限</w:t>
      </w:r>
    </w:p>
    <w:p>
      <w:r>
        <w:t>本模块对粮食贸易企业、物流运营商、平台运营方三个角色均可见，但“菜单可见”与“数据可见”应区分控制。</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701"/>
            <w:shd w:fill="C5001A"/>
            <w:vAlign w:val="center"/>
          </w:tcPr>
          <w:p>
            <w:pPr>
              <w:pStyle w:val="TableText"/>
              <w:jc w:val="center"/>
            </w:pPr>
            <w:r/>
            <w:r>
              <w:rPr>
                <w:rFonts w:ascii="Noto Sans CJK SC" w:hAnsi="Noto Sans CJK SC" w:eastAsia="Noto Sans CJK SC"/>
                <w:b/>
                <w:color w:val="FFFFFF"/>
                <w:sz w:val="17"/>
              </w:rPr>
              <w:t>角色</w:t>
            </w:r>
          </w:p>
        </w:tc>
        <w:tc>
          <w:tcPr>
            <w:tcW w:type="dxa" w:w="1701"/>
            <w:shd w:fill="C5001A"/>
            <w:vAlign w:val="center"/>
          </w:tcPr>
          <w:p>
            <w:pPr>
              <w:pStyle w:val="TableText"/>
              <w:jc w:val="center"/>
            </w:pPr>
            <w:r/>
            <w:r>
              <w:rPr>
                <w:rFonts w:ascii="Noto Sans CJK SC" w:hAnsi="Noto Sans CJK SC" w:eastAsia="Noto Sans CJK SC"/>
                <w:b/>
                <w:color w:val="FFFFFF"/>
                <w:sz w:val="17"/>
              </w:rPr>
              <w:t>菜单可见性</w:t>
            </w:r>
          </w:p>
        </w:tc>
        <w:tc>
          <w:tcPr>
            <w:tcW w:type="dxa" w:w="2835"/>
            <w:shd w:fill="C5001A"/>
            <w:vAlign w:val="center"/>
          </w:tcPr>
          <w:p>
            <w:pPr>
              <w:pStyle w:val="TableText"/>
              <w:jc w:val="center"/>
            </w:pPr>
            <w:r/>
            <w:r>
              <w:rPr>
                <w:rFonts w:ascii="Noto Sans CJK SC" w:hAnsi="Noto Sans CJK SC" w:eastAsia="Noto Sans CJK SC"/>
                <w:b/>
                <w:color w:val="FFFFFF"/>
                <w:sz w:val="17"/>
              </w:rPr>
              <w:t>数据范围</w:t>
            </w:r>
          </w:p>
        </w:tc>
        <w:tc>
          <w:tcPr>
            <w:tcW w:type="dxa" w:w="4535"/>
            <w:shd w:fill="C5001A"/>
            <w:vAlign w:val="center"/>
          </w:tcPr>
          <w:p>
            <w:pPr>
              <w:pStyle w:val="TableText"/>
              <w:jc w:val="center"/>
            </w:pPr>
            <w:r/>
            <w:r>
              <w:rPr>
                <w:rFonts w:ascii="Noto Sans CJK SC" w:hAnsi="Noto Sans CJK SC" w:eastAsia="Noto Sans CJK SC"/>
                <w:b/>
                <w:color w:val="FFFFFF"/>
                <w:sz w:val="17"/>
              </w:rPr>
              <w:t>主要操作</w:t>
            </w:r>
          </w:p>
        </w:tc>
      </w:tr>
      <w:tr>
        <w:tc>
          <w:tcPr>
            <w:tcW w:type="dxa" w:w="1701"/>
            <w:vAlign w:val="center"/>
            <w:shd w:fill="FAFAFA"/>
          </w:tcPr>
          <w:p>
            <w:pPr>
              <w:pStyle w:val="TableText"/>
            </w:pPr>
            <w:r/>
            <w:r>
              <w:rPr>
                <w:rFonts w:ascii="Noto Sans CJK SC" w:hAnsi="Noto Sans CJK SC" w:eastAsia="Noto Sans CJK SC"/>
                <w:b w:val="0"/>
                <w:sz w:val="16"/>
              </w:rPr>
              <w:t>粮食贸易企业</w:t>
            </w:r>
          </w:p>
        </w:tc>
        <w:tc>
          <w:tcPr>
            <w:tcW w:type="dxa" w:w="1701"/>
            <w:vAlign w:val="center"/>
          </w:tcPr>
          <w:p>
            <w:pPr>
              <w:pStyle w:val="TableText"/>
            </w:pPr>
            <w:r/>
            <w:r>
              <w:rPr>
                <w:rFonts w:ascii="Noto Sans CJK SC" w:hAnsi="Noto Sans CJK SC" w:eastAsia="Noto Sans CJK SC"/>
                <w:b w:val="0"/>
                <w:sz w:val="16"/>
              </w:rPr>
              <w:t>联运组织、散改集、联运跟踪均可见</w:t>
            </w:r>
          </w:p>
        </w:tc>
        <w:tc>
          <w:tcPr>
            <w:tcW w:type="dxa" w:w="2835"/>
            <w:vAlign w:val="center"/>
          </w:tcPr>
          <w:p>
            <w:pPr>
              <w:pStyle w:val="TableText"/>
            </w:pPr>
            <w:r/>
            <w:r>
              <w:rPr>
                <w:rFonts w:ascii="Noto Sans CJK SC" w:hAnsi="Noto Sans CJK SC" w:eastAsia="Noto Sans CJK SC"/>
                <w:b w:val="0"/>
                <w:sz w:val="16"/>
              </w:rPr>
              <w:t>查看本企业发起或参与的运输业务</w:t>
            </w:r>
          </w:p>
        </w:tc>
        <w:tc>
          <w:tcPr>
            <w:tcW w:type="dxa" w:w="4535"/>
            <w:vAlign w:val="center"/>
          </w:tcPr>
          <w:p>
            <w:pPr>
              <w:pStyle w:val="TableText"/>
            </w:pPr>
            <w:r/>
            <w:r>
              <w:rPr>
                <w:rFonts w:ascii="Noto Sans CJK SC" w:hAnsi="Noto Sans CJK SC" w:eastAsia="Noto Sans CJK SC"/>
                <w:b w:val="0"/>
                <w:sz w:val="16"/>
              </w:rPr>
              <w:t>查看联运组织、运单/任务、散改集关系、运输进度、异常和执行结果；原则上不维护物流运营商内部司机资源</w:t>
            </w:r>
          </w:p>
        </w:tc>
      </w:tr>
      <w:tr>
        <w:tc>
          <w:tcPr>
            <w:tcW w:type="dxa" w:w="1701"/>
            <w:vAlign w:val="center"/>
            <w:shd w:fill="FAFAFA"/>
          </w:tcPr>
          <w:p>
            <w:pPr>
              <w:pStyle w:val="TableText"/>
            </w:pPr>
            <w:r/>
            <w:r>
              <w:rPr>
                <w:rFonts w:ascii="Noto Sans CJK SC" w:hAnsi="Noto Sans CJK SC" w:eastAsia="Noto Sans CJK SC"/>
                <w:b w:val="0"/>
                <w:sz w:val="16"/>
              </w:rPr>
              <w:t>物流运营商</w:t>
            </w:r>
          </w:p>
        </w:tc>
        <w:tc>
          <w:tcPr>
            <w:tcW w:type="dxa" w:w="1701"/>
            <w:vAlign w:val="center"/>
          </w:tcPr>
          <w:p>
            <w:pPr>
              <w:pStyle w:val="TableText"/>
            </w:pPr>
            <w:r/>
            <w:r>
              <w:rPr>
                <w:rFonts w:ascii="Noto Sans CJK SC" w:hAnsi="Noto Sans CJK SC" w:eastAsia="Noto Sans CJK SC"/>
                <w:b w:val="0"/>
                <w:sz w:val="16"/>
              </w:rPr>
              <w:t>联运组织、散改集、联运跟踪均可见</w:t>
            </w:r>
          </w:p>
        </w:tc>
        <w:tc>
          <w:tcPr>
            <w:tcW w:type="dxa" w:w="2835"/>
            <w:vAlign w:val="center"/>
          </w:tcPr>
          <w:p>
            <w:pPr>
              <w:pStyle w:val="TableText"/>
            </w:pPr>
            <w:r/>
            <w:r>
              <w:rPr>
                <w:rFonts w:ascii="Noto Sans CJK SC" w:hAnsi="Noto Sans CJK SC" w:eastAsia="Noto Sans CJK SC"/>
                <w:b w:val="0"/>
                <w:sz w:val="16"/>
              </w:rPr>
              <w:t>查看本企业承运的运输业务</w:t>
            </w:r>
          </w:p>
        </w:tc>
        <w:tc>
          <w:tcPr>
            <w:tcW w:type="dxa" w:w="4535"/>
            <w:vAlign w:val="center"/>
          </w:tcPr>
          <w:p>
            <w:pPr>
              <w:pStyle w:val="TableText"/>
            </w:pPr>
            <w:r/>
            <w:r>
              <w:rPr>
                <w:rFonts w:ascii="Noto Sans CJK SC" w:hAnsi="Noto Sans CJK SC" w:eastAsia="Noto Sans CJK SC"/>
                <w:b w:val="0"/>
                <w:sz w:val="16"/>
              </w:rPr>
              <w:t>选择组织模式、维护多式联运运单或分段任务、维护批次/箱船关系、配置车辆司机、下发小程序任务、补充铁路/水运执行信息</w:t>
            </w:r>
          </w:p>
        </w:tc>
      </w:tr>
      <w:tr>
        <w:tc>
          <w:tcPr>
            <w:tcW w:type="dxa" w:w="1701"/>
            <w:vAlign w:val="center"/>
            <w:shd w:fill="FAFAFA"/>
          </w:tcPr>
          <w:p>
            <w:pPr>
              <w:pStyle w:val="TableText"/>
            </w:pPr>
            <w:r/>
            <w:r>
              <w:rPr>
                <w:rFonts w:ascii="Noto Sans CJK SC" w:hAnsi="Noto Sans CJK SC" w:eastAsia="Noto Sans CJK SC"/>
                <w:b w:val="0"/>
                <w:sz w:val="16"/>
              </w:rPr>
              <w:t>平台运营方</w:t>
            </w:r>
          </w:p>
        </w:tc>
        <w:tc>
          <w:tcPr>
            <w:tcW w:type="dxa" w:w="1701"/>
            <w:vAlign w:val="center"/>
          </w:tcPr>
          <w:p>
            <w:pPr>
              <w:pStyle w:val="TableText"/>
            </w:pPr>
            <w:r/>
            <w:r>
              <w:rPr>
                <w:rFonts w:ascii="Noto Sans CJK SC" w:hAnsi="Noto Sans CJK SC" w:eastAsia="Noto Sans CJK SC"/>
                <w:b w:val="0"/>
                <w:sz w:val="16"/>
              </w:rPr>
              <w:t>联运组织、散改集、联运跟踪均可见</w:t>
            </w:r>
          </w:p>
        </w:tc>
        <w:tc>
          <w:tcPr>
            <w:tcW w:type="dxa" w:w="2835"/>
            <w:vAlign w:val="center"/>
          </w:tcPr>
          <w:p>
            <w:pPr>
              <w:pStyle w:val="TableText"/>
            </w:pPr>
            <w:r/>
            <w:r>
              <w:rPr>
                <w:rFonts w:ascii="Noto Sans CJK SC" w:hAnsi="Noto Sans CJK SC" w:eastAsia="Noto Sans CJK SC"/>
                <w:b w:val="0"/>
                <w:sz w:val="16"/>
              </w:rPr>
              <w:t>查看平台全部联运业务</w:t>
            </w:r>
          </w:p>
        </w:tc>
        <w:tc>
          <w:tcPr>
            <w:tcW w:type="dxa" w:w="4535"/>
            <w:vAlign w:val="center"/>
          </w:tcPr>
          <w:p>
            <w:pPr>
              <w:pStyle w:val="TableText"/>
            </w:pPr>
            <w:r/>
            <w:r>
              <w:rPr>
                <w:rFonts w:ascii="Noto Sans CJK SC" w:hAnsi="Noto Sans CJK SC" w:eastAsia="Noto Sans CJK SC"/>
                <w:b w:val="0"/>
                <w:sz w:val="16"/>
              </w:rPr>
              <w:t>全局查看、异常核查、基础数据维护、必要的运营辅助和数据纠错；不替代承运主体执行运输</w:t>
            </w:r>
          </w:p>
        </w:tc>
      </w:tr>
    </w:tbl>
    <w:p/>
    <w:p>
      <w:pPr>
        <w:pStyle w:val="Heading1"/>
      </w:pPr>
      <w:r>
        <w:t>4  核心业务对象与状态</w:t>
      </w:r>
    </w:p>
    <w:tbl>
      <w:tblPr>
        <w:tblStyle w:val="TableGrid"/>
        <w:tblW w:type="auto" w:w="0"/>
        <w:jc w:val="center"/>
        <w:tblLook w:firstColumn="1" w:firstRow="1" w:lastColumn="0" w:lastRow="0" w:noHBand="0" w:noVBand="1" w:val="04A0"/>
      </w:tblPr>
      <w:tblGrid>
        <w:gridCol w:w="3437"/>
        <w:gridCol w:w="3437"/>
        <w:gridCol w:w="3437"/>
      </w:tblGrid>
      <w:tr>
        <w:tc>
          <w:tcPr>
            <w:tcW w:type="dxa" w:w="1814"/>
            <w:shd w:fill="C5001A"/>
            <w:vAlign w:val="center"/>
          </w:tcPr>
          <w:p>
            <w:pPr>
              <w:pStyle w:val="TableText"/>
              <w:jc w:val="center"/>
            </w:pPr>
            <w:r/>
            <w:r>
              <w:rPr>
                <w:rFonts w:ascii="Noto Sans CJK SC" w:hAnsi="Noto Sans CJK SC" w:eastAsia="Noto Sans CJK SC"/>
                <w:b/>
                <w:color w:val="FFFFFF"/>
                <w:sz w:val="17"/>
              </w:rPr>
              <w:t>业务对象</w:t>
            </w:r>
          </w:p>
        </w:tc>
        <w:tc>
          <w:tcPr>
            <w:tcW w:type="dxa" w:w="3855"/>
            <w:shd w:fill="C5001A"/>
            <w:vAlign w:val="center"/>
          </w:tcPr>
          <w:p>
            <w:pPr>
              <w:pStyle w:val="TableText"/>
              <w:jc w:val="center"/>
            </w:pPr>
            <w:r/>
            <w:r>
              <w:rPr>
                <w:rFonts w:ascii="Noto Sans CJK SC" w:hAnsi="Noto Sans CJK SC" w:eastAsia="Noto Sans CJK SC"/>
                <w:b/>
                <w:color w:val="FFFFFF"/>
                <w:sz w:val="17"/>
              </w:rPr>
              <w:t>定义</w:t>
            </w:r>
          </w:p>
        </w:tc>
        <w:tc>
          <w:tcPr>
            <w:tcW w:type="dxa" w:w="3969"/>
            <w:shd w:fill="C5001A"/>
            <w:vAlign w:val="center"/>
          </w:tcPr>
          <w:p>
            <w:pPr>
              <w:pStyle w:val="TableText"/>
              <w:jc w:val="center"/>
            </w:pPr>
            <w:r/>
            <w:r>
              <w:rPr>
                <w:rFonts w:ascii="Noto Sans CJK SC" w:hAnsi="Noto Sans CJK SC" w:eastAsia="Noto Sans CJK SC"/>
                <w:b/>
                <w:color w:val="FFFFFF"/>
                <w:sz w:val="17"/>
              </w:rPr>
              <w:t>关键关联</w:t>
            </w:r>
          </w:p>
        </w:tc>
      </w:tr>
      <w:tr>
        <w:tc>
          <w:tcPr>
            <w:tcW w:type="dxa" w:w="1814"/>
            <w:vAlign w:val="center"/>
            <w:shd w:fill="FAFAFA"/>
          </w:tcPr>
          <w:p>
            <w:pPr>
              <w:pStyle w:val="TableText"/>
            </w:pPr>
            <w:r/>
            <w:r>
              <w:rPr>
                <w:rFonts w:ascii="Noto Sans CJK SC" w:hAnsi="Noto Sans CJK SC" w:eastAsia="Noto Sans CJK SC"/>
                <w:b w:val="0"/>
                <w:sz w:val="16"/>
              </w:rPr>
              <w:t>联运业务</w:t>
            </w:r>
          </w:p>
        </w:tc>
        <w:tc>
          <w:tcPr>
            <w:tcW w:type="dxa" w:w="3855"/>
            <w:vAlign w:val="center"/>
          </w:tcPr>
          <w:p>
            <w:pPr>
              <w:pStyle w:val="TableText"/>
            </w:pPr>
            <w:r/>
            <w:r>
              <w:rPr>
                <w:rFonts w:ascii="Noto Sans CJK SC" w:hAnsi="Noto Sans CJK SC" w:eastAsia="Noto Sans CJK SC"/>
                <w:b w:val="0"/>
                <w:sz w:val="16"/>
              </w:rPr>
              <w:t>合同生效后形成的运输执行主对象，贯穿组织、散改集和跟踪</w:t>
            </w:r>
          </w:p>
        </w:tc>
        <w:tc>
          <w:tcPr>
            <w:tcW w:type="dxa" w:w="3969"/>
            <w:vAlign w:val="center"/>
          </w:tcPr>
          <w:p>
            <w:pPr>
              <w:pStyle w:val="TableText"/>
            </w:pPr>
            <w:r/>
            <w:r>
              <w:rPr>
                <w:rFonts w:ascii="Noto Sans CJK SC" w:hAnsi="Noto Sans CJK SC" w:eastAsia="Noto Sans CJK SC"/>
                <w:b w:val="0"/>
                <w:sz w:val="16"/>
              </w:rPr>
              <w:t>运输需求、联运方案（可选）、匹配结果、合同、粮食批次</w:t>
            </w:r>
          </w:p>
        </w:tc>
      </w:tr>
      <w:tr>
        <w:tc>
          <w:tcPr>
            <w:tcW w:type="dxa" w:w="1814"/>
            <w:vAlign w:val="center"/>
            <w:shd w:fill="FAFAFA"/>
          </w:tcPr>
          <w:p>
            <w:pPr>
              <w:pStyle w:val="TableText"/>
            </w:pPr>
            <w:r/>
            <w:r>
              <w:rPr>
                <w:rFonts w:ascii="Noto Sans CJK SC" w:hAnsi="Noto Sans CJK SC" w:eastAsia="Noto Sans CJK SC"/>
                <w:b w:val="0"/>
                <w:sz w:val="16"/>
              </w:rPr>
              <w:t>多式联运运单</w:t>
            </w:r>
          </w:p>
        </w:tc>
        <w:tc>
          <w:tcPr>
            <w:tcW w:type="dxa" w:w="3855"/>
            <w:vAlign w:val="center"/>
          </w:tcPr>
          <w:p>
            <w:pPr>
              <w:pStyle w:val="TableText"/>
            </w:pPr>
            <w:r/>
            <w:r>
              <w:rPr>
                <w:rFonts w:ascii="Noto Sans CJK SC" w:hAnsi="Noto Sans CJK SC" w:eastAsia="Noto Sans CJK SC"/>
                <w:b w:val="0"/>
                <w:sz w:val="16"/>
              </w:rPr>
              <w:t>一单制联运模式下的全程业务主线</w:t>
            </w:r>
          </w:p>
        </w:tc>
        <w:tc>
          <w:tcPr>
            <w:tcW w:type="dxa" w:w="3969"/>
            <w:vAlign w:val="center"/>
          </w:tcPr>
          <w:p>
            <w:pPr>
              <w:pStyle w:val="TableText"/>
            </w:pPr>
            <w:r/>
            <w:r>
              <w:rPr>
                <w:rFonts w:ascii="Noto Sans CJK SC" w:hAnsi="Noto Sans CJK SC" w:eastAsia="Noto Sans CJK SC"/>
                <w:b w:val="0"/>
                <w:sz w:val="16"/>
              </w:rPr>
              <w:t>联运业务、公路/铁路/水运任务、集装箱、业务单据</w:t>
            </w:r>
          </w:p>
        </w:tc>
      </w:tr>
      <w:tr>
        <w:tc>
          <w:tcPr>
            <w:tcW w:type="dxa" w:w="1814"/>
            <w:vAlign w:val="center"/>
            <w:shd w:fill="FAFAFA"/>
          </w:tcPr>
          <w:p>
            <w:pPr>
              <w:pStyle w:val="TableText"/>
            </w:pPr>
            <w:r/>
            <w:r>
              <w:rPr>
                <w:rFonts w:ascii="Noto Sans CJK SC" w:hAnsi="Noto Sans CJK SC" w:eastAsia="Noto Sans CJK SC"/>
                <w:b w:val="0"/>
                <w:sz w:val="16"/>
              </w:rPr>
              <w:t>分段运输任务</w:t>
            </w:r>
          </w:p>
        </w:tc>
        <w:tc>
          <w:tcPr>
            <w:tcW w:type="dxa" w:w="3855"/>
            <w:vAlign w:val="center"/>
          </w:tcPr>
          <w:p>
            <w:pPr>
              <w:pStyle w:val="TableText"/>
            </w:pPr>
            <w:r/>
            <w:r>
              <w:rPr>
                <w:rFonts w:ascii="Noto Sans CJK SC" w:hAnsi="Noto Sans CJK SC" w:eastAsia="Noto Sans CJK SC"/>
                <w:b w:val="0"/>
                <w:sz w:val="16"/>
              </w:rPr>
              <w:t>对实际公路、铁路、水运执行任务的登记</w:t>
            </w:r>
          </w:p>
        </w:tc>
        <w:tc>
          <w:tcPr>
            <w:tcW w:type="dxa" w:w="3969"/>
            <w:vAlign w:val="center"/>
          </w:tcPr>
          <w:p>
            <w:pPr>
              <w:pStyle w:val="TableText"/>
            </w:pPr>
            <w:r/>
            <w:r>
              <w:rPr>
                <w:rFonts w:ascii="Noto Sans CJK SC" w:hAnsi="Noto Sans CJK SC" w:eastAsia="Noto Sans CJK SC"/>
                <w:b w:val="0"/>
                <w:sz w:val="16"/>
              </w:rPr>
              <w:t>联运业务或多式联运运单、承运资源、关键节点</w:t>
            </w:r>
          </w:p>
        </w:tc>
      </w:tr>
      <w:tr>
        <w:tc>
          <w:tcPr>
            <w:tcW w:type="dxa" w:w="1814"/>
            <w:vAlign w:val="center"/>
            <w:shd w:fill="FAFAFA"/>
          </w:tcPr>
          <w:p>
            <w:pPr>
              <w:pStyle w:val="TableText"/>
            </w:pPr>
            <w:r/>
            <w:r>
              <w:rPr>
                <w:rFonts w:ascii="Noto Sans CJK SC" w:hAnsi="Noto Sans CJK SC" w:eastAsia="Noto Sans CJK SC"/>
                <w:b w:val="0"/>
                <w:sz w:val="16"/>
              </w:rPr>
              <w:t>散改集单</w:t>
            </w:r>
          </w:p>
        </w:tc>
        <w:tc>
          <w:tcPr>
            <w:tcW w:type="dxa" w:w="3855"/>
            <w:vAlign w:val="center"/>
          </w:tcPr>
          <w:p>
            <w:pPr>
              <w:pStyle w:val="TableText"/>
            </w:pPr>
            <w:r/>
            <w:r>
              <w:rPr>
                <w:rFonts w:ascii="Noto Sans CJK SC" w:hAnsi="Noto Sans CJK SC" w:eastAsia="Noto Sans CJK SC"/>
                <w:b w:val="0"/>
                <w:sz w:val="16"/>
              </w:rPr>
              <w:t>散货转换为集装箱运输时的衔接对象</w:t>
            </w:r>
          </w:p>
        </w:tc>
        <w:tc>
          <w:tcPr>
            <w:tcW w:type="dxa" w:w="3969"/>
            <w:vAlign w:val="center"/>
          </w:tcPr>
          <w:p>
            <w:pPr>
              <w:pStyle w:val="TableText"/>
            </w:pPr>
            <w:r/>
            <w:r>
              <w:rPr>
                <w:rFonts w:ascii="Noto Sans CJK SC" w:hAnsi="Noto Sans CJK SC" w:eastAsia="Noto Sans CJK SC"/>
                <w:b w:val="0"/>
                <w:sz w:val="16"/>
              </w:rPr>
              <w:t>运输需求、粮食批次、前段车辆、集装箱、船舶/航次</w:t>
            </w:r>
          </w:p>
        </w:tc>
      </w:tr>
      <w:tr>
        <w:tc>
          <w:tcPr>
            <w:tcW w:type="dxa" w:w="1814"/>
            <w:vAlign w:val="center"/>
            <w:shd w:fill="FAFAFA"/>
          </w:tcPr>
          <w:p>
            <w:pPr>
              <w:pStyle w:val="TableText"/>
            </w:pPr>
            <w:r/>
            <w:r>
              <w:rPr>
                <w:rFonts w:ascii="Noto Sans CJK SC" w:hAnsi="Noto Sans CJK SC" w:eastAsia="Noto Sans CJK SC"/>
                <w:b w:val="0"/>
                <w:sz w:val="16"/>
              </w:rPr>
              <w:t>执行任务</w:t>
            </w:r>
          </w:p>
        </w:tc>
        <w:tc>
          <w:tcPr>
            <w:tcW w:type="dxa" w:w="3855"/>
            <w:vAlign w:val="center"/>
          </w:tcPr>
          <w:p>
            <w:pPr>
              <w:pStyle w:val="TableText"/>
            </w:pPr>
            <w:r/>
            <w:r>
              <w:rPr>
                <w:rFonts w:ascii="Noto Sans CJK SC" w:hAnsi="Noto Sans CJK SC" w:eastAsia="Noto Sans CJK SC"/>
                <w:b w:val="0"/>
                <w:sz w:val="16"/>
              </w:rPr>
              <w:t>下发至车辆/司机等执行主体的具体任务</w:t>
            </w:r>
          </w:p>
        </w:tc>
        <w:tc>
          <w:tcPr>
            <w:tcW w:type="dxa" w:w="3969"/>
            <w:vAlign w:val="center"/>
          </w:tcPr>
          <w:p>
            <w:pPr>
              <w:pStyle w:val="TableText"/>
            </w:pPr>
            <w:r/>
            <w:r>
              <w:rPr>
                <w:rFonts w:ascii="Noto Sans CJK SC" w:hAnsi="Noto Sans CJK SC" w:eastAsia="Noto Sans CJK SC"/>
                <w:b w:val="0"/>
                <w:sz w:val="16"/>
              </w:rPr>
              <w:t>分段运输任务、批次或集装箱、车辆、司机、小程序</w:t>
            </w:r>
          </w:p>
        </w:tc>
      </w:tr>
    </w:tbl>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联运业务状态</w:t>
            </w:r>
          </w:p>
        </w:tc>
        <w:tc>
          <w:tcPr>
            <w:tcW w:type="dxa" w:w="7937"/>
            <w:shd w:fill="C5001A"/>
            <w:vAlign w:val="center"/>
          </w:tcPr>
          <w:p>
            <w:pPr>
              <w:pStyle w:val="TableText"/>
              <w:jc w:val="center"/>
            </w:pPr>
            <w:r/>
            <w:r>
              <w:rPr>
                <w:rFonts w:ascii="Noto Sans CJK SC" w:hAnsi="Noto Sans CJK SC" w:eastAsia="Noto Sans CJK SC"/>
                <w:b/>
                <w:color w:val="FFFFFF"/>
                <w:sz w:val="17"/>
              </w:rPr>
              <w:t>含义</w:t>
            </w:r>
          </w:p>
        </w:tc>
      </w:tr>
      <w:tr>
        <w:tc>
          <w:tcPr>
            <w:tcW w:type="dxa" w:w="2268"/>
            <w:vAlign w:val="center"/>
            <w:shd w:fill="FAFAFA"/>
          </w:tcPr>
          <w:p>
            <w:pPr>
              <w:pStyle w:val="TableText"/>
            </w:pPr>
            <w:r/>
            <w:r>
              <w:rPr>
                <w:rFonts w:ascii="Noto Sans CJK SC" w:hAnsi="Noto Sans CJK SC" w:eastAsia="Noto Sans CJK SC"/>
                <w:b w:val="0"/>
                <w:sz w:val="16"/>
              </w:rPr>
              <w:t>待组织</w:t>
            </w:r>
          </w:p>
        </w:tc>
        <w:tc>
          <w:tcPr>
            <w:tcW w:type="dxa" w:w="7937"/>
            <w:vAlign w:val="center"/>
          </w:tcPr>
          <w:p>
            <w:pPr>
              <w:pStyle w:val="TableText"/>
            </w:pPr>
            <w:r/>
            <w:r>
              <w:rPr>
                <w:rFonts w:ascii="Noto Sans CJK SC" w:hAnsi="Noto Sans CJK SC" w:eastAsia="Noto Sans CJK SC"/>
                <w:b w:val="0"/>
                <w:sz w:val="16"/>
              </w:rPr>
              <w:t>合同已生效，尚未确定一单制/传统联运及实际执行组织</w:t>
            </w:r>
          </w:p>
        </w:tc>
      </w:tr>
      <w:tr>
        <w:tc>
          <w:tcPr>
            <w:tcW w:type="dxa" w:w="2268"/>
            <w:vAlign w:val="center"/>
            <w:shd w:fill="FAFAFA"/>
          </w:tcPr>
          <w:p>
            <w:pPr>
              <w:pStyle w:val="TableText"/>
            </w:pPr>
            <w:r/>
            <w:r>
              <w:rPr>
                <w:rFonts w:ascii="Noto Sans CJK SC" w:hAnsi="Noto Sans CJK SC" w:eastAsia="Noto Sans CJK SC"/>
                <w:b w:val="0"/>
                <w:sz w:val="16"/>
              </w:rPr>
              <w:t>已组织</w:t>
            </w:r>
          </w:p>
        </w:tc>
        <w:tc>
          <w:tcPr>
            <w:tcW w:type="dxa" w:w="7937"/>
            <w:vAlign w:val="center"/>
          </w:tcPr>
          <w:p>
            <w:pPr>
              <w:pStyle w:val="TableText"/>
            </w:pPr>
            <w:r/>
            <w:r>
              <w:rPr>
                <w:rFonts w:ascii="Noto Sans CJK SC" w:hAnsi="Noto Sans CJK SC" w:eastAsia="Noto Sans CJK SC"/>
                <w:b w:val="0"/>
                <w:sz w:val="16"/>
              </w:rPr>
              <w:t>已完成组织模式选择及计划区段/任务登记</w:t>
            </w:r>
          </w:p>
        </w:tc>
      </w:tr>
      <w:tr>
        <w:tc>
          <w:tcPr>
            <w:tcW w:type="dxa" w:w="2268"/>
            <w:vAlign w:val="center"/>
            <w:shd w:fill="FAFAFA"/>
          </w:tcPr>
          <w:p>
            <w:pPr>
              <w:pStyle w:val="TableText"/>
            </w:pPr>
            <w:r/>
            <w:r>
              <w:rPr>
                <w:rFonts w:ascii="Noto Sans CJK SC" w:hAnsi="Noto Sans CJK SC" w:eastAsia="Noto Sans CJK SC"/>
                <w:b w:val="0"/>
                <w:sz w:val="16"/>
              </w:rPr>
              <w:t>待执行</w:t>
            </w:r>
          </w:p>
        </w:tc>
        <w:tc>
          <w:tcPr>
            <w:tcW w:type="dxa" w:w="7937"/>
            <w:vAlign w:val="center"/>
          </w:tcPr>
          <w:p>
            <w:pPr>
              <w:pStyle w:val="TableText"/>
            </w:pPr>
            <w:r/>
            <w:r>
              <w:rPr>
                <w:rFonts w:ascii="Noto Sans CJK SC" w:hAnsi="Noto Sans CJK SC" w:eastAsia="Noto Sans CJK SC"/>
                <w:b w:val="0"/>
                <w:sz w:val="16"/>
              </w:rPr>
              <w:t>实际运力或司机尚未全部下达</w:t>
            </w:r>
          </w:p>
        </w:tc>
      </w:tr>
      <w:tr>
        <w:tc>
          <w:tcPr>
            <w:tcW w:type="dxa" w:w="2268"/>
            <w:vAlign w:val="center"/>
            <w:shd w:fill="FAFAFA"/>
          </w:tcPr>
          <w:p>
            <w:pPr>
              <w:pStyle w:val="TableText"/>
            </w:pPr>
            <w:r/>
            <w:r>
              <w:rPr>
                <w:rFonts w:ascii="Noto Sans CJK SC" w:hAnsi="Noto Sans CJK SC" w:eastAsia="Noto Sans CJK SC"/>
                <w:b w:val="0"/>
                <w:sz w:val="16"/>
              </w:rPr>
              <w:t>执行中</w:t>
            </w:r>
          </w:p>
        </w:tc>
        <w:tc>
          <w:tcPr>
            <w:tcW w:type="dxa" w:w="7937"/>
            <w:vAlign w:val="center"/>
          </w:tcPr>
          <w:p>
            <w:pPr>
              <w:pStyle w:val="TableText"/>
            </w:pPr>
            <w:r/>
            <w:r>
              <w:rPr>
                <w:rFonts w:ascii="Noto Sans CJK SC" w:hAnsi="Noto Sans CJK SC" w:eastAsia="Noto Sans CJK SC"/>
                <w:b w:val="0"/>
                <w:sz w:val="16"/>
              </w:rPr>
              <w:t>至少一个执行任务已开始，且联运业务尚未完成</w:t>
            </w:r>
          </w:p>
        </w:tc>
      </w:tr>
      <w:tr>
        <w:tc>
          <w:tcPr>
            <w:tcW w:type="dxa" w:w="2268"/>
            <w:vAlign w:val="center"/>
            <w:shd w:fill="FAFAFA"/>
          </w:tcPr>
          <w:p>
            <w:pPr>
              <w:pStyle w:val="TableText"/>
            </w:pPr>
            <w:r/>
            <w:r>
              <w:rPr>
                <w:rFonts w:ascii="Noto Sans CJK SC" w:hAnsi="Noto Sans CJK SC" w:eastAsia="Noto Sans CJK SC"/>
                <w:b w:val="0"/>
                <w:sz w:val="16"/>
              </w:rPr>
              <w:t>中转中</w:t>
            </w:r>
          </w:p>
        </w:tc>
        <w:tc>
          <w:tcPr>
            <w:tcW w:type="dxa" w:w="7937"/>
            <w:vAlign w:val="center"/>
          </w:tcPr>
          <w:p>
            <w:pPr>
              <w:pStyle w:val="TableText"/>
            </w:pPr>
            <w:r/>
            <w:r>
              <w:rPr>
                <w:rFonts w:ascii="Noto Sans CJK SC" w:hAnsi="Noto Sans CJK SC" w:eastAsia="Noto Sans CJK SC"/>
                <w:b w:val="0"/>
                <w:sz w:val="16"/>
              </w:rPr>
              <w:t>处于铁路站、港口、物流园区等中转换装/衔接过程</w:t>
            </w:r>
          </w:p>
        </w:tc>
      </w:tr>
      <w:tr>
        <w:tc>
          <w:tcPr>
            <w:tcW w:type="dxa" w:w="2268"/>
            <w:vAlign w:val="center"/>
            <w:shd w:fill="FAFAFA"/>
          </w:tcPr>
          <w:p>
            <w:pPr>
              <w:pStyle w:val="TableText"/>
            </w:pPr>
            <w:r/>
            <w:r>
              <w:rPr>
                <w:rFonts w:ascii="Noto Sans CJK SC" w:hAnsi="Noto Sans CJK SC" w:eastAsia="Noto Sans CJK SC"/>
                <w:b w:val="0"/>
                <w:sz w:val="16"/>
              </w:rPr>
              <w:t>异常</w:t>
            </w:r>
          </w:p>
        </w:tc>
        <w:tc>
          <w:tcPr>
            <w:tcW w:type="dxa" w:w="7937"/>
            <w:vAlign w:val="center"/>
          </w:tcPr>
          <w:p>
            <w:pPr>
              <w:pStyle w:val="TableText"/>
            </w:pPr>
            <w:r/>
            <w:r>
              <w:rPr>
                <w:rFonts w:ascii="Noto Sans CJK SC" w:hAnsi="Noto Sans CJK SC" w:eastAsia="Noto Sans CJK SC"/>
                <w:b w:val="0"/>
                <w:sz w:val="16"/>
              </w:rPr>
              <w:t>存在延误、中断、线路调整、节点滞留等异常</w:t>
            </w:r>
          </w:p>
        </w:tc>
      </w:tr>
      <w:tr>
        <w:tc>
          <w:tcPr>
            <w:tcW w:type="dxa" w:w="2268"/>
            <w:vAlign w:val="center"/>
            <w:shd w:fill="FAFAFA"/>
          </w:tcPr>
          <w:p>
            <w:pPr>
              <w:pStyle w:val="TableText"/>
            </w:pPr>
            <w:r/>
            <w:r>
              <w:rPr>
                <w:rFonts w:ascii="Noto Sans CJK SC" w:hAnsi="Noto Sans CJK SC" w:eastAsia="Noto Sans CJK SC"/>
                <w:b w:val="0"/>
                <w:sz w:val="16"/>
              </w:rPr>
              <w:t>已完成</w:t>
            </w:r>
          </w:p>
        </w:tc>
        <w:tc>
          <w:tcPr>
            <w:tcW w:type="dxa" w:w="7937"/>
            <w:vAlign w:val="center"/>
          </w:tcPr>
          <w:p>
            <w:pPr>
              <w:pStyle w:val="TableText"/>
            </w:pPr>
            <w:r/>
            <w:r>
              <w:rPr>
                <w:rFonts w:ascii="Noto Sans CJK SC" w:hAnsi="Noto Sans CJK SC" w:eastAsia="Noto Sans CJK SC"/>
                <w:b w:val="0"/>
                <w:sz w:val="16"/>
              </w:rPr>
              <w:t>全部运输任务完成并形成最终交付/签收结果</w:t>
            </w:r>
          </w:p>
        </w:tc>
      </w:tr>
      <w:tr>
        <w:tc>
          <w:tcPr>
            <w:tcW w:type="dxa" w:w="2268"/>
            <w:vAlign w:val="center"/>
            <w:shd w:fill="FAFAFA"/>
          </w:tcPr>
          <w:p>
            <w:pPr>
              <w:pStyle w:val="TableText"/>
            </w:pPr>
            <w:r/>
            <w:r>
              <w:rPr>
                <w:rFonts w:ascii="Noto Sans CJK SC" w:hAnsi="Noto Sans CJK SC" w:eastAsia="Noto Sans CJK SC"/>
                <w:b w:val="0"/>
                <w:sz w:val="16"/>
              </w:rPr>
              <w:t>已终止</w:t>
            </w:r>
          </w:p>
        </w:tc>
        <w:tc>
          <w:tcPr>
            <w:tcW w:type="dxa" w:w="7937"/>
            <w:vAlign w:val="center"/>
          </w:tcPr>
          <w:p>
            <w:pPr>
              <w:pStyle w:val="TableText"/>
            </w:pPr>
            <w:r/>
            <w:r>
              <w:rPr>
                <w:rFonts w:ascii="Noto Sans CJK SC" w:hAnsi="Noto Sans CJK SC" w:eastAsia="Noto Sans CJK SC"/>
                <w:b w:val="0"/>
                <w:sz w:val="16"/>
              </w:rPr>
              <w:t>业务取消或合同终止后结束执行</w:t>
            </w:r>
          </w:p>
        </w:tc>
      </w:tr>
    </w:tbl>
    <w:p/>
    <w:p>
      <w:pPr>
        <w:pStyle w:val="Heading1"/>
      </w:pPr>
      <w:r>
        <w:t>5  联运组织管理</w:t>
      </w:r>
    </w:p>
    <w:p>
      <w:pPr>
        <w:pStyle w:val="Heading2"/>
      </w:pPr>
      <w:r>
        <w:t>5.1 功能描述</w:t>
      </w:r>
    </w:p>
    <w:p>
      <w:r>
        <w:t>联运组织管理用于承接已成交、已签约的运输业务，统一登记运输委托、运输组织模式和实际运输任务。页面不再拆成两个二级菜单，而是在同一“联运组织管理”页面中通过“组织模式”区分：① 一单制联运（使用多式联运运单）；② 传统联运（不使用多式联运运单）。</w:t>
      </w:r>
    </w:p>
    <w:p>
      <w:pPr>
        <w:pStyle w:val="Heading2"/>
      </w:pPr>
      <w:r>
        <w:t>5.2 联运业务主信息</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字段类别</w:t>
            </w:r>
          </w:p>
        </w:tc>
        <w:tc>
          <w:tcPr>
            <w:tcW w:type="dxa" w:w="7937"/>
            <w:shd w:fill="C5001A"/>
            <w:vAlign w:val="center"/>
          </w:tcPr>
          <w:p>
            <w:pPr>
              <w:pStyle w:val="TableText"/>
              <w:jc w:val="center"/>
            </w:pPr>
            <w:r/>
            <w:r>
              <w:rPr>
                <w:rFonts w:ascii="Noto Sans CJK SC" w:hAnsi="Noto Sans CJK SC" w:eastAsia="Noto Sans CJK SC"/>
                <w:b/>
                <w:color w:val="FFFFFF"/>
                <w:sz w:val="17"/>
              </w:rPr>
              <w:t>字段</w:t>
            </w:r>
          </w:p>
        </w:tc>
      </w:tr>
      <w:tr>
        <w:tc>
          <w:tcPr>
            <w:tcW w:type="dxa" w:w="2268"/>
            <w:vAlign w:val="center"/>
            <w:shd w:fill="FAFAFA"/>
          </w:tcPr>
          <w:p>
            <w:pPr>
              <w:pStyle w:val="TableText"/>
            </w:pPr>
            <w:r/>
            <w:r>
              <w:rPr>
                <w:rFonts w:ascii="Noto Sans CJK SC" w:hAnsi="Noto Sans CJK SC" w:eastAsia="Noto Sans CJK SC"/>
                <w:b w:val="0"/>
                <w:sz w:val="16"/>
              </w:rPr>
              <w:t>来源关联</w:t>
            </w:r>
          </w:p>
        </w:tc>
        <w:tc>
          <w:tcPr>
            <w:tcW w:type="dxa" w:w="7937"/>
            <w:vAlign w:val="center"/>
          </w:tcPr>
          <w:p>
            <w:pPr>
              <w:pStyle w:val="TableText"/>
            </w:pPr>
            <w:r/>
            <w:r>
              <w:rPr>
                <w:rFonts w:ascii="Noto Sans CJK SC" w:hAnsi="Noto Sans CJK SC" w:eastAsia="Noto Sans CJK SC"/>
                <w:b w:val="0"/>
                <w:sz w:val="16"/>
              </w:rPr>
              <w:t>联运业务编号、来源类型（运输需求/完整联运方案）、运输需求编号、交易订单编号、方案编号（可空）、匹配记录编号、合同编号</w:t>
            </w:r>
          </w:p>
        </w:tc>
      </w:tr>
      <w:tr>
        <w:tc>
          <w:tcPr>
            <w:tcW w:type="dxa" w:w="2268"/>
            <w:vAlign w:val="center"/>
            <w:shd w:fill="FAFAFA"/>
          </w:tcPr>
          <w:p>
            <w:pPr>
              <w:pStyle w:val="TableText"/>
            </w:pPr>
            <w:r/>
            <w:r>
              <w:rPr>
                <w:rFonts w:ascii="Noto Sans CJK SC" w:hAnsi="Noto Sans CJK SC" w:eastAsia="Noto Sans CJK SC"/>
                <w:b w:val="0"/>
                <w:sz w:val="16"/>
              </w:rPr>
              <w:t>业务主体</w:t>
            </w:r>
          </w:p>
        </w:tc>
        <w:tc>
          <w:tcPr>
            <w:tcW w:type="dxa" w:w="7937"/>
            <w:vAlign w:val="center"/>
          </w:tcPr>
          <w:p>
            <w:pPr>
              <w:pStyle w:val="TableText"/>
            </w:pPr>
            <w:r/>
            <w:r>
              <w:rPr>
                <w:rFonts w:ascii="Noto Sans CJK SC" w:hAnsi="Noto Sans CJK SC" w:eastAsia="Noto Sans CJK SC"/>
                <w:b w:val="0"/>
                <w:sz w:val="16"/>
              </w:rPr>
              <w:t>粮食贸易企业、物流运营商、发货企业、收货企业、业务联系人、联系电话</w:t>
            </w:r>
          </w:p>
        </w:tc>
      </w:tr>
      <w:tr>
        <w:tc>
          <w:tcPr>
            <w:tcW w:type="dxa" w:w="2268"/>
            <w:vAlign w:val="center"/>
            <w:shd w:fill="FAFAFA"/>
          </w:tcPr>
          <w:p>
            <w:pPr>
              <w:pStyle w:val="TableText"/>
            </w:pPr>
            <w:r/>
            <w:r>
              <w:rPr>
                <w:rFonts w:ascii="Noto Sans CJK SC" w:hAnsi="Noto Sans CJK SC" w:eastAsia="Noto Sans CJK SC"/>
                <w:b w:val="0"/>
                <w:sz w:val="16"/>
              </w:rPr>
              <w:t>货物信息</w:t>
            </w:r>
          </w:p>
        </w:tc>
        <w:tc>
          <w:tcPr>
            <w:tcW w:type="dxa" w:w="7937"/>
            <w:vAlign w:val="center"/>
          </w:tcPr>
          <w:p>
            <w:pPr>
              <w:pStyle w:val="TableText"/>
            </w:pPr>
            <w:r/>
            <w:r>
              <w:rPr>
                <w:rFonts w:ascii="Noto Sans CJK SC" w:hAnsi="Noto Sans CJK SC" w:eastAsia="Noto Sans CJK SC"/>
                <w:b w:val="0"/>
                <w:sz w:val="16"/>
              </w:rPr>
              <w:t>粮食品种、货物名称、粮食批次、运输数量、计量单位、包装形态（散货/集装箱）、是否需要散改集</w:t>
            </w:r>
          </w:p>
        </w:tc>
      </w:tr>
      <w:tr>
        <w:tc>
          <w:tcPr>
            <w:tcW w:type="dxa" w:w="2268"/>
            <w:vAlign w:val="center"/>
            <w:shd w:fill="FAFAFA"/>
          </w:tcPr>
          <w:p>
            <w:pPr>
              <w:pStyle w:val="TableText"/>
            </w:pPr>
            <w:r/>
            <w:r>
              <w:rPr>
                <w:rFonts w:ascii="Noto Sans CJK SC" w:hAnsi="Noto Sans CJK SC" w:eastAsia="Noto Sans CJK SC"/>
                <w:b w:val="0"/>
                <w:sz w:val="16"/>
              </w:rPr>
              <w:t>起讫信息</w:t>
            </w:r>
          </w:p>
        </w:tc>
        <w:tc>
          <w:tcPr>
            <w:tcW w:type="dxa" w:w="7937"/>
            <w:vAlign w:val="center"/>
          </w:tcPr>
          <w:p>
            <w:pPr>
              <w:pStyle w:val="TableText"/>
            </w:pPr>
            <w:r/>
            <w:r>
              <w:rPr>
                <w:rFonts w:ascii="Noto Sans CJK SC" w:hAnsi="Noto Sans CJK SC" w:eastAsia="Noto Sans CJK SC"/>
                <w:b w:val="0"/>
                <w:sz w:val="16"/>
              </w:rPr>
              <w:t>起运地、起运节点、目的地、目的节点、计划发运时间、要求到达时间</w:t>
            </w:r>
          </w:p>
        </w:tc>
      </w:tr>
      <w:tr>
        <w:tc>
          <w:tcPr>
            <w:tcW w:type="dxa" w:w="2268"/>
            <w:vAlign w:val="center"/>
            <w:shd w:fill="FAFAFA"/>
          </w:tcPr>
          <w:p>
            <w:pPr>
              <w:pStyle w:val="TableText"/>
            </w:pPr>
            <w:r/>
            <w:r>
              <w:rPr>
                <w:rFonts w:ascii="Noto Sans CJK SC" w:hAnsi="Noto Sans CJK SC" w:eastAsia="Noto Sans CJK SC"/>
                <w:b w:val="0"/>
                <w:sz w:val="16"/>
              </w:rPr>
              <w:t>成交信息</w:t>
            </w:r>
          </w:p>
        </w:tc>
        <w:tc>
          <w:tcPr>
            <w:tcW w:type="dxa" w:w="7937"/>
            <w:vAlign w:val="center"/>
          </w:tcPr>
          <w:p>
            <w:pPr>
              <w:pStyle w:val="TableText"/>
            </w:pPr>
            <w:r/>
            <w:r>
              <w:rPr>
                <w:rFonts w:ascii="Noto Sans CJK SC" w:hAnsi="Noto Sans CJK SC" w:eastAsia="Noto Sans CJK SC"/>
                <w:b w:val="0"/>
                <w:sz w:val="16"/>
              </w:rPr>
              <w:t>成交价格、计价方式、计价单位、成交确认时间</w:t>
            </w:r>
          </w:p>
        </w:tc>
      </w:tr>
      <w:tr>
        <w:tc>
          <w:tcPr>
            <w:tcW w:type="dxa" w:w="2268"/>
            <w:vAlign w:val="center"/>
            <w:shd w:fill="FAFAFA"/>
          </w:tcPr>
          <w:p>
            <w:pPr>
              <w:pStyle w:val="TableText"/>
            </w:pPr>
            <w:r/>
            <w:r>
              <w:rPr>
                <w:rFonts w:ascii="Noto Sans CJK SC" w:hAnsi="Noto Sans CJK SC" w:eastAsia="Noto Sans CJK SC"/>
                <w:b w:val="0"/>
                <w:sz w:val="16"/>
              </w:rPr>
              <w:t>组织信息</w:t>
            </w:r>
          </w:p>
        </w:tc>
        <w:tc>
          <w:tcPr>
            <w:tcW w:type="dxa" w:w="7937"/>
            <w:vAlign w:val="center"/>
          </w:tcPr>
          <w:p>
            <w:pPr>
              <w:pStyle w:val="TableText"/>
            </w:pPr>
            <w:r/>
            <w:r>
              <w:rPr>
                <w:rFonts w:ascii="Noto Sans CJK SC" w:hAnsi="Noto Sans CJK SC" w:eastAsia="Noto Sans CJK SC"/>
                <w:b w:val="0"/>
                <w:sz w:val="16"/>
              </w:rPr>
              <w:t>组织模式（一单制联运/传统联运）、是否使用多式联运运单、运输方式组合、计划区段数</w:t>
            </w:r>
          </w:p>
        </w:tc>
      </w:tr>
      <w:tr>
        <w:tc>
          <w:tcPr>
            <w:tcW w:type="dxa" w:w="2268"/>
            <w:vAlign w:val="center"/>
            <w:shd w:fill="FAFAFA"/>
          </w:tcPr>
          <w:p>
            <w:pPr>
              <w:pStyle w:val="TableText"/>
            </w:pPr>
            <w:r/>
            <w:r>
              <w:rPr>
                <w:rFonts w:ascii="Noto Sans CJK SC" w:hAnsi="Noto Sans CJK SC" w:eastAsia="Noto Sans CJK SC"/>
                <w:b w:val="0"/>
                <w:sz w:val="16"/>
              </w:rPr>
              <w:t>状态信息</w:t>
            </w:r>
          </w:p>
        </w:tc>
        <w:tc>
          <w:tcPr>
            <w:tcW w:type="dxa" w:w="7937"/>
            <w:vAlign w:val="center"/>
          </w:tcPr>
          <w:p>
            <w:pPr>
              <w:pStyle w:val="TableText"/>
            </w:pPr>
            <w:r/>
            <w:r>
              <w:rPr>
                <w:rFonts w:ascii="Noto Sans CJK SC" w:hAnsi="Noto Sans CJK SC" w:eastAsia="Noto Sans CJK SC"/>
                <w:b w:val="0"/>
                <w:sz w:val="16"/>
              </w:rPr>
              <w:t>联运业务状态、当前运输环节、当前节点、异常标识、创建人、创建时间、更新时间</w:t>
            </w:r>
          </w:p>
        </w:tc>
      </w:tr>
    </w:tbl>
    <w:p/>
    <w:p>
      <w:pPr>
        <w:pStyle w:val="Heading2"/>
      </w:pPr>
      <w:r>
        <w:t>5.3 一单制联运（使用多式联运运单）</w:t>
      </w:r>
    </w:p>
    <w:p>
      <w:r>
        <w:t>适用于贸易企业与物流运营商约定以一张多式联运运单作为全程运输主线的业务。系统根据运输需求、确认方案、合同和实际运输组织生成多式联运运单，并将后续公路、铁路、水运任务及相关单据统一挂接到该运单下，实现“一次委托、一单到底”。对于集装箱连续运输业务，可进一步以集装箱箱号形成“一箱到底”的连续关联。</w:t>
      </w:r>
    </w:p>
    <w:p>
      <w:pPr>
        <w:jc w:val="center"/>
      </w:pPr>
      <w:r>
        <w:drawing>
          <wp:inline xmlns:a="http://schemas.openxmlformats.org/drawingml/2006/main" xmlns:pic="http://schemas.openxmlformats.org/drawingml/2006/picture">
            <wp:extent cx="4140000" cy="5130000"/>
            <wp:docPr id="1" name="Picture 1"/>
            <wp:cNvGraphicFramePr>
              <a:graphicFrameLocks noChangeAspect="1"/>
            </wp:cNvGraphicFramePr>
            <a:graphic>
              <a:graphicData uri="http://schemas.openxmlformats.org/drawingml/2006/picture">
                <pic:pic>
                  <pic:nvPicPr>
                    <pic:cNvPr id="0" name="image(20261001-065433).png"/>
                    <pic:cNvPicPr/>
                  </pic:nvPicPr>
                  <pic:blipFill>
                    <a:blip r:embed="rId10"/>
                    <a:stretch>
                      <a:fillRect/>
                    </a:stretch>
                  </pic:blipFill>
                  <pic:spPr>
                    <a:xfrm>
                      <a:off x="0" y="0"/>
                      <a:ext cx="4140000" cy="5130000"/>
                    </a:xfrm>
                    <a:prstGeom prst="rect"/>
                  </pic:spPr>
                </pic:pic>
              </a:graphicData>
            </a:graphic>
          </wp:inline>
        </w:drawing>
      </w:r>
    </w:p>
    <w:p>
      <w:pPr>
        <w:pStyle w:val="Note"/>
        <w:jc w:val="center"/>
      </w:pPr>
      <w:r>
        <w:t>图 1  多式联运运单参考样式（用户提供）</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字段类别</w:t>
            </w:r>
          </w:p>
        </w:tc>
        <w:tc>
          <w:tcPr>
            <w:tcW w:type="dxa" w:w="7937"/>
            <w:shd w:fill="C5001A"/>
            <w:vAlign w:val="center"/>
          </w:tcPr>
          <w:p>
            <w:pPr>
              <w:pStyle w:val="TableText"/>
              <w:jc w:val="center"/>
            </w:pPr>
            <w:r/>
            <w:r>
              <w:rPr>
                <w:rFonts w:ascii="Noto Sans CJK SC" w:hAnsi="Noto Sans CJK SC" w:eastAsia="Noto Sans CJK SC"/>
                <w:b/>
                <w:color w:val="FFFFFF"/>
                <w:sz w:val="17"/>
              </w:rPr>
              <w:t>字段</w:t>
            </w:r>
          </w:p>
        </w:tc>
      </w:tr>
      <w:tr>
        <w:tc>
          <w:tcPr>
            <w:tcW w:type="dxa" w:w="2268"/>
            <w:vAlign w:val="center"/>
            <w:shd w:fill="FAFAFA"/>
          </w:tcPr>
          <w:p>
            <w:pPr>
              <w:pStyle w:val="TableText"/>
            </w:pPr>
            <w:r/>
            <w:r>
              <w:rPr>
                <w:rFonts w:ascii="Noto Sans CJK SC" w:hAnsi="Noto Sans CJK SC" w:eastAsia="Noto Sans CJK SC"/>
                <w:b w:val="0"/>
                <w:sz w:val="16"/>
              </w:rPr>
              <w:t>运单标识</w:t>
            </w:r>
          </w:p>
        </w:tc>
        <w:tc>
          <w:tcPr>
            <w:tcW w:type="dxa" w:w="7937"/>
            <w:vAlign w:val="center"/>
          </w:tcPr>
          <w:p>
            <w:pPr>
              <w:pStyle w:val="TableText"/>
            </w:pPr>
            <w:r/>
            <w:r>
              <w:rPr>
                <w:rFonts w:ascii="Noto Sans CJK SC" w:hAnsi="Noto Sans CJK SC" w:eastAsia="Noto Sans CJK SC"/>
                <w:b w:val="0"/>
                <w:sz w:val="16"/>
              </w:rPr>
              <w:t>多式联运运单号、联运业务编号、合同编号、运单版本、运单状态</w:t>
            </w:r>
          </w:p>
        </w:tc>
      </w:tr>
      <w:tr>
        <w:tc>
          <w:tcPr>
            <w:tcW w:type="dxa" w:w="2268"/>
            <w:vAlign w:val="center"/>
            <w:shd w:fill="FAFAFA"/>
          </w:tcPr>
          <w:p>
            <w:pPr>
              <w:pStyle w:val="TableText"/>
            </w:pPr>
            <w:r/>
            <w:r>
              <w:rPr>
                <w:rFonts w:ascii="Noto Sans CJK SC" w:hAnsi="Noto Sans CJK SC" w:eastAsia="Noto Sans CJK SC"/>
                <w:b w:val="0"/>
                <w:sz w:val="16"/>
              </w:rPr>
              <w:t>主体信息</w:t>
            </w:r>
          </w:p>
        </w:tc>
        <w:tc>
          <w:tcPr>
            <w:tcW w:type="dxa" w:w="7937"/>
            <w:vAlign w:val="center"/>
          </w:tcPr>
          <w:p>
            <w:pPr>
              <w:pStyle w:val="TableText"/>
            </w:pPr>
            <w:r/>
            <w:r>
              <w:rPr>
                <w:rFonts w:ascii="Noto Sans CJK SC" w:hAnsi="Noto Sans CJK SC" w:eastAsia="Noto Sans CJK SC"/>
                <w:b w:val="0"/>
                <w:sz w:val="16"/>
              </w:rPr>
              <w:t>托运人名称/地址/联系人/联系电话、收货人名称/地址/联系人/联系电话、多式联运经营人/物流运营商</w:t>
            </w:r>
          </w:p>
        </w:tc>
      </w:tr>
      <w:tr>
        <w:tc>
          <w:tcPr>
            <w:tcW w:type="dxa" w:w="2268"/>
            <w:vAlign w:val="center"/>
            <w:shd w:fill="FAFAFA"/>
          </w:tcPr>
          <w:p>
            <w:pPr>
              <w:pStyle w:val="TableText"/>
            </w:pPr>
            <w:r/>
            <w:r>
              <w:rPr>
                <w:rFonts w:ascii="Noto Sans CJK SC" w:hAnsi="Noto Sans CJK SC" w:eastAsia="Noto Sans CJK SC"/>
                <w:b w:val="0"/>
                <w:sz w:val="16"/>
              </w:rPr>
              <w:t>货物信息</w:t>
            </w:r>
          </w:p>
        </w:tc>
        <w:tc>
          <w:tcPr>
            <w:tcW w:type="dxa" w:w="7937"/>
            <w:vAlign w:val="center"/>
          </w:tcPr>
          <w:p>
            <w:pPr>
              <w:pStyle w:val="TableText"/>
            </w:pPr>
            <w:r/>
            <w:r>
              <w:rPr>
                <w:rFonts w:ascii="Noto Sans CJK SC" w:hAnsi="Noto Sans CJK SC" w:eastAsia="Noto Sans CJK SC"/>
                <w:b w:val="0"/>
                <w:sz w:val="16"/>
              </w:rPr>
              <w:t>粮食品种、粮食批次、货物名称、件数/包装、货物重量、运输数量、特殊要求</w:t>
            </w:r>
          </w:p>
        </w:tc>
      </w:tr>
      <w:tr>
        <w:tc>
          <w:tcPr>
            <w:tcW w:type="dxa" w:w="2268"/>
            <w:vAlign w:val="center"/>
            <w:shd w:fill="FAFAFA"/>
          </w:tcPr>
          <w:p>
            <w:pPr>
              <w:pStyle w:val="TableText"/>
            </w:pPr>
            <w:r/>
            <w:r>
              <w:rPr>
                <w:rFonts w:ascii="Noto Sans CJK SC" w:hAnsi="Noto Sans CJK SC" w:eastAsia="Noto Sans CJK SC"/>
                <w:b w:val="0"/>
                <w:sz w:val="16"/>
              </w:rPr>
              <w:t>起讫与路线</w:t>
            </w:r>
          </w:p>
        </w:tc>
        <w:tc>
          <w:tcPr>
            <w:tcW w:type="dxa" w:w="7937"/>
            <w:vAlign w:val="center"/>
          </w:tcPr>
          <w:p>
            <w:pPr>
              <w:pStyle w:val="TableText"/>
            </w:pPr>
            <w:r/>
            <w:r>
              <w:rPr>
                <w:rFonts w:ascii="Noto Sans CJK SC" w:hAnsi="Noto Sans CJK SC" w:eastAsia="Noto Sans CJK SC"/>
                <w:b w:val="0"/>
                <w:sz w:val="16"/>
              </w:rPr>
              <w:t>接货地/起运地、交货地/目的地、运输方式组合、主要中转节点、计划发运时间、要求到达时间</w:t>
            </w:r>
          </w:p>
        </w:tc>
      </w:tr>
      <w:tr>
        <w:tc>
          <w:tcPr>
            <w:tcW w:type="dxa" w:w="2268"/>
            <w:vAlign w:val="center"/>
            <w:shd w:fill="FAFAFA"/>
          </w:tcPr>
          <w:p>
            <w:pPr>
              <w:pStyle w:val="TableText"/>
            </w:pPr>
            <w:r/>
            <w:r>
              <w:rPr>
                <w:rFonts w:ascii="Noto Sans CJK SC" w:hAnsi="Noto Sans CJK SC" w:eastAsia="Noto Sans CJK SC"/>
                <w:b w:val="0"/>
                <w:sz w:val="16"/>
              </w:rPr>
              <w:t>集装箱信息</w:t>
            </w:r>
          </w:p>
        </w:tc>
        <w:tc>
          <w:tcPr>
            <w:tcW w:type="dxa" w:w="7937"/>
            <w:vAlign w:val="center"/>
          </w:tcPr>
          <w:p>
            <w:pPr>
              <w:pStyle w:val="TableText"/>
            </w:pPr>
            <w:r/>
            <w:r>
              <w:rPr>
                <w:rFonts w:ascii="Noto Sans CJK SC" w:hAnsi="Noto Sans CJK SC" w:eastAsia="Noto Sans CJK SC"/>
                <w:b w:val="0"/>
                <w:sz w:val="16"/>
              </w:rPr>
              <w:t>是否集装箱运输、箱型、箱号、封志号、箱数；可关联多个集装箱</w:t>
            </w:r>
          </w:p>
        </w:tc>
      </w:tr>
      <w:tr>
        <w:tc>
          <w:tcPr>
            <w:tcW w:type="dxa" w:w="2268"/>
            <w:vAlign w:val="center"/>
            <w:shd w:fill="FAFAFA"/>
          </w:tcPr>
          <w:p>
            <w:pPr>
              <w:pStyle w:val="TableText"/>
            </w:pPr>
            <w:r/>
            <w:r>
              <w:rPr>
                <w:rFonts w:ascii="Noto Sans CJK SC" w:hAnsi="Noto Sans CJK SC" w:eastAsia="Noto Sans CJK SC"/>
                <w:b w:val="0"/>
                <w:sz w:val="16"/>
              </w:rPr>
              <w:t>费用与约定</w:t>
            </w:r>
          </w:p>
        </w:tc>
        <w:tc>
          <w:tcPr>
            <w:tcW w:type="dxa" w:w="7937"/>
            <w:vAlign w:val="center"/>
          </w:tcPr>
          <w:p>
            <w:pPr>
              <w:pStyle w:val="TableText"/>
            </w:pPr>
            <w:r/>
            <w:r>
              <w:rPr>
                <w:rFonts w:ascii="Noto Sans CJK SC" w:hAnsi="Noto Sans CJK SC" w:eastAsia="Noto Sans CJK SC"/>
                <w:b w:val="0"/>
                <w:sz w:val="16"/>
              </w:rPr>
              <w:t>成交价格、计价方式、合同约定费用项、结算方式、附加说明</w:t>
            </w:r>
          </w:p>
        </w:tc>
      </w:tr>
      <w:tr>
        <w:tc>
          <w:tcPr>
            <w:tcW w:type="dxa" w:w="2268"/>
            <w:vAlign w:val="center"/>
            <w:shd w:fill="FAFAFA"/>
          </w:tcPr>
          <w:p>
            <w:pPr>
              <w:pStyle w:val="TableText"/>
            </w:pPr>
            <w:r/>
            <w:r>
              <w:rPr>
                <w:rFonts w:ascii="Noto Sans CJK SC" w:hAnsi="Noto Sans CJK SC" w:eastAsia="Noto Sans CJK SC"/>
                <w:b w:val="0"/>
                <w:sz w:val="16"/>
              </w:rPr>
              <w:t>签署信息</w:t>
            </w:r>
          </w:p>
        </w:tc>
        <w:tc>
          <w:tcPr>
            <w:tcW w:type="dxa" w:w="7937"/>
            <w:vAlign w:val="center"/>
          </w:tcPr>
          <w:p>
            <w:pPr>
              <w:pStyle w:val="TableText"/>
            </w:pPr>
            <w:r/>
            <w:r>
              <w:rPr>
                <w:rFonts w:ascii="Noto Sans CJK SC" w:hAnsi="Noto Sans CJK SC" w:eastAsia="Noto Sans CJK SC"/>
                <w:b w:val="0"/>
                <w:sz w:val="16"/>
              </w:rPr>
              <w:t>托运方确认、物流运营商确认、签署时间、签章/附件</w:t>
            </w:r>
          </w:p>
        </w:tc>
      </w:tr>
      <w:tr>
        <w:tc>
          <w:tcPr>
            <w:tcW w:type="dxa" w:w="2268"/>
            <w:vAlign w:val="center"/>
            <w:shd w:fill="FAFAFA"/>
          </w:tcPr>
          <w:p>
            <w:pPr>
              <w:pStyle w:val="TableText"/>
            </w:pPr>
            <w:r/>
            <w:r>
              <w:rPr>
                <w:rFonts w:ascii="Noto Sans CJK SC" w:hAnsi="Noto Sans CJK SC" w:eastAsia="Noto Sans CJK SC"/>
                <w:b w:val="0"/>
                <w:sz w:val="16"/>
              </w:rPr>
              <w:t>关联信息</w:t>
            </w:r>
          </w:p>
        </w:tc>
        <w:tc>
          <w:tcPr>
            <w:tcW w:type="dxa" w:w="7937"/>
            <w:vAlign w:val="center"/>
          </w:tcPr>
          <w:p>
            <w:pPr>
              <w:pStyle w:val="TableText"/>
            </w:pPr>
            <w:r/>
            <w:r>
              <w:rPr>
                <w:rFonts w:ascii="Noto Sans CJK SC" w:hAnsi="Noto Sans CJK SC" w:eastAsia="Noto Sans CJK SC"/>
                <w:b w:val="0"/>
                <w:sz w:val="16"/>
              </w:rPr>
              <w:t>公路任务、铁路运单、船名航次、水运单据、散改集单、执行事件</w:t>
            </w:r>
          </w:p>
        </w:tc>
      </w:tr>
    </w:tbl>
    <w:p/>
    <w:tbl>
      <w:tblPr>
        <w:tblStyle w:val="TableGrid"/>
        <w:tblW w:type="auto" w:w="0"/>
        <w:jc w:val="center"/>
        <w:tblLook w:firstColumn="1" w:firstRow="1" w:lastColumn="0" w:lastRow="0" w:noHBand="0" w:noVBand="1" w:val="04A0"/>
      </w:tblPr>
      <w:tblGrid>
        <w:gridCol w:w="10312"/>
      </w:tblGrid>
      <w:tr>
        <w:tc>
          <w:tcPr>
            <w:tcW w:type="dxa" w:w="10312"/>
            <w:shd w:fill="FBEAEC"/>
          </w:tcPr>
          <w:p>
            <w:pPr>
              <w:spacing w:after="60"/>
            </w:pPr>
            <w:r/>
            <w:r>
              <w:rPr>
                <w:rFonts w:ascii="Noto Sans CJK SC" w:hAnsi="Noto Sans CJK SC" w:eastAsia="Noto Sans CJK SC"/>
                <w:b/>
                <w:color w:val="A00014"/>
                <w:sz w:val="21"/>
              </w:rPr>
              <w:t>业务规则</w:t>
            </w:r>
          </w:p>
          <w:p>
            <w:pPr>
              <w:pStyle w:val="TableText"/>
              <w:spacing w:after="0"/>
            </w:pPr>
            <w:r>
              <w:rPr>
                <w:sz w:val="18"/>
              </w:rPr>
              <w:t>多式联运运单是全程业务主线，但不替代公路、铁路、水运各自实际业务单据。各分段单据仍需保留，并通过联运运单号统一关联。</w:t>
            </w:r>
          </w:p>
        </w:tc>
      </w:tr>
    </w:tbl>
    <w:p/>
    <w:p>
      <w:pPr>
        <w:pStyle w:val="Heading2"/>
      </w:pPr>
      <w:r>
        <w:t>5.4 传统联运（不使用多式联运运单）</w:t>
      </w:r>
    </w:p>
    <w:p>
      <w:r>
        <w:t>适用于没有采用多式联运运单的业务。系统不强制生成多式联运运单，而是以“联运业务编号/运输委托编号”作为统一主线，将公路、铁路、水运分段运输任务及其原有单据进行关联。</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字段类别</w:t>
            </w:r>
          </w:p>
        </w:tc>
        <w:tc>
          <w:tcPr>
            <w:tcW w:type="dxa" w:w="7937"/>
            <w:shd w:fill="C5001A"/>
            <w:vAlign w:val="center"/>
          </w:tcPr>
          <w:p>
            <w:pPr>
              <w:pStyle w:val="TableText"/>
              <w:jc w:val="center"/>
            </w:pPr>
            <w:r/>
            <w:r>
              <w:rPr>
                <w:rFonts w:ascii="Noto Sans CJK SC" w:hAnsi="Noto Sans CJK SC" w:eastAsia="Noto Sans CJK SC"/>
                <w:b/>
                <w:color w:val="FFFFFF"/>
                <w:sz w:val="17"/>
              </w:rPr>
              <w:t>字段</w:t>
            </w:r>
          </w:p>
        </w:tc>
      </w:tr>
      <w:tr>
        <w:tc>
          <w:tcPr>
            <w:tcW w:type="dxa" w:w="2268"/>
            <w:vAlign w:val="center"/>
            <w:shd w:fill="FAFAFA"/>
          </w:tcPr>
          <w:p>
            <w:pPr>
              <w:pStyle w:val="TableText"/>
            </w:pPr>
            <w:r/>
            <w:r>
              <w:rPr>
                <w:rFonts w:ascii="Noto Sans CJK SC" w:hAnsi="Noto Sans CJK SC" w:eastAsia="Noto Sans CJK SC"/>
                <w:b w:val="0"/>
                <w:sz w:val="16"/>
              </w:rPr>
              <w:t>统一关联</w:t>
            </w:r>
          </w:p>
        </w:tc>
        <w:tc>
          <w:tcPr>
            <w:tcW w:type="dxa" w:w="7937"/>
            <w:vAlign w:val="center"/>
          </w:tcPr>
          <w:p>
            <w:pPr>
              <w:pStyle w:val="TableText"/>
            </w:pPr>
            <w:r/>
            <w:r>
              <w:rPr>
                <w:rFonts w:ascii="Noto Sans CJK SC" w:hAnsi="Noto Sans CJK SC" w:eastAsia="Noto Sans CJK SC"/>
                <w:b w:val="0"/>
                <w:sz w:val="16"/>
              </w:rPr>
              <w:t>联运业务编号、运输委托编号、运输需求编号、方案编号（可空）、合同编号</w:t>
            </w:r>
          </w:p>
        </w:tc>
      </w:tr>
      <w:tr>
        <w:tc>
          <w:tcPr>
            <w:tcW w:type="dxa" w:w="2268"/>
            <w:vAlign w:val="center"/>
            <w:shd w:fill="FAFAFA"/>
          </w:tcPr>
          <w:p>
            <w:pPr>
              <w:pStyle w:val="TableText"/>
            </w:pPr>
            <w:r/>
            <w:r>
              <w:rPr>
                <w:rFonts w:ascii="Noto Sans CJK SC" w:hAnsi="Noto Sans CJK SC" w:eastAsia="Noto Sans CJK SC"/>
                <w:b w:val="0"/>
                <w:sz w:val="16"/>
              </w:rPr>
              <w:t>区段任务</w:t>
            </w:r>
          </w:p>
        </w:tc>
        <w:tc>
          <w:tcPr>
            <w:tcW w:type="dxa" w:w="7937"/>
            <w:vAlign w:val="center"/>
          </w:tcPr>
          <w:p>
            <w:pPr>
              <w:pStyle w:val="TableText"/>
            </w:pPr>
            <w:r/>
            <w:r>
              <w:rPr>
                <w:rFonts w:ascii="Noto Sans CJK SC" w:hAnsi="Noto Sans CJK SC" w:eastAsia="Noto Sans CJK SC"/>
                <w:b w:val="0"/>
                <w:sz w:val="16"/>
              </w:rPr>
              <w:t>区段序号、运输方式、起点节点、终点节点、承运主体、计划开始/完成时间、状态</w:t>
            </w:r>
          </w:p>
        </w:tc>
      </w:tr>
      <w:tr>
        <w:tc>
          <w:tcPr>
            <w:tcW w:type="dxa" w:w="2268"/>
            <w:vAlign w:val="center"/>
            <w:shd w:fill="FAFAFA"/>
          </w:tcPr>
          <w:p>
            <w:pPr>
              <w:pStyle w:val="TableText"/>
            </w:pPr>
            <w:r/>
            <w:r>
              <w:rPr>
                <w:rFonts w:ascii="Noto Sans CJK SC" w:hAnsi="Noto Sans CJK SC" w:eastAsia="Noto Sans CJK SC"/>
                <w:b w:val="0"/>
                <w:sz w:val="16"/>
              </w:rPr>
              <w:t>公路执行</w:t>
            </w:r>
          </w:p>
        </w:tc>
        <w:tc>
          <w:tcPr>
            <w:tcW w:type="dxa" w:w="7937"/>
            <w:vAlign w:val="center"/>
          </w:tcPr>
          <w:p>
            <w:pPr>
              <w:pStyle w:val="TableText"/>
            </w:pPr>
            <w:r/>
            <w:r>
              <w:rPr>
                <w:rFonts w:ascii="Noto Sans CJK SC" w:hAnsi="Noto Sans CJK SC" w:eastAsia="Noto Sans CJK SC"/>
                <w:b w:val="0"/>
                <w:sz w:val="16"/>
              </w:rPr>
              <w:t>车辆/车牌、司机、计划运输数量、公路运单/派车单号</w:t>
            </w:r>
          </w:p>
        </w:tc>
      </w:tr>
      <w:tr>
        <w:tc>
          <w:tcPr>
            <w:tcW w:type="dxa" w:w="2268"/>
            <w:vAlign w:val="center"/>
            <w:shd w:fill="FAFAFA"/>
          </w:tcPr>
          <w:p>
            <w:pPr>
              <w:pStyle w:val="TableText"/>
            </w:pPr>
            <w:r/>
            <w:r>
              <w:rPr>
                <w:rFonts w:ascii="Noto Sans CJK SC" w:hAnsi="Noto Sans CJK SC" w:eastAsia="Noto Sans CJK SC"/>
                <w:b w:val="0"/>
                <w:sz w:val="16"/>
              </w:rPr>
              <w:t>铁路执行</w:t>
            </w:r>
          </w:p>
        </w:tc>
        <w:tc>
          <w:tcPr>
            <w:tcW w:type="dxa" w:w="7937"/>
            <w:vAlign w:val="center"/>
          </w:tcPr>
          <w:p>
            <w:pPr>
              <w:pStyle w:val="TableText"/>
            </w:pPr>
            <w:r/>
            <w:r>
              <w:rPr>
                <w:rFonts w:ascii="Noto Sans CJK SC" w:hAnsi="Noto Sans CJK SC" w:eastAsia="Noto Sans CJK SC"/>
                <w:b w:val="0"/>
                <w:sz w:val="16"/>
              </w:rPr>
              <w:t>铁路运单号、发站、到站、班列/车次、计划发到时间</w:t>
            </w:r>
          </w:p>
        </w:tc>
      </w:tr>
      <w:tr>
        <w:tc>
          <w:tcPr>
            <w:tcW w:type="dxa" w:w="2268"/>
            <w:vAlign w:val="center"/>
            <w:shd w:fill="FAFAFA"/>
          </w:tcPr>
          <w:p>
            <w:pPr>
              <w:pStyle w:val="TableText"/>
            </w:pPr>
            <w:r/>
            <w:r>
              <w:rPr>
                <w:rFonts w:ascii="Noto Sans CJK SC" w:hAnsi="Noto Sans CJK SC" w:eastAsia="Noto Sans CJK SC"/>
                <w:b w:val="0"/>
                <w:sz w:val="16"/>
              </w:rPr>
              <w:t>水运执行</w:t>
            </w:r>
          </w:p>
        </w:tc>
        <w:tc>
          <w:tcPr>
            <w:tcW w:type="dxa" w:w="7937"/>
            <w:vAlign w:val="center"/>
          </w:tcPr>
          <w:p>
            <w:pPr>
              <w:pStyle w:val="TableText"/>
            </w:pPr>
            <w:r/>
            <w:r>
              <w:rPr>
                <w:rFonts w:ascii="Noto Sans CJK SC" w:hAnsi="Noto Sans CJK SC" w:eastAsia="Noto Sans CJK SC"/>
                <w:b w:val="0"/>
                <w:sz w:val="16"/>
              </w:rPr>
              <w:t>水运单号、船名、航次、起运港、目的港、计划开航/到港时间</w:t>
            </w:r>
          </w:p>
        </w:tc>
      </w:tr>
      <w:tr>
        <w:tc>
          <w:tcPr>
            <w:tcW w:type="dxa" w:w="2268"/>
            <w:vAlign w:val="center"/>
            <w:shd w:fill="FAFAFA"/>
          </w:tcPr>
          <w:p>
            <w:pPr>
              <w:pStyle w:val="TableText"/>
            </w:pPr>
            <w:r/>
            <w:r>
              <w:rPr>
                <w:rFonts w:ascii="Noto Sans CJK SC" w:hAnsi="Noto Sans CJK SC" w:eastAsia="Noto Sans CJK SC"/>
                <w:b w:val="0"/>
                <w:sz w:val="16"/>
              </w:rPr>
              <w:t>业务单据</w:t>
            </w:r>
          </w:p>
        </w:tc>
        <w:tc>
          <w:tcPr>
            <w:tcW w:type="dxa" w:w="7937"/>
            <w:vAlign w:val="center"/>
          </w:tcPr>
          <w:p>
            <w:pPr>
              <w:pStyle w:val="TableText"/>
            </w:pPr>
            <w:r/>
            <w:r>
              <w:rPr>
                <w:rFonts w:ascii="Noto Sans CJK SC" w:hAnsi="Noto Sans CJK SC" w:eastAsia="Noto Sans CJK SC"/>
                <w:b w:val="0"/>
                <w:sz w:val="16"/>
              </w:rPr>
              <w:t>各运输方式原始单据、交接单、签收单、磅单及其他附件</w:t>
            </w:r>
          </w:p>
        </w:tc>
      </w:tr>
      <w:tr>
        <w:tc>
          <w:tcPr>
            <w:tcW w:type="dxa" w:w="2268"/>
            <w:vAlign w:val="center"/>
            <w:shd w:fill="FAFAFA"/>
          </w:tcPr>
          <w:p>
            <w:pPr>
              <w:pStyle w:val="TableText"/>
            </w:pPr>
            <w:r/>
            <w:r>
              <w:rPr>
                <w:rFonts w:ascii="Noto Sans CJK SC" w:hAnsi="Noto Sans CJK SC" w:eastAsia="Noto Sans CJK SC"/>
                <w:b w:val="0"/>
                <w:sz w:val="16"/>
              </w:rPr>
              <w:t>衔接关系</w:t>
            </w:r>
          </w:p>
        </w:tc>
        <w:tc>
          <w:tcPr>
            <w:tcW w:type="dxa" w:w="7937"/>
            <w:vAlign w:val="center"/>
          </w:tcPr>
          <w:p>
            <w:pPr>
              <w:pStyle w:val="TableText"/>
            </w:pPr>
            <w:r/>
            <w:r>
              <w:rPr>
                <w:rFonts w:ascii="Noto Sans CJK SC" w:hAnsi="Noto Sans CJK SC" w:eastAsia="Noto Sans CJK SC"/>
                <w:b w:val="0"/>
                <w:sz w:val="16"/>
              </w:rPr>
              <w:t>前序任务、后续任务、中转节点、实际衔接时间、异常说明</w:t>
            </w:r>
          </w:p>
        </w:tc>
      </w:tr>
    </w:tbl>
    <w:p/>
    <w:p>
      <w:pPr>
        <w:pStyle w:val="Heading2"/>
      </w:pPr>
      <w:r>
        <w:t>5.5 操作与状态</w:t>
      </w:r>
    </w:p>
    <w:tbl>
      <w:tblPr>
        <w:tblStyle w:val="TableGrid"/>
        <w:tblW w:type="auto" w:w="0"/>
        <w:jc w:val="center"/>
        <w:tblLook w:firstColumn="1" w:firstRow="1" w:lastColumn="0" w:lastRow="0" w:noHBand="0" w:noVBand="1" w:val="04A0"/>
      </w:tblPr>
      <w:tblGrid>
        <w:gridCol w:w="3437"/>
        <w:gridCol w:w="3437"/>
        <w:gridCol w:w="3437"/>
      </w:tblGrid>
      <w:tr>
        <w:tc>
          <w:tcPr>
            <w:tcW w:type="dxa" w:w="2381"/>
            <w:shd w:fill="C5001A"/>
            <w:vAlign w:val="center"/>
          </w:tcPr>
          <w:p>
            <w:pPr>
              <w:pStyle w:val="TableText"/>
              <w:jc w:val="center"/>
            </w:pPr>
            <w:r/>
            <w:r>
              <w:rPr>
                <w:rFonts w:ascii="Noto Sans CJK SC" w:hAnsi="Noto Sans CJK SC" w:eastAsia="Noto Sans CJK SC"/>
                <w:b/>
                <w:color w:val="FFFFFF"/>
                <w:sz w:val="17"/>
              </w:rPr>
              <w:t>操作</w:t>
            </w:r>
          </w:p>
        </w:tc>
        <w:tc>
          <w:tcPr>
            <w:tcW w:type="dxa" w:w="2268"/>
            <w:shd w:fill="C5001A"/>
            <w:vAlign w:val="center"/>
          </w:tcPr>
          <w:p>
            <w:pPr>
              <w:pStyle w:val="TableText"/>
              <w:jc w:val="center"/>
            </w:pPr>
            <w:r/>
            <w:r>
              <w:rPr>
                <w:rFonts w:ascii="Noto Sans CJK SC" w:hAnsi="Noto Sans CJK SC" w:eastAsia="Noto Sans CJK SC"/>
                <w:b/>
                <w:color w:val="FFFFFF"/>
                <w:sz w:val="17"/>
              </w:rPr>
              <w:t>适用角色</w:t>
            </w:r>
          </w:p>
        </w:tc>
        <w:tc>
          <w:tcPr>
            <w:tcW w:type="dxa" w:w="5556"/>
            <w:shd w:fill="C5001A"/>
            <w:vAlign w:val="center"/>
          </w:tcPr>
          <w:p>
            <w:pPr>
              <w:pStyle w:val="TableText"/>
              <w:jc w:val="center"/>
            </w:pPr>
            <w:r/>
            <w:r>
              <w:rPr>
                <w:rFonts w:ascii="Noto Sans CJK SC" w:hAnsi="Noto Sans CJK SC" w:eastAsia="Noto Sans CJK SC"/>
                <w:b/>
                <w:color w:val="FFFFFF"/>
                <w:sz w:val="17"/>
              </w:rPr>
              <w:t>规则</w:t>
            </w:r>
          </w:p>
        </w:tc>
      </w:tr>
      <w:tr>
        <w:tc>
          <w:tcPr>
            <w:tcW w:type="dxa" w:w="2381"/>
            <w:vAlign w:val="center"/>
            <w:shd w:fill="FAFAFA"/>
          </w:tcPr>
          <w:p>
            <w:pPr>
              <w:pStyle w:val="TableText"/>
            </w:pPr>
            <w:r/>
            <w:r>
              <w:rPr>
                <w:rFonts w:ascii="Noto Sans CJK SC" w:hAnsi="Noto Sans CJK SC" w:eastAsia="Noto Sans CJK SC"/>
                <w:b w:val="0"/>
                <w:sz w:val="16"/>
              </w:rPr>
              <w:t>创建/接收联运业务</w:t>
            </w:r>
          </w:p>
        </w:tc>
        <w:tc>
          <w:tcPr>
            <w:tcW w:type="dxa" w:w="2268"/>
            <w:vAlign w:val="center"/>
          </w:tcPr>
          <w:p>
            <w:pPr>
              <w:pStyle w:val="TableText"/>
            </w:pPr>
            <w:r/>
            <w:r>
              <w:rPr>
                <w:rFonts w:ascii="Noto Sans CJK SC" w:hAnsi="Noto Sans CJK SC" w:eastAsia="Noto Sans CJK SC"/>
                <w:b w:val="0"/>
                <w:sz w:val="16"/>
              </w:rPr>
              <w:t>物流运营商、平台运营方辅助</w:t>
            </w:r>
          </w:p>
        </w:tc>
        <w:tc>
          <w:tcPr>
            <w:tcW w:type="dxa" w:w="5556"/>
            <w:vAlign w:val="center"/>
          </w:tcPr>
          <w:p>
            <w:pPr>
              <w:pStyle w:val="TableText"/>
            </w:pPr>
            <w:r/>
            <w:r>
              <w:rPr>
                <w:rFonts w:ascii="Noto Sans CJK SC" w:hAnsi="Noto Sans CJK SC" w:eastAsia="Noto Sans CJK SC"/>
                <w:b w:val="0"/>
                <w:sz w:val="16"/>
              </w:rPr>
              <w:t>仅允许从已成交且合同已生效的业务生成；自动带入前序数据</w:t>
            </w:r>
          </w:p>
        </w:tc>
      </w:tr>
      <w:tr>
        <w:tc>
          <w:tcPr>
            <w:tcW w:type="dxa" w:w="2381"/>
            <w:vAlign w:val="center"/>
            <w:shd w:fill="FAFAFA"/>
          </w:tcPr>
          <w:p>
            <w:pPr>
              <w:pStyle w:val="TableText"/>
            </w:pPr>
            <w:r/>
            <w:r>
              <w:rPr>
                <w:rFonts w:ascii="Noto Sans CJK SC" w:hAnsi="Noto Sans CJK SC" w:eastAsia="Noto Sans CJK SC"/>
                <w:b w:val="0"/>
                <w:sz w:val="16"/>
              </w:rPr>
              <w:t>选择组织模式</w:t>
            </w:r>
          </w:p>
        </w:tc>
        <w:tc>
          <w:tcPr>
            <w:tcW w:type="dxa" w:w="2268"/>
            <w:vAlign w:val="center"/>
          </w:tcPr>
          <w:p>
            <w:pPr>
              <w:pStyle w:val="TableText"/>
            </w:pPr>
            <w:r/>
            <w:r>
              <w:rPr>
                <w:rFonts w:ascii="Noto Sans CJK SC" w:hAnsi="Noto Sans CJK SC" w:eastAsia="Noto Sans CJK SC"/>
                <w:b w:val="0"/>
                <w:sz w:val="16"/>
              </w:rPr>
              <w:t>物流运营商</w:t>
            </w:r>
          </w:p>
        </w:tc>
        <w:tc>
          <w:tcPr>
            <w:tcW w:type="dxa" w:w="5556"/>
            <w:vAlign w:val="center"/>
          </w:tcPr>
          <w:p>
            <w:pPr>
              <w:pStyle w:val="TableText"/>
            </w:pPr>
            <w:r/>
            <w:r>
              <w:rPr>
                <w:rFonts w:ascii="Noto Sans CJK SC" w:hAnsi="Noto Sans CJK SC" w:eastAsia="Noto Sans CJK SC"/>
                <w:b w:val="0"/>
                <w:sz w:val="16"/>
              </w:rPr>
              <w:t>选择“一单制联运”或“传统联运”，保存后生成对应数据结构</w:t>
            </w:r>
          </w:p>
        </w:tc>
      </w:tr>
      <w:tr>
        <w:tc>
          <w:tcPr>
            <w:tcW w:type="dxa" w:w="2381"/>
            <w:vAlign w:val="center"/>
            <w:shd w:fill="FAFAFA"/>
          </w:tcPr>
          <w:p>
            <w:pPr>
              <w:pStyle w:val="TableText"/>
            </w:pPr>
            <w:r/>
            <w:r>
              <w:rPr>
                <w:rFonts w:ascii="Noto Sans CJK SC" w:hAnsi="Noto Sans CJK SC" w:eastAsia="Noto Sans CJK SC"/>
                <w:b w:val="0"/>
                <w:sz w:val="16"/>
              </w:rPr>
              <w:t>生成多式联运运单</w:t>
            </w:r>
          </w:p>
        </w:tc>
        <w:tc>
          <w:tcPr>
            <w:tcW w:type="dxa" w:w="2268"/>
            <w:vAlign w:val="center"/>
          </w:tcPr>
          <w:p>
            <w:pPr>
              <w:pStyle w:val="TableText"/>
            </w:pPr>
            <w:r/>
            <w:r>
              <w:rPr>
                <w:rFonts w:ascii="Noto Sans CJK SC" w:hAnsi="Noto Sans CJK SC" w:eastAsia="Noto Sans CJK SC"/>
                <w:b w:val="0"/>
                <w:sz w:val="16"/>
              </w:rPr>
              <w:t>物流运营商</w:t>
            </w:r>
          </w:p>
        </w:tc>
        <w:tc>
          <w:tcPr>
            <w:tcW w:type="dxa" w:w="5556"/>
            <w:vAlign w:val="center"/>
          </w:tcPr>
          <w:p>
            <w:pPr>
              <w:pStyle w:val="TableText"/>
            </w:pPr>
            <w:r/>
            <w:r>
              <w:rPr>
                <w:rFonts w:ascii="Noto Sans CJK SC" w:hAnsi="Noto Sans CJK SC" w:eastAsia="Noto Sans CJK SC"/>
                <w:b w:val="0"/>
                <w:sz w:val="16"/>
              </w:rPr>
              <w:t>仅一单制联运使用；自动带入需求、方案、合同和主体信息，允许补充实际执行字段</w:t>
            </w:r>
          </w:p>
        </w:tc>
      </w:tr>
      <w:tr>
        <w:tc>
          <w:tcPr>
            <w:tcW w:type="dxa" w:w="2381"/>
            <w:vAlign w:val="center"/>
            <w:shd w:fill="FAFAFA"/>
          </w:tcPr>
          <w:p>
            <w:pPr>
              <w:pStyle w:val="TableText"/>
            </w:pPr>
            <w:r/>
            <w:r>
              <w:rPr>
                <w:rFonts w:ascii="Noto Sans CJK SC" w:hAnsi="Noto Sans CJK SC" w:eastAsia="Noto Sans CJK SC"/>
                <w:b w:val="0"/>
                <w:sz w:val="16"/>
              </w:rPr>
              <w:t>登记分段任务</w:t>
            </w:r>
          </w:p>
        </w:tc>
        <w:tc>
          <w:tcPr>
            <w:tcW w:type="dxa" w:w="2268"/>
            <w:vAlign w:val="center"/>
          </w:tcPr>
          <w:p>
            <w:pPr>
              <w:pStyle w:val="TableText"/>
            </w:pPr>
            <w:r/>
            <w:r>
              <w:rPr>
                <w:rFonts w:ascii="Noto Sans CJK SC" w:hAnsi="Noto Sans CJK SC" w:eastAsia="Noto Sans CJK SC"/>
                <w:b w:val="0"/>
                <w:sz w:val="16"/>
              </w:rPr>
              <w:t>物流运营商</w:t>
            </w:r>
          </w:p>
        </w:tc>
        <w:tc>
          <w:tcPr>
            <w:tcW w:type="dxa" w:w="5556"/>
            <w:vAlign w:val="center"/>
          </w:tcPr>
          <w:p>
            <w:pPr>
              <w:pStyle w:val="TableText"/>
            </w:pPr>
            <w:r/>
            <w:r>
              <w:rPr>
                <w:rFonts w:ascii="Noto Sans CJK SC" w:hAnsi="Noto Sans CJK SC" w:eastAsia="Noto Sans CJK SC"/>
                <w:b w:val="0"/>
                <w:sz w:val="16"/>
              </w:rPr>
              <w:t>方案来源业务自动带入计划区段；需求直发业务由物流运营商按实际组织补充分段任务</w:t>
            </w:r>
          </w:p>
        </w:tc>
      </w:tr>
      <w:tr>
        <w:tc>
          <w:tcPr>
            <w:tcW w:type="dxa" w:w="2381"/>
            <w:vAlign w:val="center"/>
            <w:shd w:fill="FAFAFA"/>
          </w:tcPr>
          <w:p>
            <w:pPr>
              <w:pStyle w:val="TableText"/>
            </w:pPr>
            <w:r/>
            <w:r>
              <w:rPr>
                <w:rFonts w:ascii="Noto Sans CJK SC" w:hAnsi="Noto Sans CJK SC" w:eastAsia="Noto Sans CJK SC"/>
                <w:b w:val="0"/>
                <w:sz w:val="16"/>
              </w:rPr>
              <w:t>查看与跟踪</w:t>
            </w:r>
          </w:p>
        </w:tc>
        <w:tc>
          <w:tcPr>
            <w:tcW w:type="dxa" w:w="2268"/>
            <w:vAlign w:val="center"/>
          </w:tcPr>
          <w:p>
            <w:pPr>
              <w:pStyle w:val="TableText"/>
            </w:pPr>
            <w:r/>
            <w:r>
              <w:rPr>
                <w:rFonts w:ascii="Noto Sans CJK SC" w:hAnsi="Noto Sans CJK SC" w:eastAsia="Noto Sans CJK SC"/>
                <w:b w:val="0"/>
                <w:sz w:val="16"/>
              </w:rPr>
              <w:t>三类角色</w:t>
            </w:r>
          </w:p>
        </w:tc>
        <w:tc>
          <w:tcPr>
            <w:tcW w:type="dxa" w:w="5556"/>
            <w:vAlign w:val="center"/>
          </w:tcPr>
          <w:p>
            <w:pPr>
              <w:pStyle w:val="TableText"/>
            </w:pPr>
            <w:r/>
            <w:r>
              <w:rPr>
                <w:rFonts w:ascii="Noto Sans CJK SC" w:hAnsi="Noto Sans CJK SC" w:eastAsia="Noto Sans CJK SC"/>
                <w:b w:val="0"/>
                <w:sz w:val="16"/>
              </w:rPr>
              <w:t>均可查看与自身数据权限相符的组织信息、任务状态及关联单据</w:t>
            </w:r>
          </w:p>
        </w:tc>
      </w:tr>
      <w:tr>
        <w:tc>
          <w:tcPr>
            <w:tcW w:type="dxa" w:w="2381"/>
            <w:vAlign w:val="center"/>
            <w:shd w:fill="FAFAFA"/>
          </w:tcPr>
          <w:p>
            <w:pPr>
              <w:pStyle w:val="TableText"/>
            </w:pPr>
            <w:r/>
            <w:r>
              <w:rPr>
                <w:rFonts w:ascii="Noto Sans CJK SC" w:hAnsi="Noto Sans CJK SC" w:eastAsia="Noto Sans CJK SC"/>
                <w:b w:val="0"/>
                <w:sz w:val="16"/>
              </w:rPr>
              <w:t>变更组织</w:t>
            </w:r>
          </w:p>
        </w:tc>
        <w:tc>
          <w:tcPr>
            <w:tcW w:type="dxa" w:w="2268"/>
            <w:vAlign w:val="center"/>
          </w:tcPr>
          <w:p>
            <w:pPr>
              <w:pStyle w:val="TableText"/>
            </w:pPr>
            <w:r/>
            <w:r>
              <w:rPr>
                <w:rFonts w:ascii="Noto Sans CJK SC" w:hAnsi="Noto Sans CJK SC" w:eastAsia="Noto Sans CJK SC"/>
                <w:b w:val="0"/>
                <w:sz w:val="16"/>
              </w:rPr>
              <w:t>物流运营商，必要时平台辅助</w:t>
            </w:r>
          </w:p>
        </w:tc>
        <w:tc>
          <w:tcPr>
            <w:tcW w:type="dxa" w:w="5556"/>
            <w:vAlign w:val="center"/>
          </w:tcPr>
          <w:p>
            <w:pPr>
              <w:pStyle w:val="TableText"/>
            </w:pPr>
            <w:r/>
            <w:r>
              <w:rPr>
                <w:rFonts w:ascii="Noto Sans CJK SC" w:hAnsi="Noto Sans CJK SC" w:eastAsia="Noto Sans CJK SC"/>
                <w:b w:val="0"/>
                <w:sz w:val="16"/>
              </w:rPr>
              <w:t>执行前可调整；执行中变更需记录变更原因和历史版本</w:t>
            </w:r>
          </w:p>
        </w:tc>
      </w:tr>
    </w:tbl>
    <w:p/>
    <w:p>
      <w:pPr>
        <w:pStyle w:val="Heading2"/>
      </w:pPr>
      <w:r>
        <w:t>5.6 应用场景</w:t>
      </w:r>
    </w:p>
    <w:p>
      <w:r>
        <w:t>场景 A：粮食贸易企业发布运输需求，经供需匹配与价格商讨后确定物流运营商并完成合同签署。物流运营商根据实际组织决定采用一单制联运，系统生成多式联运运单，并在该运单下关联公路短驳、铁路运输、水运等实际任务。</w:t>
      </w:r>
    </w:p>
    <w:p>
      <w:r>
        <w:t>场景 B：运输业务不使用多式联运运单。物流运营商在联运业务下分别登记公路、铁路、水运任务及各自单据，系统通过统一业务编号保持全程关联和连续跟踪。</w:t>
      </w:r>
    </w:p>
    <w:p>
      <w:pPr>
        <w:pStyle w:val="Heading2"/>
      </w:pPr>
      <w:r>
        <w:t>5.7 功能目标</w:t>
      </w:r>
    </w:p>
    <w:p>
      <w:r>
        <w:t>通过统一联运业务主线兼容“一单制联运”和“传统分段联运”，解决不同运输组织模式下业务对象、运输任务和单据难以统一关联的问题，并为散改集、执行编排、联运跟踪、EPCIS 事件串联和对账结算提供统一业务基础。</w:t>
      </w:r>
    </w:p>
    <w:p>
      <w:pPr>
        <w:pStyle w:val="Heading1"/>
      </w:pPr>
      <w:r>
        <w:t>6  散改集管理</w:t>
      </w:r>
    </w:p>
    <w:p>
      <w:pPr>
        <w:pStyle w:val="Heading2"/>
      </w:pPr>
      <w:r>
        <w:t>6.1 功能描述与触发条件</w:t>
      </w:r>
    </w:p>
    <w:p>
      <w:r>
        <w:t>散改集管理面向粮食以散货形式进入港口、物流园区或中转节点后转换为集装箱继续运输的业务。该功能必须与前序运输需求关联：当运输需求“包装形态=散货”且“需要散改集=是”时，在合同生效并进入联运组织后生成待处理的散改集业务；不满足条件的业务不进入散改集管理。</w:t>
      </w:r>
    </w:p>
    <w:tbl>
      <w:tblPr>
        <w:tblStyle w:val="TableGrid"/>
        <w:tblW w:type="auto" w:w="0"/>
        <w:jc w:val="center"/>
        <w:tblLook w:firstColumn="1" w:firstRow="1" w:lastColumn="0" w:lastRow="0" w:noHBand="0" w:noVBand="1" w:val="04A0"/>
      </w:tblPr>
      <w:tblGrid>
        <w:gridCol w:w="10312"/>
      </w:tblGrid>
      <w:tr>
        <w:tc>
          <w:tcPr>
            <w:tcW w:type="dxa" w:w="10312"/>
            <w:shd w:fill="EEF6FF"/>
          </w:tcPr>
          <w:p>
            <w:pPr>
              <w:spacing w:after="60"/>
            </w:pPr>
            <w:r/>
            <w:r>
              <w:rPr>
                <w:rFonts w:ascii="Noto Sans CJK SC" w:hAnsi="Noto Sans CJK SC" w:eastAsia="Noto Sans CJK SC"/>
                <w:b/>
                <w:color w:val="A00014"/>
                <w:sz w:val="21"/>
              </w:rPr>
              <w:t>核心对象关系</w:t>
            </w:r>
          </w:p>
          <w:p>
            <w:pPr>
              <w:pStyle w:val="TableText"/>
              <w:spacing w:after="0"/>
            </w:pPr>
            <w:r>
              <w:rPr>
                <w:sz w:val="18"/>
              </w:rPr>
              <w:t>运输需求 → 粮食批次 → 前段运输车辆 → 到场/过磅 → 装箱登记 → 集装箱 → 封志 → 船舶/航次（或后续铁路/公路任务） → 联运跟踪。</w:t>
            </w:r>
          </w:p>
        </w:tc>
      </w:tr>
    </w:tbl>
    <w:p/>
    <w:p>
      <w:pPr>
        <w:pStyle w:val="Heading2"/>
      </w:pPr>
      <w:r>
        <w:t>6.2 散改集主信息</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字段类别</w:t>
            </w:r>
          </w:p>
        </w:tc>
        <w:tc>
          <w:tcPr>
            <w:tcW w:type="dxa" w:w="7937"/>
            <w:shd w:fill="C5001A"/>
            <w:vAlign w:val="center"/>
          </w:tcPr>
          <w:p>
            <w:pPr>
              <w:pStyle w:val="TableText"/>
              <w:jc w:val="center"/>
            </w:pPr>
            <w:r/>
            <w:r>
              <w:rPr>
                <w:rFonts w:ascii="Noto Sans CJK SC" w:hAnsi="Noto Sans CJK SC" w:eastAsia="Noto Sans CJK SC"/>
                <w:b/>
                <w:color w:val="FFFFFF"/>
                <w:sz w:val="17"/>
              </w:rPr>
              <w:t>字段</w:t>
            </w:r>
          </w:p>
        </w:tc>
      </w:tr>
      <w:tr>
        <w:tc>
          <w:tcPr>
            <w:tcW w:type="dxa" w:w="2268"/>
            <w:vAlign w:val="center"/>
            <w:shd w:fill="FAFAFA"/>
          </w:tcPr>
          <w:p>
            <w:pPr>
              <w:pStyle w:val="TableText"/>
            </w:pPr>
            <w:r/>
            <w:r>
              <w:rPr>
                <w:rFonts w:ascii="Noto Sans CJK SC" w:hAnsi="Noto Sans CJK SC" w:eastAsia="Noto Sans CJK SC"/>
                <w:b w:val="0"/>
                <w:sz w:val="16"/>
              </w:rPr>
              <w:t>关联信息</w:t>
            </w:r>
          </w:p>
        </w:tc>
        <w:tc>
          <w:tcPr>
            <w:tcW w:type="dxa" w:w="7937"/>
            <w:vAlign w:val="center"/>
          </w:tcPr>
          <w:p>
            <w:pPr>
              <w:pStyle w:val="TableText"/>
            </w:pPr>
            <w:r/>
            <w:r>
              <w:rPr>
                <w:rFonts w:ascii="Noto Sans CJK SC" w:hAnsi="Noto Sans CJK SC" w:eastAsia="Noto Sans CJK SC"/>
                <w:b w:val="0"/>
                <w:sz w:val="16"/>
              </w:rPr>
              <w:t>散改集单号、联运业务编号、运输需求编号、方案编号（可空）、合同编号、组织模式、多式联运运单号（可空）</w:t>
            </w:r>
          </w:p>
        </w:tc>
      </w:tr>
      <w:tr>
        <w:tc>
          <w:tcPr>
            <w:tcW w:type="dxa" w:w="2268"/>
            <w:vAlign w:val="center"/>
            <w:shd w:fill="FAFAFA"/>
          </w:tcPr>
          <w:p>
            <w:pPr>
              <w:pStyle w:val="TableText"/>
            </w:pPr>
            <w:r/>
            <w:r>
              <w:rPr>
                <w:rFonts w:ascii="Noto Sans CJK SC" w:hAnsi="Noto Sans CJK SC" w:eastAsia="Noto Sans CJK SC"/>
                <w:b w:val="0"/>
                <w:sz w:val="16"/>
              </w:rPr>
              <w:t>货物信息</w:t>
            </w:r>
          </w:p>
        </w:tc>
        <w:tc>
          <w:tcPr>
            <w:tcW w:type="dxa" w:w="7937"/>
            <w:vAlign w:val="center"/>
          </w:tcPr>
          <w:p>
            <w:pPr>
              <w:pStyle w:val="TableText"/>
            </w:pPr>
            <w:r/>
            <w:r>
              <w:rPr>
                <w:rFonts w:ascii="Noto Sans CJK SC" w:hAnsi="Noto Sans CJK SC" w:eastAsia="Noto Sans CJK SC"/>
                <w:b w:val="0"/>
                <w:sz w:val="16"/>
              </w:rPr>
              <w:t>粮食品种、原粮食批次、计划转换数量、已到场数量、已装箱数量、剩余数量、计量单位</w:t>
            </w:r>
          </w:p>
        </w:tc>
      </w:tr>
      <w:tr>
        <w:tc>
          <w:tcPr>
            <w:tcW w:type="dxa" w:w="2268"/>
            <w:vAlign w:val="center"/>
            <w:shd w:fill="FAFAFA"/>
          </w:tcPr>
          <w:p>
            <w:pPr>
              <w:pStyle w:val="TableText"/>
            </w:pPr>
            <w:r/>
            <w:r>
              <w:rPr>
                <w:rFonts w:ascii="Noto Sans CJK SC" w:hAnsi="Noto Sans CJK SC" w:eastAsia="Noto Sans CJK SC"/>
                <w:b w:val="0"/>
                <w:sz w:val="16"/>
              </w:rPr>
              <w:t>节点信息</w:t>
            </w:r>
          </w:p>
        </w:tc>
        <w:tc>
          <w:tcPr>
            <w:tcW w:type="dxa" w:w="7937"/>
            <w:vAlign w:val="center"/>
          </w:tcPr>
          <w:p>
            <w:pPr>
              <w:pStyle w:val="TableText"/>
            </w:pPr>
            <w:r/>
            <w:r>
              <w:rPr>
                <w:rFonts w:ascii="Noto Sans CJK SC" w:hAnsi="Noto Sans CJK SC" w:eastAsia="Noto Sans CJK SC"/>
                <w:b w:val="0"/>
                <w:sz w:val="16"/>
              </w:rPr>
              <w:t>散改集地点、场站/港口名称、计划到场时间、计划装箱时间、实际开始/完成时间</w:t>
            </w:r>
          </w:p>
        </w:tc>
      </w:tr>
      <w:tr>
        <w:tc>
          <w:tcPr>
            <w:tcW w:type="dxa" w:w="2268"/>
            <w:vAlign w:val="center"/>
            <w:shd w:fill="FAFAFA"/>
          </w:tcPr>
          <w:p>
            <w:pPr>
              <w:pStyle w:val="TableText"/>
            </w:pPr>
            <w:r/>
            <w:r>
              <w:rPr>
                <w:rFonts w:ascii="Noto Sans CJK SC" w:hAnsi="Noto Sans CJK SC" w:eastAsia="Noto Sans CJK SC"/>
                <w:b w:val="0"/>
                <w:sz w:val="16"/>
              </w:rPr>
              <w:t>状态信息</w:t>
            </w:r>
          </w:p>
        </w:tc>
        <w:tc>
          <w:tcPr>
            <w:tcW w:type="dxa" w:w="7937"/>
            <w:vAlign w:val="center"/>
          </w:tcPr>
          <w:p>
            <w:pPr>
              <w:pStyle w:val="TableText"/>
            </w:pPr>
            <w:r/>
            <w:r>
              <w:rPr>
                <w:rFonts w:ascii="Noto Sans CJK SC" w:hAnsi="Noto Sans CJK SC" w:eastAsia="Noto Sans CJK SC"/>
                <w:b w:val="0"/>
                <w:sz w:val="16"/>
              </w:rPr>
              <w:t>待集货、集货中、待装箱、装箱中、已装箱、待关联后程、已完成、异常</w:t>
            </w:r>
          </w:p>
        </w:tc>
      </w:tr>
    </w:tbl>
    <w:p/>
    <w:p>
      <w:pPr>
        <w:pStyle w:val="Heading2"/>
      </w:pPr>
      <w:r>
        <w:t>6.3 批次与车辆关联</w:t>
      </w:r>
    </w:p>
    <w:p>
      <w:r>
        <w:t>一个粮食批次可能由多辆车辆分批到场，因此系统应以粮食批次作为归集对象，在批次下持续追加车辆到场记录。</w:t>
      </w:r>
    </w:p>
    <w:tbl>
      <w:tblPr>
        <w:tblStyle w:val="TableGrid"/>
        <w:tblW w:type="auto" w:w="0"/>
        <w:jc w:val="center"/>
        <w:tblLook w:firstColumn="1" w:firstRow="1" w:lastColumn="0" w:lastRow="0" w:noHBand="0" w:noVBand="1" w:val="04A0"/>
      </w:tblPr>
      <w:tblGrid>
        <w:gridCol w:w="5156"/>
        <w:gridCol w:w="5156"/>
      </w:tblGrid>
      <w:tr>
        <w:tc>
          <w:tcPr>
            <w:tcW w:type="dxa" w:w="2835"/>
            <w:shd w:fill="C5001A"/>
            <w:vAlign w:val="center"/>
          </w:tcPr>
          <w:p>
            <w:pPr>
              <w:pStyle w:val="TableText"/>
              <w:jc w:val="center"/>
            </w:pPr>
            <w:r/>
            <w:r>
              <w:rPr>
                <w:rFonts w:ascii="Noto Sans CJK SC" w:hAnsi="Noto Sans CJK SC" w:eastAsia="Noto Sans CJK SC"/>
                <w:b/>
                <w:color w:val="FFFFFF"/>
                <w:sz w:val="17"/>
              </w:rPr>
              <w:t>字段</w:t>
            </w:r>
          </w:p>
        </w:tc>
        <w:tc>
          <w:tcPr>
            <w:tcW w:type="dxa" w:w="7370"/>
            <w:shd w:fill="C5001A"/>
            <w:vAlign w:val="center"/>
          </w:tcPr>
          <w:p>
            <w:pPr>
              <w:pStyle w:val="TableText"/>
              <w:jc w:val="center"/>
            </w:pPr>
            <w:r/>
            <w:r>
              <w:rPr>
                <w:rFonts w:ascii="Noto Sans CJK SC" w:hAnsi="Noto Sans CJK SC" w:eastAsia="Noto Sans CJK SC"/>
                <w:b/>
                <w:color w:val="FFFFFF"/>
                <w:sz w:val="17"/>
              </w:rPr>
              <w:t>说明</w:t>
            </w:r>
          </w:p>
        </w:tc>
      </w:tr>
      <w:tr>
        <w:tc>
          <w:tcPr>
            <w:tcW w:type="dxa" w:w="2835"/>
            <w:vAlign w:val="center"/>
            <w:shd w:fill="FAFAFA"/>
          </w:tcPr>
          <w:p>
            <w:pPr>
              <w:pStyle w:val="TableText"/>
            </w:pPr>
            <w:r/>
            <w:r>
              <w:rPr>
                <w:rFonts w:ascii="Noto Sans CJK SC" w:hAnsi="Noto Sans CJK SC" w:eastAsia="Noto Sans CJK SC"/>
                <w:b w:val="0"/>
                <w:sz w:val="16"/>
              </w:rPr>
              <w:t>粮食批次号</w:t>
            </w:r>
          </w:p>
        </w:tc>
        <w:tc>
          <w:tcPr>
            <w:tcW w:type="dxa" w:w="7370"/>
            <w:vAlign w:val="center"/>
          </w:tcPr>
          <w:p>
            <w:pPr>
              <w:pStyle w:val="TableText"/>
            </w:pPr>
            <w:r/>
            <w:r>
              <w:rPr>
                <w:rFonts w:ascii="Noto Sans CJK SC" w:hAnsi="Noto Sans CJK SC" w:eastAsia="Noto Sans CJK SC"/>
                <w:b w:val="0"/>
                <w:sz w:val="16"/>
              </w:rPr>
              <w:t>来自运输需求或上游运输任务</w:t>
            </w:r>
          </w:p>
        </w:tc>
      </w:tr>
      <w:tr>
        <w:tc>
          <w:tcPr>
            <w:tcW w:type="dxa" w:w="2835"/>
            <w:vAlign w:val="center"/>
            <w:shd w:fill="FAFAFA"/>
          </w:tcPr>
          <w:p>
            <w:pPr>
              <w:pStyle w:val="TableText"/>
            </w:pPr>
            <w:r/>
            <w:r>
              <w:rPr>
                <w:rFonts w:ascii="Noto Sans CJK SC" w:hAnsi="Noto Sans CJK SC" w:eastAsia="Noto Sans CJK SC"/>
                <w:b w:val="0"/>
                <w:sz w:val="16"/>
              </w:rPr>
              <w:t>车辆/车牌号</w:t>
            </w:r>
          </w:p>
        </w:tc>
        <w:tc>
          <w:tcPr>
            <w:tcW w:type="dxa" w:w="7370"/>
            <w:vAlign w:val="center"/>
          </w:tcPr>
          <w:p>
            <w:pPr>
              <w:pStyle w:val="TableText"/>
            </w:pPr>
            <w:r/>
            <w:r>
              <w:rPr>
                <w:rFonts w:ascii="Noto Sans CJK SC" w:hAnsi="Noto Sans CJK SC" w:eastAsia="Noto Sans CJK SC"/>
                <w:b w:val="0"/>
                <w:sz w:val="16"/>
              </w:rPr>
              <w:t>实际到场车辆</w:t>
            </w:r>
          </w:p>
        </w:tc>
      </w:tr>
      <w:tr>
        <w:tc>
          <w:tcPr>
            <w:tcW w:type="dxa" w:w="2835"/>
            <w:vAlign w:val="center"/>
            <w:shd w:fill="FAFAFA"/>
          </w:tcPr>
          <w:p>
            <w:pPr>
              <w:pStyle w:val="TableText"/>
            </w:pPr>
            <w:r/>
            <w:r>
              <w:rPr>
                <w:rFonts w:ascii="Noto Sans CJK SC" w:hAnsi="Noto Sans CJK SC" w:eastAsia="Noto Sans CJK SC"/>
                <w:b w:val="0"/>
                <w:sz w:val="16"/>
              </w:rPr>
              <w:t>司机姓名/联系电话</w:t>
            </w:r>
          </w:p>
        </w:tc>
        <w:tc>
          <w:tcPr>
            <w:tcW w:type="dxa" w:w="7370"/>
            <w:vAlign w:val="center"/>
          </w:tcPr>
          <w:p>
            <w:pPr>
              <w:pStyle w:val="TableText"/>
            </w:pPr>
            <w:r/>
            <w:r>
              <w:rPr>
                <w:rFonts w:ascii="Noto Sans CJK SC" w:hAnsi="Noto Sans CJK SC" w:eastAsia="Noto Sans CJK SC"/>
                <w:b w:val="0"/>
                <w:sz w:val="16"/>
              </w:rPr>
              <w:t>与车辆执行任务关联</w:t>
            </w:r>
          </w:p>
        </w:tc>
      </w:tr>
      <w:tr>
        <w:tc>
          <w:tcPr>
            <w:tcW w:type="dxa" w:w="2835"/>
            <w:vAlign w:val="center"/>
            <w:shd w:fill="FAFAFA"/>
          </w:tcPr>
          <w:p>
            <w:pPr>
              <w:pStyle w:val="TableText"/>
            </w:pPr>
            <w:r/>
            <w:r>
              <w:rPr>
                <w:rFonts w:ascii="Noto Sans CJK SC" w:hAnsi="Noto Sans CJK SC" w:eastAsia="Noto Sans CJK SC"/>
                <w:b w:val="0"/>
                <w:sz w:val="16"/>
              </w:rPr>
              <w:t>到场时间</w:t>
            </w:r>
          </w:p>
        </w:tc>
        <w:tc>
          <w:tcPr>
            <w:tcW w:type="dxa" w:w="7370"/>
            <w:vAlign w:val="center"/>
          </w:tcPr>
          <w:p>
            <w:pPr>
              <w:pStyle w:val="TableText"/>
            </w:pPr>
            <w:r/>
            <w:r>
              <w:rPr>
                <w:rFonts w:ascii="Noto Sans CJK SC" w:hAnsi="Noto Sans CJK SC" w:eastAsia="Noto Sans CJK SC"/>
                <w:b w:val="0"/>
                <w:sz w:val="16"/>
              </w:rPr>
              <w:t>司机打卡或运营商补录</w:t>
            </w:r>
          </w:p>
        </w:tc>
      </w:tr>
      <w:tr>
        <w:tc>
          <w:tcPr>
            <w:tcW w:type="dxa" w:w="2835"/>
            <w:vAlign w:val="center"/>
            <w:shd w:fill="FAFAFA"/>
          </w:tcPr>
          <w:p>
            <w:pPr>
              <w:pStyle w:val="TableText"/>
            </w:pPr>
            <w:r/>
            <w:r>
              <w:rPr>
                <w:rFonts w:ascii="Noto Sans CJK SC" w:hAnsi="Noto Sans CJK SC" w:eastAsia="Noto Sans CJK SC"/>
                <w:b w:val="0"/>
                <w:sz w:val="16"/>
              </w:rPr>
              <w:t>到场毛重/皮重/净重</w:t>
            </w:r>
          </w:p>
        </w:tc>
        <w:tc>
          <w:tcPr>
            <w:tcW w:type="dxa" w:w="7370"/>
            <w:vAlign w:val="center"/>
          </w:tcPr>
          <w:p>
            <w:pPr>
              <w:pStyle w:val="TableText"/>
            </w:pPr>
            <w:r/>
            <w:r>
              <w:rPr>
                <w:rFonts w:ascii="Noto Sans CJK SC" w:hAnsi="Noto Sans CJK SC" w:eastAsia="Noto Sans CJK SC"/>
                <w:b w:val="0"/>
                <w:sz w:val="16"/>
              </w:rPr>
              <w:t>可通过磅单录入或单据识别获取</w:t>
            </w:r>
          </w:p>
        </w:tc>
      </w:tr>
      <w:tr>
        <w:tc>
          <w:tcPr>
            <w:tcW w:type="dxa" w:w="2835"/>
            <w:vAlign w:val="center"/>
            <w:shd w:fill="FAFAFA"/>
          </w:tcPr>
          <w:p>
            <w:pPr>
              <w:pStyle w:val="TableText"/>
            </w:pPr>
            <w:r/>
            <w:r>
              <w:rPr>
                <w:rFonts w:ascii="Noto Sans CJK SC" w:hAnsi="Noto Sans CJK SC" w:eastAsia="Noto Sans CJK SC"/>
                <w:b w:val="0"/>
                <w:sz w:val="16"/>
              </w:rPr>
              <w:t>本车实际到货数量</w:t>
            </w:r>
          </w:p>
        </w:tc>
        <w:tc>
          <w:tcPr>
            <w:tcW w:type="dxa" w:w="7370"/>
            <w:vAlign w:val="center"/>
          </w:tcPr>
          <w:p>
            <w:pPr>
              <w:pStyle w:val="TableText"/>
            </w:pPr>
            <w:r/>
            <w:r>
              <w:rPr>
                <w:rFonts w:ascii="Noto Sans CJK SC" w:hAnsi="Noto Sans CJK SC" w:eastAsia="Noto Sans CJK SC"/>
                <w:b w:val="0"/>
                <w:sz w:val="16"/>
              </w:rPr>
              <w:t>用于累计批次到场量</w:t>
            </w:r>
          </w:p>
        </w:tc>
      </w:tr>
      <w:tr>
        <w:tc>
          <w:tcPr>
            <w:tcW w:type="dxa" w:w="2835"/>
            <w:vAlign w:val="center"/>
            <w:shd w:fill="FAFAFA"/>
          </w:tcPr>
          <w:p>
            <w:pPr>
              <w:pStyle w:val="TableText"/>
            </w:pPr>
            <w:r/>
            <w:r>
              <w:rPr>
                <w:rFonts w:ascii="Noto Sans CJK SC" w:hAnsi="Noto Sans CJK SC" w:eastAsia="Noto Sans CJK SC"/>
                <w:b w:val="0"/>
                <w:sz w:val="16"/>
              </w:rPr>
              <w:t>磅单/交接凭证</w:t>
            </w:r>
          </w:p>
        </w:tc>
        <w:tc>
          <w:tcPr>
            <w:tcW w:type="dxa" w:w="7370"/>
            <w:vAlign w:val="center"/>
          </w:tcPr>
          <w:p>
            <w:pPr>
              <w:pStyle w:val="TableText"/>
            </w:pPr>
            <w:r/>
            <w:r>
              <w:rPr>
                <w:rFonts w:ascii="Noto Sans CJK SC" w:hAnsi="Noto Sans CJK SC" w:eastAsia="Noto Sans CJK SC"/>
                <w:b w:val="0"/>
                <w:sz w:val="16"/>
              </w:rPr>
              <w:t>图片、PDF或结构化数据</w:t>
            </w:r>
          </w:p>
        </w:tc>
      </w:tr>
      <w:tr>
        <w:tc>
          <w:tcPr>
            <w:tcW w:type="dxa" w:w="2835"/>
            <w:vAlign w:val="center"/>
            <w:shd w:fill="FAFAFA"/>
          </w:tcPr>
          <w:p>
            <w:pPr>
              <w:pStyle w:val="TableText"/>
            </w:pPr>
            <w:r/>
            <w:r>
              <w:rPr>
                <w:rFonts w:ascii="Noto Sans CJK SC" w:hAnsi="Noto Sans CJK SC" w:eastAsia="Noto Sans CJK SC"/>
                <w:b w:val="0"/>
                <w:sz w:val="16"/>
              </w:rPr>
              <w:t>异常说明</w:t>
            </w:r>
          </w:p>
        </w:tc>
        <w:tc>
          <w:tcPr>
            <w:tcW w:type="dxa" w:w="7370"/>
            <w:vAlign w:val="center"/>
          </w:tcPr>
          <w:p>
            <w:pPr>
              <w:pStyle w:val="TableText"/>
            </w:pPr>
            <w:r/>
            <w:r>
              <w:rPr>
                <w:rFonts w:ascii="Noto Sans CJK SC" w:hAnsi="Noto Sans CJK SC" w:eastAsia="Noto Sans CJK SC"/>
                <w:b w:val="0"/>
                <w:sz w:val="16"/>
              </w:rPr>
              <w:t>数量差异、车辆异常、到场延误等</w:t>
            </w:r>
          </w:p>
        </w:tc>
      </w:tr>
    </w:tbl>
    <w:p/>
    <w:p>
      <w:pPr>
        <w:pStyle w:val="Heading2"/>
      </w:pPr>
      <w:r>
        <w:t>6.4 装箱登记</w:t>
      </w:r>
    </w:p>
    <w:tbl>
      <w:tblPr>
        <w:tblStyle w:val="TableGrid"/>
        <w:tblW w:type="auto" w:w="0"/>
        <w:jc w:val="center"/>
        <w:tblLook w:firstColumn="1" w:firstRow="1" w:lastColumn="0" w:lastRow="0" w:noHBand="0" w:noVBand="1" w:val="04A0"/>
      </w:tblPr>
      <w:tblGrid>
        <w:gridCol w:w="5156"/>
        <w:gridCol w:w="5156"/>
      </w:tblGrid>
      <w:tr>
        <w:tc>
          <w:tcPr>
            <w:tcW w:type="dxa" w:w="2835"/>
            <w:shd w:fill="C5001A"/>
            <w:vAlign w:val="center"/>
          </w:tcPr>
          <w:p>
            <w:pPr>
              <w:pStyle w:val="TableText"/>
              <w:jc w:val="center"/>
            </w:pPr>
            <w:r/>
            <w:r>
              <w:rPr>
                <w:rFonts w:ascii="Noto Sans CJK SC" w:hAnsi="Noto Sans CJK SC" w:eastAsia="Noto Sans CJK SC"/>
                <w:b/>
                <w:color w:val="FFFFFF"/>
                <w:sz w:val="17"/>
              </w:rPr>
              <w:t>字段</w:t>
            </w:r>
          </w:p>
        </w:tc>
        <w:tc>
          <w:tcPr>
            <w:tcW w:type="dxa" w:w="7370"/>
            <w:shd w:fill="C5001A"/>
            <w:vAlign w:val="center"/>
          </w:tcPr>
          <w:p>
            <w:pPr>
              <w:pStyle w:val="TableText"/>
              <w:jc w:val="center"/>
            </w:pPr>
            <w:r/>
            <w:r>
              <w:rPr>
                <w:rFonts w:ascii="Noto Sans CJK SC" w:hAnsi="Noto Sans CJK SC" w:eastAsia="Noto Sans CJK SC"/>
                <w:b/>
                <w:color w:val="FFFFFF"/>
                <w:sz w:val="17"/>
              </w:rPr>
              <w:t>说明</w:t>
            </w:r>
          </w:p>
        </w:tc>
      </w:tr>
      <w:tr>
        <w:tc>
          <w:tcPr>
            <w:tcW w:type="dxa" w:w="2835"/>
            <w:vAlign w:val="center"/>
            <w:shd w:fill="FAFAFA"/>
          </w:tcPr>
          <w:p>
            <w:pPr>
              <w:pStyle w:val="TableText"/>
            </w:pPr>
            <w:r/>
            <w:r>
              <w:rPr>
                <w:rFonts w:ascii="Noto Sans CJK SC" w:hAnsi="Noto Sans CJK SC" w:eastAsia="Noto Sans CJK SC"/>
                <w:b w:val="0"/>
                <w:sz w:val="16"/>
              </w:rPr>
              <w:t>箱号</w:t>
            </w:r>
          </w:p>
        </w:tc>
        <w:tc>
          <w:tcPr>
            <w:tcW w:type="dxa" w:w="7370"/>
            <w:vAlign w:val="center"/>
          </w:tcPr>
          <w:p>
            <w:pPr>
              <w:pStyle w:val="TableText"/>
            </w:pPr>
            <w:r/>
            <w:r>
              <w:rPr>
                <w:rFonts w:ascii="Noto Sans CJK SC" w:hAnsi="Noto Sans CJK SC" w:eastAsia="Noto Sans CJK SC"/>
                <w:b w:val="0"/>
                <w:sz w:val="16"/>
              </w:rPr>
              <w:t>集装箱唯一编号</w:t>
            </w:r>
          </w:p>
        </w:tc>
      </w:tr>
      <w:tr>
        <w:tc>
          <w:tcPr>
            <w:tcW w:type="dxa" w:w="2835"/>
            <w:vAlign w:val="center"/>
            <w:shd w:fill="FAFAFA"/>
          </w:tcPr>
          <w:p>
            <w:pPr>
              <w:pStyle w:val="TableText"/>
            </w:pPr>
            <w:r/>
            <w:r>
              <w:rPr>
                <w:rFonts w:ascii="Noto Sans CJK SC" w:hAnsi="Noto Sans CJK SC" w:eastAsia="Noto Sans CJK SC"/>
                <w:b w:val="0"/>
                <w:sz w:val="16"/>
              </w:rPr>
              <w:t>箱型</w:t>
            </w:r>
          </w:p>
        </w:tc>
        <w:tc>
          <w:tcPr>
            <w:tcW w:type="dxa" w:w="7370"/>
            <w:vAlign w:val="center"/>
          </w:tcPr>
          <w:p>
            <w:pPr>
              <w:pStyle w:val="TableText"/>
            </w:pPr>
            <w:r/>
            <w:r>
              <w:rPr>
                <w:rFonts w:ascii="Noto Sans CJK SC" w:hAnsi="Noto Sans CJK SC" w:eastAsia="Noto Sans CJK SC"/>
                <w:b w:val="0"/>
                <w:sz w:val="16"/>
              </w:rPr>
              <w:t>20GP、40GP、40HQ等，可由基础字典维护</w:t>
            </w:r>
          </w:p>
        </w:tc>
      </w:tr>
      <w:tr>
        <w:tc>
          <w:tcPr>
            <w:tcW w:type="dxa" w:w="2835"/>
            <w:vAlign w:val="center"/>
            <w:shd w:fill="FAFAFA"/>
          </w:tcPr>
          <w:p>
            <w:pPr>
              <w:pStyle w:val="TableText"/>
            </w:pPr>
            <w:r/>
            <w:r>
              <w:rPr>
                <w:rFonts w:ascii="Noto Sans CJK SC" w:hAnsi="Noto Sans CJK SC" w:eastAsia="Noto Sans CJK SC"/>
                <w:b w:val="0"/>
                <w:sz w:val="16"/>
              </w:rPr>
              <w:t>封志号</w:t>
            </w:r>
          </w:p>
        </w:tc>
        <w:tc>
          <w:tcPr>
            <w:tcW w:type="dxa" w:w="7370"/>
            <w:vAlign w:val="center"/>
          </w:tcPr>
          <w:p>
            <w:pPr>
              <w:pStyle w:val="TableText"/>
            </w:pPr>
            <w:r/>
            <w:r>
              <w:rPr>
                <w:rFonts w:ascii="Noto Sans CJK SC" w:hAnsi="Noto Sans CJK SC" w:eastAsia="Noto Sans CJK SC"/>
                <w:b w:val="0"/>
                <w:sz w:val="16"/>
              </w:rPr>
              <w:t>装箱完成后的封志信息</w:t>
            </w:r>
          </w:p>
        </w:tc>
      </w:tr>
      <w:tr>
        <w:tc>
          <w:tcPr>
            <w:tcW w:type="dxa" w:w="2835"/>
            <w:vAlign w:val="center"/>
            <w:shd w:fill="FAFAFA"/>
          </w:tcPr>
          <w:p>
            <w:pPr>
              <w:pStyle w:val="TableText"/>
            </w:pPr>
            <w:r/>
            <w:r>
              <w:rPr>
                <w:rFonts w:ascii="Noto Sans CJK SC" w:hAnsi="Noto Sans CJK SC" w:eastAsia="Noto Sans CJK SC"/>
                <w:b w:val="0"/>
                <w:sz w:val="16"/>
              </w:rPr>
              <w:t>关联粮食批次</w:t>
            </w:r>
          </w:p>
        </w:tc>
        <w:tc>
          <w:tcPr>
            <w:tcW w:type="dxa" w:w="7370"/>
            <w:vAlign w:val="center"/>
          </w:tcPr>
          <w:p>
            <w:pPr>
              <w:pStyle w:val="TableText"/>
            </w:pPr>
            <w:r/>
            <w:r>
              <w:rPr>
                <w:rFonts w:ascii="Noto Sans CJK SC" w:hAnsi="Noto Sans CJK SC" w:eastAsia="Noto Sans CJK SC"/>
                <w:b w:val="0"/>
                <w:sz w:val="16"/>
              </w:rPr>
              <w:t>支持一个批次拆分进入多个集装箱</w:t>
            </w:r>
          </w:p>
        </w:tc>
      </w:tr>
      <w:tr>
        <w:tc>
          <w:tcPr>
            <w:tcW w:type="dxa" w:w="2835"/>
            <w:vAlign w:val="center"/>
            <w:shd w:fill="FAFAFA"/>
          </w:tcPr>
          <w:p>
            <w:pPr>
              <w:pStyle w:val="TableText"/>
            </w:pPr>
            <w:r/>
            <w:r>
              <w:rPr>
                <w:rFonts w:ascii="Noto Sans CJK SC" w:hAnsi="Noto Sans CJK SC" w:eastAsia="Noto Sans CJK SC"/>
                <w:b w:val="0"/>
                <w:sz w:val="16"/>
              </w:rPr>
              <w:t>关联到场车辆</w:t>
            </w:r>
          </w:p>
        </w:tc>
        <w:tc>
          <w:tcPr>
            <w:tcW w:type="dxa" w:w="7370"/>
            <w:vAlign w:val="center"/>
          </w:tcPr>
          <w:p>
            <w:pPr>
              <w:pStyle w:val="TableText"/>
            </w:pPr>
            <w:r/>
            <w:r>
              <w:rPr>
                <w:rFonts w:ascii="Noto Sans CJK SC" w:hAnsi="Noto Sans CJK SC" w:eastAsia="Noto Sans CJK SC"/>
                <w:b w:val="0"/>
                <w:sz w:val="16"/>
              </w:rPr>
              <w:t>记录装入该箱的前段车辆来源</w:t>
            </w:r>
          </w:p>
        </w:tc>
      </w:tr>
      <w:tr>
        <w:tc>
          <w:tcPr>
            <w:tcW w:type="dxa" w:w="2835"/>
            <w:vAlign w:val="center"/>
            <w:shd w:fill="FAFAFA"/>
          </w:tcPr>
          <w:p>
            <w:pPr>
              <w:pStyle w:val="TableText"/>
            </w:pPr>
            <w:r/>
            <w:r>
              <w:rPr>
                <w:rFonts w:ascii="Noto Sans CJK SC" w:hAnsi="Noto Sans CJK SC" w:eastAsia="Noto Sans CJK SC"/>
                <w:b w:val="0"/>
                <w:sz w:val="16"/>
              </w:rPr>
              <w:t>装箱数量</w:t>
            </w:r>
          </w:p>
        </w:tc>
        <w:tc>
          <w:tcPr>
            <w:tcW w:type="dxa" w:w="7370"/>
            <w:vAlign w:val="center"/>
          </w:tcPr>
          <w:p>
            <w:pPr>
              <w:pStyle w:val="TableText"/>
            </w:pPr>
            <w:r/>
            <w:r>
              <w:rPr>
                <w:rFonts w:ascii="Noto Sans CJK SC" w:hAnsi="Noto Sans CJK SC" w:eastAsia="Noto Sans CJK SC"/>
                <w:b w:val="0"/>
                <w:sz w:val="16"/>
              </w:rPr>
              <w:t>该集装箱实际装入数量</w:t>
            </w:r>
          </w:p>
        </w:tc>
      </w:tr>
      <w:tr>
        <w:tc>
          <w:tcPr>
            <w:tcW w:type="dxa" w:w="2835"/>
            <w:vAlign w:val="center"/>
            <w:shd w:fill="FAFAFA"/>
          </w:tcPr>
          <w:p>
            <w:pPr>
              <w:pStyle w:val="TableText"/>
            </w:pPr>
            <w:r/>
            <w:r>
              <w:rPr>
                <w:rFonts w:ascii="Noto Sans CJK SC" w:hAnsi="Noto Sans CJK SC" w:eastAsia="Noto Sans CJK SC"/>
                <w:b w:val="0"/>
                <w:sz w:val="16"/>
              </w:rPr>
              <w:t>装箱时间/地点</w:t>
            </w:r>
          </w:p>
        </w:tc>
        <w:tc>
          <w:tcPr>
            <w:tcW w:type="dxa" w:w="7370"/>
            <w:vAlign w:val="center"/>
          </w:tcPr>
          <w:p>
            <w:pPr>
              <w:pStyle w:val="TableText"/>
            </w:pPr>
            <w:r/>
            <w:r>
              <w:rPr>
                <w:rFonts w:ascii="Noto Sans CJK SC" w:hAnsi="Noto Sans CJK SC" w:eastAsia="Noto Sans CJK SC"/>
                <w:b w:val="0"/>
                <w:sz w:val="16"/>
              </w:rPr>
              <w:t>实际装箱信息</w:t>
            </w:r>
          </w:p>
        </w:tc>
      </w:tr>
      <w:tr>
        <w:tc>
          <w:tcPr>
            <w:tcW w:type="dxa" w:w="2835"/>
            <w:vAlign w:val="center"/>
            <w:shd w:fill="FAFAFA"/>
          </w:tcPr>
          <w:p>
            <w:pPr>
              <w:pStyle w:val="TableText"/>
            </w:pPr>
            <w:r/>
            <w:r>
              <w:rPr>
                <w:rFonts w:ascii="Noto Sans CJK SC" w:hAnsi="Noto Sans CJK SC" w:eastAsia="Noto Sans CJK SC"/>
                <w:b w:val="0"/>
                <w:sz w:val="16"/>
              </w:rPr>
              <w:t>装箱操作人</w:t>
            </w:r>
          </w:p>
        </w:tc>
        <w:tc>
          <w:tcPr>
            <w:tcW w:type="dxa" w:w="7370"/>
            <w:vAlign w:val="center"/>
          </w:tcPr>
          <w:p>
            <w:pPr>
              <w:pStyle w:val="TableText"/>
            </w:pPr>
            <w:r/>
            <w:r>
              <w:rPr>
                <w:rFonts w:ascii="Noto Sans CJK SC" w:hAnsi="Noto Sans CJK SC" w:eastAsia="Noto Sans CJK SC"/>
                <w:b w:val="0"/>
                <w:sz w:val="16"/>
              </w:rPr>
              <w:t>记录责任人员</w:t>
            </w:r>
          </w:p>
        </w:tc>
      </w:tr>
      <w:tr>
        <w:tc>
          <w:tcPr>
            <w:tcW w:type="dxa" w:w="2835"/>
            <w:vAlign w:val="center"/>
            <w:shd w:fill="FAFAFA"/>
          </w:tcPr>
          <w:p>
            <w:pPr>
              <w:pStyle w:val="TableText"/>
            </w:pPr>
            <w:r/>
            <w:r>
              <w:rPr>
                <w:rFonts w:ascii="Noto Sans CJK SC" w:hAnsi="Noto Sans CJK SC" w:eastAsia="Noto Sans CJK SC"/>
                <w:b w:val="0"/>
                <w:sz w:val="16"/>
              </w:rPr>
              <w:t>装箱照片/附件</w:t>
            </w:r>
          </w:p>
        </w:tc>
        <w:tc>
          <w:tcPr>
            <w:tcW w:type="dxa" w:w="7370"/>
            <w:vAlign w:val="center"/>
          </w:tcPr>
          <w:p>
            <w:pPr>
              <w:pStyle w:val="TableText"/>
            </w:pPr>
            <w:r/>
            <w:r>
              <w:rPr>
                <w:rFonts w:ascii="Noto Sans CJK SC" w:hAnsi="Noto Sans CJK SC" w:eastAsia="Noto Sans CJK SC"/>
                <w:b w:val="0"/>
                <w:sz w:val="16"/>
              </w:rPr>
              <w:t>用于留痕与后续追溯</w:t>
            </w:r>
          </w:p>
        </w:tc>
      </w:tr>
      <w:tr>
        <w:tc>
          <w:tcPr>
            <w:tcW w:type="dxa" w:w="2835"/>
            <w:vAlign w:val="center"/>
            <w:shd w:fill="FAFAFA"/>
          </w:tcPr>
          <w:p>
            <w:pPr>
              <w:pStyle w:val="TableText"/>
            </w:pPr>
            <w:r/>
            <w:r>
              <w:rPr>
                <w:rFonts w:ascii="Noto Sans CJK SC" w:hAnsi="Noto Sans CJK SC" w:eastAsia="Noto Sans CJK SC"/>
                <w:b w:val="0"/>
                <w:sz w:val="16"/>
              </w:rPr>
              <w:t>箱状态</w:t>
            </w:r>
          </w:p>
        </w:tc>
        <w:tc>
          <w:tcPr>
            <w:tcW w:type="dxa" w:w="7370"/>
            <w:vAlign w:val="center"/>
          </w:tcPr>
          <w:p>
            <w:pPr>
              <w:pStyle w:val="TableText"/>
            </w:pPr>
            <w:r/>
            <w:r>
              <w:rPr>
                <w:rFonts w:ascii="Noto Sans CJK SC" w:hAnsi="Noto Sans CJK SC" w:eastAsia="Noto Sans CJK SC"/>
                <w:b w:val="0"/>
                <w:sz w:val="16"/>
              </w:rPr>
              <w:t>待装箱、装箱中、已封箱、已出场、已装船等</w:t>
            </w:r>
          </w:p>
        </w:tc>
      </w:tr>
    </w:tbl>
    <w:p/>
    <w:p>
      <w:pPr>
        <w:pStyle w:val="Heading2"/>
      </w:pPr>
      <w:r>
        <w:t>6.5 箱船/后程关联</w:t>
      </w:r>
    </w:p>
    <w:tbl>
      <w:tblPr>
        <w:tblStyle w:val="TableGrid"/>
        <w:tblW w:type="auto" w:w="0"/>
        <w:jc w:val="center"/>
        <w:tblLook w:firstColumn="1" w:firstRow="1" w:lastColumn="0" w:lastRow="0" w:noHBand="0" w:noVBand="1" w:val="04A0"/>
      </w:tblPr>
      <w:tblGrid>
        <w:gridCol w:w="5156"/>
        <w:gridCol w:w="5156"/>
      </w:tblGrid>
      <w:tr>
        <w:tc>
          <w:tcPr>
            <w:tcW w:type="dxa" w:w="2835"/>
            <w:shd w:fill="C5001A"/>
            <w:vAlign w:val="center"/>
          </w:tcPr>
          <w:p>
            <w:pPr>
              <w:pStyle w:val="TableText"/>
              <w:jc w:val="center"/>
            </w:pPr>
            <w:r/>
            <w:r>
              <w:rPr>
                <w:rFonts w:ascii="Noto Sans CJK SC" w:hAnsi="Noto Sans CJK SC" w:eastAsia="Noto Sans CJK SC"/>
                <w:b/>
                <w:color w:val="FFFFFF"/>
                <w:sz w:val="17"/>
              </w:rPr>
              <w:t>字段</w:t>
            </w:r>
          </w:p>
        </w:tc>
        <w:tc>
          <w:tcPr>
            <w:tcW w:type="dxa" w:w="7370"/>
            <w:shd w:fill="C5001A"/>
            <w:vAlign w:val="center"/>
          </w:tcPr>
          <w:p>
            <w:pPr>
              <w:pStyle w:val="TableText"/>
              <w:jc w:val="center"/>
            </w:pPr>
            <w:r/>
            <w:r>
              <w:rPr>
                <w:rFonts w:ascii="Noto Sans CJK SC" w:hAnsi="Noto Sans CJK SC" w:eastAsia="Noto Sans CJK SC"/>
                <w:b/>
                <w:color w:val="FFFFFF"/>
                <w:sz w:val="17"/>
              </w:rPr>
              <w:t>说明</w:t>
            </w:r>
          </w:p>
        </w:tc>
      </w:tr>
      <w:tr>
        <w:tc>
          <w:tcPr>
            <w:tcW w:type="dxa" w:w="2835"/>
            <w:vAlign w:val="center"/>
            <w:shd w:fill="FAFAFA"/>
          </w:tcPr>
          <w:p>
            <w:pPr>
              <w:pStyle w:val="TableText"/>
            </w:pPr>
            <w:r/>
            <w:r>
              <w:rPr>
                <w:rFonts w:ascii="Noto Sans CJK SC" w:hAnsi="Noto Sans CJK SC" w:eastAsia="Noto Sans CJK SC"/>
                <w:b w:val="0"/>
                <w:sz w:val="16"/>
              </w:rPr>
              <w:t>集装箱箱号</w:t>
            </w:r>
          </w:p>
        </w:tc>
        <w:tc>
          <w:tcPr>
            <w:tcW w:type="dxa" w:w="7370"/>
            <w:vAlign w:val="center"/>
          </w:tcPr>
          <w:p>
            <w:pPr>
              <w:pStyle w:val="TableText"/>
            </w:pPr>
            <w:r/>
            <w:r>
              <w:rPr>
                <w:rFonts w:ascii="Noto Sans CJK SC" w:hAnsi="Noto Sans CJK SC" w:eastAsia="Noto Sans CJK SC"/>
                <w:b w:val="0"/>
                <w:sz w:val="16"/>
              </w:rPr>
              <w:t>来源于装箱登记</w:t>
            </w:r>
          </w:p>
        </w:tc>
      </w:tr>
      <w:tr>
        <w:tc>
          <w:tcPr>
            <w:tcW w:type="dxa" w:w="2835"/>
            <w:vAlign w:val="center"/>
            <w:shd w:fill="FAFAFA"/>
          </w:tcPr>
          <w:p>
            <w:pPr>
              <w:pStyle w:val="TableText"/>
            </w:pPr>
            <w:r/>
            <w:r>
              <w:rPr>
                <w:rFonts w:ascii="Noto Sans CJK SC" w:hAnsi="Noto Sans CJK SC" w:eastAsia="Noto Sans CJK SC"/>
                <w:b w:val="0"/>
                <w:sz w:val="16"/>
              </w:rPr>
              <w:t>船名/航次</w:t>
            </w:r>
          </w:p>
        </w:tc>
        <w:tc>
          <w:tcPr>
            <w:tcW w:type="dxa" w:w="7370"/>
            <w:vAlign w:val="center"/>
          </w:tcPr>
          <w:p>
            <w:pPr>
              <w:pStyle w:val="TableText"/>
            </w:pPr>
            <w:r/>
            <w:r>
              <w:rPr>
                <w:rFonts w:ascii="Noto Sans CJK SC" w:hAnsi="Noto Sans CJK SC" w:eastAsia="Noto Sans CJK SC"/>
                <w:b w:val="0"/>
                <w:sz w:val="16"/>
              </w:rPr>
              <w:t>实际承运船舶和航次</w:t>
            </w:r>
          </w:p>
        </w:tc>
      </w:tr>
      <w:tr>
        <w:tc>
          <w:tcPr>
            <w:tcW w:type="dxa" w:w="2835"/>
            <w:vAlign w:val="center"/>
            <w:shd w:fill="FAFAFA"/>
          </w:tcPr>
          <w:p>
            <w:pPr>
              <w:pStyle w:val="TableText"/>
            </w:pPr>
            <w:r/>
            <w:r>
              <w:rPr>
                <w:rFonts w:ascii="Noto Sans CJK SC" w:hAnsi="Noto Sans CJK SC" w:eastAsia="Noto Sans CJK SC"/>
                <w:b w:val="0"/>
                <w:sz w:val="16"/>
              </w:rPr>
              <w:t>起运港/目的港</w:t>
            </w:r>
          </w:p>
        </w:tc>
        <w:tc>
          <w:tcPr>
            <w:tcW w:type="dxa" w:w="7370"/>
            <w:vAlign w:val="center"/>
          </w:tcPr>
          <w:p>
            <w:pPr>
              <w:pStyle w:val="TableText"/>
            </w:pPr>
            <w:r/>
            <w:r>
              <w:rPr>
                <w:rFonts w:ascii="Noto Sans CJK SC" w:hAnsi="Noto Sans CJK SC" w:eastAsia="Noto Sans CJK SC"/>
                <w:b w:val="0"/>
                <w:sz w:val="16"/>
              </w:rPr>
              <w:t>水运节点</w:t>
            </w:r>
          </w:p>
        </w:tc>
      </w:tr>
      <w:tr>
        <w:tc>
          <w:tcPr>
            <w:tcW w:type="dxa" w:w="2835"/>
            <w:vAlign w:val="center"/>
            <w:shd w:fill="FAFAFA"/>
          </w:tcPr>
          <w:p>
            <w:pPr>
              <w:pStyle w:val="TableText"/>
            </w:pPr>
            <w:r/>
            <w:r>
              <w:rPr>
                <w:rFonts w:ascii="Noto Sans CJK SC" w:hAnsi="Noto Sans CJK SC" w:eastAsia="Noto Sans CJK SC"/>
                <w:b w:val="0"/>
                <w:sz w:val="16"/>
              </w:rPr>
              <w:t>计划开航/计划到港</w:t>
            </w:r>
          </w:p>
        </w:tc>
        <w:tc>
          <w:tcPr>
            <w:tcW w:type="dxa" w:w="7370"/>
            <w:vAlign w:val="center"/>
          </w:tcPr>
          <w:p>
            <w:pPr>
              <w:pStyle w:val="TableText"/>
            </w:pPr>
            <w:r/>
            <w:r>
              <w:rPr>
                <w:rFonts w:ascii="Noto Sans CJK SC" w:hAnsi="Noto Sans CJK SC" w:eastAsia="Noto Sans CJK SC"/>
                <w:b w:val="0"/>
                <w:sz w:val="16"/>
              </w:rPr>
              <w:t>计划时效</w:t>
            </w:r>
          </w:p>
        </w:tc>
      </w:tr>
      <w:tr>
        <w:tc>
          <w:tcPr>
            <w:tcW w:type="dxa" w:w="2835"/>
            <w:vAlign w:val="center"/>
            <w:shd w:fill="FAFAFA"/>
          </w:tcPr>
          <w:p>
            <w:pPr>
              <w:pStyle w:val="TableText"/>
            </w:pPr>
            <w:r/>
            <w:r>
              <w:rPr>
                <w:rFonts w:ascii="Noto Sans CJK SC" w:hAnsi="Noto Sans CJK SC" w:eastAsia="Noto Sans CJK SC"/>
                <w:b w:val="0"/>
                <w:sz w:val="16"/>
              </w:rPr>
              <w:t>实际装船/离港/到港时间</w:t>
            </w:r>
          </w:p>
        </w:tc>
        <w:tc>
          <w:tcPr>
            <w:tcW w:type="dxa" w:w="7370"/>
            <w:vAlign w:val="center"/>
          </w:tcPr>
          <w:p>
            <w:pPr>
              <w:pStyle w:val="TableText"/>
            </w:pPr>
            <w:r/>
            <w:r>
              <w:rPr>
                <w:rFonts w:ascii="Noto Sans CJK SC" w:hAnsi="Noto Sans CJK SC" w:eastAsia="Noto Sans CJK SC"/>
                <w:b w:val="0"/>
                <w:sz w:val="16"/>
              </w:rPr>
              <w:t>执行反馈或外部数据回传</w:t>
            </w:r>
          </w:p>
        </w:tc>
      </w:tr>
      <w:tr>
        <w:tc>
          <w:tcPr>
            <w:tcW w:type="dxa" w:w="2835"/>
            <w:vAlign w:val="center"/>
            <w:shd w:fill="FAFAFA"/>
          </w:tcPr>
          <w:p>
            <w:pPr>
              <w:pStyle w:val="TableText"/>
            </w:pPr>
            <w:r/>
            <w:r>
              <w:rPr>
                <w:rFonts w:ascii="Noto Sans CJK SC" w:hAnsi="Noto Sans CJK SC" w:eastAsia="Noto Sans CJK SC"/>
                <w:b w:val="0"/>
                <w:sz w:val="16"/>
              </w:rPr>
              <w:t>后续运输任务</w:t>
            </w:r>
          </w:p>
        </w:tc>
        <w:tc>
          <w:tcPr>
            <w:tcW w:type="dxa" w:w="7370"/>
            <w:vAlign w:val="center"/>
          </w:tcPr>
          <w:p>
            <w:pPr>
              <w:pStyle w:val="TableText"/>
            </w:pPr>
            <w:r/>
            <w:r>
              <w:rPr>
                <w:rFonts w:ascii="Noto Sans CJK SC" w:hAnsi="Noto Sans CJK SC" w:eastAsia="Noto Sans CJK SC"/>
                <w:b w:val="0"/>
                <w:sz w:val="16"/>
              </w:rPr>
              <w:t>可继续关联目的港后的公路或铁路任务</w:t>
            </w:r>
          </w:p>
        </w:tc>
      </w:tr>
      <w:tr>
        <w:tc>
          <w:tcPr>
            <w:tcW w:type="dxa" w:w="2835"/>
            <w:vAlign w:val="center"/>
            <w:shd w:fill="FAFAFA"/>
          </w:tcPr>
          <w:p>
            <w:pPr>
              <w:pStyle w:val="TableText"/>
            </w:pPr>
            <w:r/>
            <w:r>
              <w:rPr>
                <w:rFonts w:ascii="Noto Sans CJK SC" w:hAnsi="Noto Sans CJK SC" w:eastAsia="Noto Sans CJK SC"/>
                <w:b w:val="0"/>
                <w:sz w:val="16"/>
              </w:rPr>
              <w:t>状态</w:t>
            </w:r>
          </w:p>
        </w:tc>
        <w:tc>
          <w:tcPr>
            <w:tcW w:type="dxa" w:w="7370"/>
            <w:vAlign w:val="center"/>
          </w:tcPr>
          <w:p>
            <w:pPr>
              <w:pStyle w:val="TableText"/>
            </w:pPr>
            <w:r/>
            <w:r>
              <w:rPr>
                <w:rFonts w:ascii="Noto Sans CJK SC" w:hAnsi="Noto Sans CJK SC" w:eastAsia="Noto Sans CJK SC"/>
                <w:b w:val="0"/>
                <w:sz w:val="16"/>
              </w:rPr>
              <w:t>待关联、已关联、已装船、在航、已到港、已完成</w:t>
            </w:r>
          </w:p>
        </w:tc>
      </w:tr>
    </w:tbl>
    <w:p/>
    <w:tbl>
      <w:tblPr>
        <w:tblStyle w:val="TableGrid"/>
        <w:tblW w:type="auto" w:w="0"/>
        <w:jc w:val="center"/>
        <w:tblLook w:firstColumn="1" w:firstRow="1" w:lastColumn="0" w:lastRow="0" w:noHBand="0" w:noVBand="1" w:val="04A0"/>
      </w:tblPr>
      <w:tblGrid>
        <w:gridCol w:w="10312"/>
      </w:tblGrid>
      <w:tr>
        <w:tc>
          <w:tcPr>
            <w:tcW w:type="dxa" w:w="10312"/>
            <w:shd w:fill="FBEAEC"/>
          </w:tcPr>
          <w:p>
            <w:pPr>
              <w:spacing w:after="60"/>
            </w:pPr>
            <w:r/>
            <w:r>
              <w:rPr>
                <w:rFonts w:ascii="Noto Sans CJK SC" w:hAnsi="Noto Sans CJK SC" w:eastAsia="Noto Sans CJK SC"/>
                <w:b/>
                <w:color w:val="A00014"/>
                <w:sz w:val="21"/>
              </w:rPr>
              <w:t>关键业务规则</w:t>
            </w:r>
          </w:p>
          <w:p>
            <w:pPr>
              <w:pStyle w:val="TableText"/>
              <w:spacing w:after="0"/>
            </w:pPr>
            <w:r>
              <w:rPr>
                <w:sz w:val="18"/>
              </w:rPr>
              <w:t>系统必须支持“一批多车、一批多箱、多箱多航次”的真实业务关系；禁止用单一箱号或单一车辆覆盖整个粮食批次。对于一单制业务，散改集信息挂接到多式联运运单；传统联运业务则挂接到联运业务编号/运输委托。</w:t>
            </w:r>
          </w:p>
        </w:tc>
      </w:tr>
    </w:tbl>
    <w:p/>
    <w:p>
      <w:pPr>
        <w:pStyle w:val="Heading2"/>
      </w:pPr>
      <w:r>
        <w:t>6.6 应用场景与目标</w:t>
      </w:r>
    </w:p>
    <w:p>
      <w:r>
        <w:t>粮食贸易企业的一笔散货运输需求需要在港口完成散改集。多辆散粮车陆续到港后，物流运营商将车辆实际到场数量归集到同一粮食批次，再按装箱实际情况将批次拆分到多个集装箱；装箱后继续关联船舶与航次，使系统能够从前段车辆追溯到具体集装箱，再追溯到后续船舶/航次。</w:t>
      </w:r>
    </w:p>
    <w:p>
      <w:r>
        <w:t>目标是解决运输载体发生变化后数据断链的问题，保证粮食批次在“散货—车辆—集装箱—船舶/航次”转换过程中的数量可核对、关系可追溯、状态可跟踪。</w:t>
      </w:r>
    </w:p>
    <w:p>
      <w:pPr>
        <w:pStyle w:val="Heading1"/>
      </w:pPr>
      <w:r>
        <w:t>7  联运跟踪</w:t>
      </w:r>
    </w:p>
    <w:p>
      <w:pPr>
        <w:pStyle w:val="Heading2"/>
      </w:pPr>
      <w:r>
        <w:t>7.1 功能描述</w:t>
      </w:r>
    </w:p>
    <w:p>
      <w:r>
        <w:t>联运跟踪承担“执行编排 + 小程序执行 + PC端全过程跟踪”的闭环。物流运营商在 PC 端根据实际运输对象配置车辆和司机，任务下发至司机小程序；司机接收并确认后开始执行，装货、发运、在途、中转、到达、卸货、签收及异常信息持续回传，粮食贸易企业、物流运营商和平台运营方均可按权限查看全过程。</w:t>
      </w:r>
    </w:p>
    <w:p>
      <w:pPr>
        <w:pStyle w:val="Heading2"/>
      </w:pPr>
      <w:r>
        <w:t>7.2 执行编排原则</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871"/>
            <w:shd w:fill="C5001A"/>
            <w:vAlign w:val="center"/>
          </w:tcPr>
          <w:p>
            <w:pPr>
              <w:pStyle w:val="TableText"/>
              <w:jc w:val="center"/>
            </w:pPr>
            <w:r/>
            <w:r>
              <w:rPr>
                <w:rFonts w:ascii="Noto Sans CJK SC" w:hAnsi="Noto Sans CJK SC" w:eastAsia="Noto Sans CJK SC"/>
                <w:b/>
                <w:color w:val="FFFFFF"/>
                <w:sz w:val="17"/>
              </w:rPr>
              <w:t>货物形态</w:t>
            </w:r>
          </w:p>
        </w:tc>
        <w:tc>
          <w:tcPr>
            <w:tcW w:type="dxa" w:w="2381"/>
            <w:shd w:fill="C5001A"/>
            <w:vAlign w:val="center"/>
          </w:tcPr>
          <w:p>
            <w:pPr>
              <w:pStyle w:val="TableText"/>
              <w:jc w:val="center"/>
            </w:pPr>
            <w:r/>
            <w:r>
              <w:rPr>
                <w:rFonts w:ascii="Noto Sans CJK SC" w:hAnsi="Noto Sans CJK SC" w:eastAsia="Noto Sans CJK SC"/>
                <w:b/>
                <w:color w:val="FFFFFF"/>
                <w:sz w:val="17"/>
              </w:rPr>
              <w:t>PC端编排单元</w:t>
            </w:r>
          </w:p>
        </w:tc>
        <w:tc>
          <w:tcPr>
            <w:tcW w:type="dxa" w:w="3402"/>
            <w:shd w:fill="C5001A"/>
            <w:vAlign w:val="center"/>
          </w:tcPr>
          <w:p>
            <w:pPr>
              <w:pStyle w:val="TableText"/>
              <w:jc w:val="center"/>
            </w:pPr>
            <w:r/>
            <w:r>
              <w:rPr>
                <w:rFonts w:ascii="Noto Sans CJK SC" w:hAnsi="Noto Sans CJK SC" w:eastAsia="Noto Sans CJK SC"/>
                <w:b/>
                <w:color w:val="FFFFFF"/>
                <w:sz w:val="17"/>
              </w:rPr>
              <w:t>司机/车辆维护方式</w:t>
            </w:r>
          </w:p>
        </w:tc>
        <w:tc>
          <w:tcPr>
            <w:tcW w:type="dxa" w:w="3685"/>
            <w:shd w:fill="C5001A"/>
            <w:vAlign w:val="center"/>
          </w:tcPr>
          <w:p>
            <w:pPr>
              <w:pStyle w:val="TableText"/>
              <w:jc w:val="center"/>
            </w:pPr>
            <w:r/>
            <w:r>
              <w:rPr>
                <w:rFonts w:ascii="Noto Sans CJK SC" w:hAnsi="Noto Sans CJK SC" w:eastAsia="Noto Sans CJK SC"/>
                <w:b/>
                <w:color w:val="FFFFFF"/>
                <w:sz w:val="17"/>
              </w:rPr>
              <w:t>跟踪主对象</w:t>
            </w:r>
          </w:p>
        </w:tc>
      </w:tr>
      <w:tr>
        <w:tc>
          <w:tcPr>
            <w:tcW w:type="dxa" w:w="1871"/>
            <w:vAlign w:val="center"/>
            <w:shd w:fill="FAFAFA"/>
          </w:tcPr>
          <w:p>
            <w:pPr>
              <w:pStyle w:val="TableText"/>
            </w:pPr>
            <w:r/>
            <w:r>
              <w:rPr>
                <w:rFonts w:ascii="Noto Sans CJK SC" w:hAnsi="Noto Sans CJK SC" w:eastAsia="Noto Sans CJK SC"/>
                <w:b w:val="0"/>
                <w:sz w:val="16"/>
              </w:rPr>
              <w:t>集装箱</w:t>
            </w:r>
          </w:p>
        </w:tc>
        <w:tc>
          <w:tcPr>
            <w:tcW w:type="dxa" w:w="2381"/>
            <w:vAlign w:val="center"/>
          </w:tcPr>
          <w:p>
            <w:pPr>
              <w:pStyle w:val="TableText"/>
            </w:pPr>
            <w:r/>
            <w:r>
              <w:rPr>
                <w:rFonts w:ascii="Noto Sans CJK SC" w:hAnsi="Noto Sans CJK SC" w:eastAsia="Noto Sans CJK SC"/>
                <w:b w:val="0"/>
                <w:sz w:val="16"/>
              </w:rPr>
              <w:t>集装箱</w:t>
            </w:r>
          </w:p>
        </w:tc>
        <w:tc>
          <w:tcPr>
            <w:tcW w:type="dxa" w:w="3402"/>
            <w:vAlign w:val="center"/>
          </w:tcPr>
          <w:p>
            <w:pPr>
              <w:pStyle w:val="TableText"/>
            </w:pPr>
            <w:r/>
            <w:r>
              <w:rPr>
                <w:rFonts w:ascii="Noto Sans CJK SC" w:hAnsi="Noto Sans CJK SC" w:eastAsia="Noto Sans CJK SC"/>
                <w:b w:val="0"/>
                <w:sz w:val="16"/>
              </w:rPr>
              <w:t>每个集装箱维护对应执行车辆和司机；同一车辆执行多个箱时形成多条箱任务关联</w:t>
            </w:r>
          </w:p>
        </w:tc>
        <w:tc>
          <w:tcPr>
            <w:tcW w:type="dxa" w:w="3685"/>
            <w:vAlign w:val="center"/>
          </w:tcPr>
          <w:p>
            <w:pPr>
              <w:pStyle w:val="TableText"/>
            </w:pPr>
            <w:r/>
            <w:r>
              <w:rPr>
                <w:rFonts w:ascii="Noto Sans CJK SC" w:hAnsi="Noto Sans CJK SC" w:eastAsia="Noto Sans CJK SC"/>
                <w:b w:val="0"/>
                <w:sz w:val="16"/>
              </w:rPr>
              <w:t>联运业务 → 集装箱 → 车辆/司机 → 执行事件</w:t>
            </w:r>
          </w:p>
        </w:tc>
      </w:tr>
      <w:tr>
        <w:tc>
          <w:tcPr>
            <w:tcW w:type="dxa" w:w="1871"/>
            <w:vAlign w:val="center"/>
            <w:shd w:fill="FAFAFA"/>
          </w:tcPr>
          <w:p>
            <w:pPr>
              <w:pStyle w:val="TableText"/>
            </w:pPr>
            <w:r/>
            <w:r>
              <w:rPr>
                <w:rFonts w:ascii="Noto Sans CJK SC" w:hAnsi="Noto Sans CJK SC" w:eastAsia="Noto Sans CJK SC"/>
                <w:b w:val="0"/>
                <w:sz w:val="16"/>
              </w:rPr>
              <w:t>散货</w:t>
            </w:r>
          </w:p>
        </w:tc>
        <w:tc>
          <w:tcPr>
            <w:tcW w:type="dxa" w:w="2381"/>
            <w:vAlign w:val="center"/>
          </w:tcPr>
          <w:p>
            <w:pPr>
              <w:pStyle w:val="TableText"/>
            </w:pPr>
            <w:r/>
            <w:r>
              <w:rPr>
                <w:rFonts w:ascii="Noto Sans CJK SC" w:hAnsi="Noto Sans CJK SC" w:eastAsia="Noto Sans CJK SC"/>
                <w:b w:val="0"/>
                <w:sz w:val="16"/>
              </w:rPr>
              <w:t>粮食批次</w:t>
            </w:r>
          </w:p>
        </w:tc>
        <w:tc>
          <w:tcPr>
            <w:tcW w:type="dxa" w:w="3402"/>
            <w:vAlign w:val="center"/>
          </w:tcPr>
          <w:p>
            <w:pPr>
              <w:pStyle w:val="TableText"/>
            </w:pPr>
            <w:r/>
            <w:r>
              <w:rPr>
                <w:rFonts w:ascii="Noto Sans CJK SC" w:hAnsi="Noto Sans CJK SC" w:eastAsia="Noto Sans CJK SC"/>
                <w:b w:val="0"/>
                <w:sz w:val="16"/>
              </w:rPr>
              <w:t>以批次为归集单元，可在一个批次下维护一辆或多辆车/司机及各车计划运输数量</w:t>
            </w:r>
          </w:p>
        </w:tc>
        <w:tc>
          <w:tcPr>
            <w:tcW w:type="dxa" w:w="3685"/>
            <w:vAlign w:val="center"/>
          </w:tcPr>
          <w:p>
            <w:pPr>
              <w:pStyle w:val="TableText"/>
            </w:pPr>
            <w:r/>
            <w:r>
              <w:rPr>
                <w:rFonts w:ascii="Noto Sans CJK SC" w:hAnsi="Noto Sans CJK SC" w:eastAsia="Noto Sans CJK SC"/>
                <w:b w:val="0"/>
                <w:sz w:val="16"/>
              </w:rPr>
              <w:t>联运业务 → 粮食批次 → 车辆/司机 → 执行事件</w:t>
            </w:r>
          </w:p>
        </w:tc>
      </w:tr>
    </w:tbl>
    <w:p/>
    <w:p>
      <w:pPr>
        <w:pStyle w:val="Heading2"/>
      </w:pPr>
      <w:r>
        <w:t>7.3 公路车辆/司机配置</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字段类别</w:t>
            </w:r>
          </w:p>
        </w:tc>
        <w:tc>
          <w:tcPr>
            <w:tcW w:type="dxa" w:w="7937"/>
            <w:shd w:fill="C5001A"/>
            <w:vAlign w:val="center"/>
          </w:tcPr>
          <w:p>
            <w:pPr>
              <w:pStyle w:val="TableText"/>
              <w:jc w:val="center"/>
            </w:pPr>
            <w:r/>
            <w:r>
              <w:rPr>
                <w:rFonts w:ascii="Noto Sans CJK SC" w:hAnsi="Noto Sans CJK SC" w:eastAsia="Noto Sans CJK SC"/>
                <w:b/>
                <w:color w:val="FFFFFF"/>
                <w:sz w:val="17"/>
              </w:rPr>
              <w:t>字段</w:t>
            </w:r>
          </w:p>
        </w:tc>
      </w:tr>
      <w:tr>
        <w:tc>
          <w:tcPr>
            <w:tcW w:type="dxa" w:w="2268"/>
            <w:vAlign w:val="center"/>
            <w:shd w:fill="FAFAFA"/>
          </w:tcPr>
          <w:p>
            <w:pPr>
              <w:pStyle w:val="TableText"/>
            </w:pPr>
            <w:r/>
            <w:r>
              <w:rPr>
                <w:rFonts w:ascii="Noto Sans CJK SC" w:hAnsi="Noto Sans CJK SC" w:eastAsia="Noto Sans CJK SC"/>
                <w:b w:val="0"/>
                <w:sz w:val="16"/>
              </w:rPr>
              <w:t>任务关联</w:t>
            </w:r>
          </w:p>
        </w:tc>
        <w:tc>
          <w:tcPr>
            <w:tcW w:type="dxa" w:w="7937"/>
            <w:vAlign w:val="center"/>
          </w:tcPr>
          <w:p>
            <w:pPr>
              <w:pStyle w:val="TableText"/>
            </w:pPr>
            <w:r/>
            <w:r>
              <w:rPr>
                <w:rFonts w:ascii="Noto Sans CJK SC" w:hAnsi="Noto Sans CJK SC" w:eastAsia="Noto Sans CJK SC"/>
                <w:b w:val="0"/>
                <w:sz w:val="16"/>
              </w:rPr>
              <w:t>执行任务编号、分段任务编号、联运业务编号、多式联运运单号（可空）、粮食批次号/集装箱箱号</w:t>
            </w:r>
          </w:p>
        </w:tc>
      </w:tr>
      <w:tr>
        <w:tc>
          <w:tcPr>
            <w:tcW w:type="dxa" w:w="2268"/>
            <w:vAlign w:val="center"/>
            <w:shd w:fill="FAFAFA"/>
          </w:tcPr>
          <w:p>
            <w:pPr>
              <w:pStyle w:val="TableText"/>
            </w:pPr>
            <w:r/>
            <w:r>
              <w:rPr>
                <w:rFonts w:ascii="Noto Sans CJK SC" w:hAnsi="Noto Sans CJK SC" w:eastAsia="Noto Sans CJK SC"/>
                <w:b w:val="0"/>
                <w:sz w:val="16"/>
              </w:rPr>
              <w:t>车辆信息</w:t>
            </w:r>
          </w:p>
        </w:tc>
        <w:tc>
          <w:tcPr>
            <w:tcW w:type="dxa" w:w="7937"/>
            <w:vAlign w:val="center"/>
          </w:tcPr>
          <w:p>
            <w:pPr>
              <w:pStyle w:val="TableText"/>
            </w:pPr>
            <w:r/>
            <w:r>
              <w:rPr>
                <w:rFonts w:ascii="Noto Sans CJK SC" w:hAnsi="Noto Sans CJK SC" w:eastAsia="Noto Sans CJK SC"/>
                <w:b w:val="0"/>
                <w:sz w:val="16"/>
              </w:rPr>
              <w:t>车牌号、车辆类型、核定载重、挂车号（如有）、车辆联系电话/GPS设备标识（如有）</w:t>
            </w:r>
          </w:p>
        </w:tc>
      </w:tr>
      <w:tr>
        <w:tc>
          <w:tcPr>
            <w:tcW w:type="dxa" w:w="2268"/>
            <w:vAlign w:val="center"/>
            <w:shd w:fill="FAFAFA"/>
          </w:tcPr>
          <w:p>
            <w:pPr>
              <w:pStyle w:val="TableText"/>
            </w:pPr>
            <w:r/>
            <w:r>
              <w:rPr>
                <w:rFonts w:ascii="Noto Sans CJK SC" w:hAnsi="Noto Sans CJK SC" w:eastAsia="Noto Sans CJK SC"/>
                <w:b w:val="0"/>
                <w:sz w:val="16"/>
              </w:rPr>
              <w:t>司机信息</w:t>
            </w:r>
          </w:p>
        </w:tc>
        <w:tc>
          <w:tcPr>
            <w:tcW w:type="dxa" w:w="7937"/>
            <w:vAlign w:val="center"/>
          </w:tcPr>
          <w:p>
            <w:pPr>
              <w:pStyle w:val="TableText"/>
            </w:pPr>
            <w:r/>
            <w:r>
              <w:rPr>
                <w:rFonts w:ascii="Noto Sans CJK SC" w:hAnsi="Noto Sans CJK SC" w:eastAsia="Noto Sans CJK SC"/>
                <w:b w:val="0"/>
                <w:sz w:val="16"/>
              </w:rPr>
              <w:t>司机姓名、手机号、证件信息（按权限脱敏）、驾驶证/从业资格信息（如平台维护）</w:t>
            </w:r>
          </w:p>
        </w:tc>
      </w:tr>
      <w:tr>
        <w:tc>
          <w:tcPr>
            <w:tcW w:type="dxa" w:w="2268"/>
            <w:vAlign w:val="center"/>
            <w:shd w:fill="FAFAFA"/>
          </w:tcPr>
          <w:p>
            <w:pPr>
              <w:pStyle w:val="TableText"/>
            </w:pPr>
            <w:r/>
            <w:r>
              <w:rPr>
                <w:rFonts w:ascii="Noto Sans CJK SC" w:hAnsi="Noto Sans CJK SC" w:eastAsia="Noto Sans CJK SC"/>
                <w:b w:val="0"/>
                <w:sz w:val="16"/>
              </w:rPr>
              <w:t>运输信息</w:t>
            </w:r>
          </w:p>
        </w:tc>
        <w:tc>
          <w:tcPr>
            <w:tcW w:type="dxa" w:w="7937"/>
            <w:vAlign w:val="center"/>
          </w:tcPr>
          <w:p>
            <w:pPr>
              <w:pStyle w:val="TableText"/>
            </w:pPr>
            <w:r/>
            <w:r>
              <w:rPr>
                <w:rFonts w:ascii="Noto Sans CJK SC" w:hAnsi="Noto Sans CJK SC" w:eastAsia="Noto Sans CJK SC"/>
                <w:b w:val="0"/>
                <w:sz w:val="16"/>
              </w:rPr>
              <w:t>本车/本箱计划运输数量、装货地点、卸货地点、计划到场时间、计划发车时间、计划到达时间</w:t>
            </w:r>
          </w:p>
        </w:tc>
      </w:tr>
      <w:tr>
        <w:tc>
          <w:tcPr>
            <w:tcW w:type="dxa" w:w="2268"/>
            <w:vAlign w:val="center"/>
            <w:shd w:fill="FAFAFA"/>
          </w:tcPr>
          <w:p>
            <w:pPr>
              <w:pStyle w:val="TableText"/>
            </w:pPr>
            <w:r/>
            <w:r>
              <w:rPr>
                <w:rFonts w:ascii="Noto Sans CJK SC" w:hAnsi="Noto Sans CJK SC" w:eastAsia="Noto Sans CJK SC"/>
                <w:b w:val="0"/>
                <w:sz w:val="16"/>
              </w:rPr>
              <w:t>任务要求</w:t>
            </w:r>
          </w:p>
        </w:tc>
        <w:tc>
          <w:tcPr>
            <w:tcW w:type="dxa" w:w="7937"/>
            <w:vAlign w:val="center"/>
          </w:tcPr>
          <w:p>
            <w:pPr>
              <w:pStyle w:val="TableText"/>
            </w:pPr>
            <w:r/>
            <w:r>
              <w:rPr>
                <w:rFonts w:ascii="Noto Sans CJK SC" w:hAnsi="Noto Sans CJK SC" w:eastAsia="Noto Sans CJK SC"/>
                <w:b w:val="0"/>
                <w:sz w:val="16"/>
              </w:rPr>
              <w:t>联系人、联系电话、装卸要求、随车/随箱单据要求、备注</w:t>
            </w:r>
          </w:p>
        </w:tc>
      </w:tr>
      <w:tr>
        <w:tc>
          <w:tcPr>
            <w:tcW w:type="dxa" w:w="2268"/>
            <w:vAlign w:val="center"/>
            <w:shd w:fill="FAFAFA"/>
          </w:tcPr>
          <w:p>
            <w:pPr>
              <w:pStyle w:val="TableText"/>
            </w:pPr>
            <w:r/>
            <w:r>
              <w:rPr>
                <w:rFonts w:ascii="Noto Sans CJK SC" w:hAnsi="Noto Sans CJK SC" w:eastAsia="Noto Sans CJK SC"/>
                <w:b w:val="0"/>
                <w:sz w:val="16"/>
              </w:rPr>
              <w:t>下发信息</w:t>
            </w:r>
          </w:p>
        </w:tc>
        <w:tc>
          <w:tcPr>
            <w:tcW w:type="dxa" w:w="7937"/>
            <w:vAlign w:val="center"/>
          </w:tcPr>
          <w:p>
            <w:pPr>
              <w:pStyle w:val="TableText"/>
            </w:pPr>
            <w:r/>
            <w:r>
              <w:rPr>
                <w:rFonts w:ascii="Noto Sans CJK SC" w:hAnsi="Noto Sans CJK SC" w:eastAsia="Noto Sans CJK SC"/>
                <w:b w:val="0"/>
                <w:sz w:val="16"/>
              </w:rPr>
              <w:t>下发状态、下发时间、司机接收状态、接收时间、退回原因</w:t>
            </w:r>
          </w:p>
        </w:tc>
      </w:tr>
    </w:tbl>
    <w:p/>
    <w:p>
      <w:pPr>
        <w:pStyle w:val="Heading2"/>
      </w:pPr>
      <w:r>
        <w:t>7.4 非公路区段执行信息</w:t>
      </w:r>
    </w:p>
    <w:p>
      <w:r>
        <w:t>铁路、水运区段无司机小程序执行时，由物流运营商通过 PC 端录入或由接口回传实际执行信息，并与联运业务保持统一关联。</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运输方式</w:t>
            </w:r>
          </w:p>
        </w:tc>
        <w:tc>
          <w:tcPr>
            <w:tcW w:type="dxa" w:w="7937"/>
            <w:shd w:fill="C5001A"/>
            <w:vAlign w:val="center"/>
          </w:tcPr>
          <w:p>
            <w:pPr>
              <w:pStyle w:val="TableText"/>
              <w:jc w:val="center"/>
            </w:pPr>
            <w:r/>
            <w:r>
              <w:rPr>
                <w:rFonts w:ascii="Noto Sans CJK SC" w:hAnsi="Noto Sans CJK SC" w:eastAsia="Noto Sans CJK SC"/>
                <w:b/>
                <w:color w:val="FFFFFF"/>
                <w:sz w:val="17"/>
              </w:rPr>
              <w:t>主要执行字段</w:t>
            </w:r>
          </w:p>
        </w:tc>
      </w:tr>
      <w:tr>
        <w:tc>
          <w:tcPr>
            <w:tcW w:type="dxa" w:w="2268"/>
            <w:vAlign w:val="center"/>
            <w:shd w:fill="FAFAFA"/>
          </w:tcPr>
          <w:p>
            <w:pPr>
              <w:pStyle w:val="TableText"/>
            </w:pPr>
            <w:r/>
            <w:r>
              <w:rPr>
                <w:rFonts w:ascii="Noto Sans CJK SC" w:hAnsi="Noto Sans CJK SC" w:eastAsia="Noto Sans CJK SC"/>
                <w:b w:val="0"/>
                <w:sz w:val="16"/>
              </w:rPr>
              <w:t>铁路</w:t>
            </w:r>
          </w:p>
        </w:tc>
        <w:tc>
          <w:tcPr>
            <w:tcW w:type="dxa" w:w="7937"/>
            <w:vAlign w:val="center"/>
          </w:tcPr>
          <w:p>
            <w:pPr>
              <w:pStyle w:val="TableText"/>
            </w:pPr>
            <w:r/>
            <w:r>
              <w:rPr>
                <w:rFonts w:ascii="Noto Sans CJK SC" w:hAnsi="Noto Sans CJK SC" w:eastAsia="Noto Sans CJK SC"/>
                <w:b w:val="0"/>
                <w:sz w:val="16"/>
              </w:rPr>
              <w:t>铁路运单号、发站、到站、班列/车次、装车时间、发运时间、中转信息、到站时间、实际运输状态</w:t>
            </w:r>
          </w:p>
        </w:tc>
      </w:tr>
      <w:tr>
        <w:tc>
          <w:tcPr>
            <w:tcW w:type="dxa" w:w="2268"/>
            <w:vAlign w:val="center"/>
            <w:shd w:fill="FAFAFA"/>
          </w:tcPr>
          <w:p>
            <w:pPr>
              <w:pStyle w:val="TableText"/>
            </w:pPr>
            <w:r/>
            <w:r>
              <w:rPr>
                <w:rFonts w:ascii="Noto Sans CJK SC" w:hAnsi="Noto Sans CJK SC" w:eastAsia="Noto Sans CJK SC"/>
                <w:b w:val="0"/>
                <w:sz w:val="16"/>
              </w:rPr>
              <w:t>水运</w:t>
            </w:r>
          </w:p>
        </w:tc>
        <w:tc>
          <w:tcPr>
            <w:tcW w:type="dxa" w:w="7937"/>
            <w:vAlign w:val="center"/>
          </w:tcPr>
          <w:p>
            <w:pPr>
              <w:pStyle w:val="TableText"/>
            </w:pPr>
            <w:r/>
            <w:r>
              <w:rPr>
                <w:rFonts w:ascii="Noto Sans CJK SC" w:hAnsi="Noto Sans CJK SC" w:eastAsia="Noto Sans CJK SC"/>
                <w:b w:val="0"/>
                <w:sz w:val="16"/>
              </w:rPr>
              <w:t>水运单号、船名、航次、起运港、目的港、装船时间、离港时间、预计/实际到港时间、实际运输状态</w:t>
            </w:r>
          </w:p>
        </w:tc>
      </w:tr>
      <w:tr>
        <w:tc>
          <w:tcPr>
            <w:tcW w:type="dxa" w:w="2268"/>
            <w:vAlign w:val="center"/>
            <w:shd w:fill="FAFAFA"/>
          </w:tcPr>
          <w:p>
            <w:pPr>
              <w:pStyle w:val="TableText"/>
            </w:pPr>
            <w:r/>
            <w:r>
              <w:rPr>
                <w:rFonts w:ascii="Noto Sans CJK SC" w:hAnsi="Noto Sans CJK SC" w:eastAsia="Noto Sans CJK SC"/>
                <w:b w:val="0"/>
                <w:sz w:val="16"/>
              </w:rPr>
              <w:t>港口/中转</w:t>
            </w:r>
          </w:p>
        </w:tc>
        <w:tc>
          <w:tcPr>
            <w:tcW w:type="dxa" w:w="7937"/>
            <w:vAlign w:val="center"/>
          </w:tcPr>
          <w:p>
            <w:pPr>
              <w:pStyle w:val="TableText"/>
            </w:pPr>
            <w:r/>
            <w:r>
              <w:rPr>
                <w:rFonts w:ascii="Noto Sans CJK SC" w:hAnsi="Noto Sans CJK SC" w:eastAsia="Noto Sans CJK SC"/>
                <w:b w:val="0"/>
                <w:sz w:val="16"/>
              </w:rPr>
              <w:t>中转节点、进场/出场时间、装卸状态、等待时长、箱货交接、异常说明</w:t>
            </w:r>
          </w:p>
        </w:tc>
      </w:tr>
    </w:tbl>
    <w:p/>
    <w:p>
      <w:pPr>
        <w:pStyle w:val="Heading2"/>
      </w:pPr>
      <w:r>
        <w:t>7.5 司机小程序执行流程</w:t>
      </w:r>
    </w:p>
    <w:p>
      <w:pPr>
        <w:pStyle w:val="ListNumber"/>
        <w:spacing w:after="40"/>
      </w:pPr>
      <w:r>
        <w:rPr>
          <w:rFonts w:ascii="Noto Sans CJK SC" w:hAnsi="Noto Sans CJK SC" w:eastAsia="Noto Sans CJK SC"/>
          <w:sz w:val="20"/>
        </w:rPr>
        <w:t>任务接收：司机通过小程序看到物流运营商下发的任务，查看货物/箱号、装货地、卸货地、计划时间和联系人，执行“接收/确认”。</w:t>
      </w:r>
    </w:p>
    <w:p>
      <w:pPr>
        <w:pStyle w:val="ListNumber"/>
        <w:spacing w:after="40"/>
      </w:pPr>
      <w:r>
        <w:rPr>
          <w:rFonts w:ascii="Noto Sans CJK SC" w:hAnsi="Noto Sans CJK SC" w:eastAsia="Noto Sans CJK SC"/>
          <w:sz w:val="20"/>
        </w:rPr>
        <w:t>到达装货地：基于定位进行到场打卡，可拍摄车辆/集装箱检查照片，并上传装货前相关凭证。</w:t>
      </w:r>
    </w:p>
    <w:p>
      <w:pPr>
        <w:pStyle w:val="ListNumber"/>
        <w:spacing w:after="40"/>
      </w:pPr>
      <w:r>
        <w:rPr>
          <w:rFonts w:ascii="Noto Sans CJK SC" w:hAnsi="Noto Sans CJK SC" w:eastAsia="Noto Sans CJK SC"/>
          <w:sz w:val="20"/>
        </w:rPr>
        <w:t>装货确认：填写或确认装货数量；散货可上传磅单，集装箱可确认箱号、封志号及装箱/提箱信息。</w:t>
      </w:r>
    </w:p>
    <w:p>
      <w:pPr>
        <w:pStyle w:val="ListNumber"/>
        <w:spacing w:after="40"/>
      </w:pPr>
      <w:r>
        <w:rPr>
          <w:rFonts w:ascii="Noto Sans CJK SC" w:hAnsi="Noto Sans CJK SC" w:eastAsia="Noto Sans CJK SC"/>
          <w:sz w:val="20"/>
        </w:rPr>
        <w:t>开始运输：确认发车后任务进入“在途”，持续回传位置或由外部 GPS 数据补充车辆轨迹。</w:t>
      </w:r>
    </w:p>
    <w:p>
      <w:pPr>
        <w:pStyle w:val="ListNumber"/>
        <w:spacing w:after="40"/>
      </w:pPr>
      <w:r>
        <w:rPr>
          <w:rFonts w:ascii="Noto Sans CJK SC" w:hAnsi="Noto Sans CJK SC" w:eastAsia="Noto Sans CJK SC"/>
          <w:sz w:val="20"/>
        </w:rPr>
        <w:t>在途反馈：司机可反馈延误、车辆故障、线路调整、等待等异常，并上传说明或照片。</w:t>
      </w:r>
    </w:p>
    <w:p>
      <w:pPr>
        <w:pStyle w:val="ListNumber"/>
        <w:spacing w:after="40"/>
      </w:pPr>
      <w:r>
        <w:rPr>
          <w:rFonts w:ascii="Noto Sans CJK SC" w:hAnsi="Noto Sans CJK SC" w:eastAsia="Noto Sans CJK SC"/>
          <w:sz w:val="20"/>
        </w:rPr>
        <w:t>到达卸货地：定位打卡，填写卸货信息、实际到达时间和实际卸货数量。</w:t>
      </w:r>
    </w:p>
    <w:p>
      <w:pPr>
        <w:pStyle w:val="ListNumber"/>
        <w:spacing w:after="40"/>
      </w:pPr>
      <w:r>
        <w:rPr>
          <w:rFonts w:ascii="Noto Sans CJK SC" w:hAnsi="Noto Sans CJK SC" w:eastAsia="Noto Sans CJK SC"/>
          <w:sz w:val="20"/>
        </w:rPr>
        <w:t>签收完成：上传签收单/回单/交接单等凭证，确认任务完成，系统回写 PC 端运输任务和联运跟踪。</w:t>
      </w:r>
    </w:p>
    <w:p>
      <w:pPr>
        <w:pStyle w:val="Heading2"/>
      </w:pPr>
      <w:r>
        <w:t>7.6 小程序任务字段</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页面/阶段</w:t>
            </w:r>
          </w:p>
        </w:tc>
        <w:tc>
          <w:tcPr>
            <w:tcW w:type="dxa" w:w="7937"/>
            <w:shd w:fill="C5001A"/>
            <w:vAlign w:val="center"/>
          </w:tcPr>
          <w:p>
            <w:pPr>
              <w:pStyle w:val="TableText"/>
              <w:jc w:val="center"/>
            </w:pPr>
            <w:r/>
            <w:r>
              <w:rPr>
                <w:rFonts w:ascii="Noto Sans CJK SC" w:hAnsi="Noto Sans CJK SC" w:eastAsia="Noto Sans CJK SC"/>
                <w:b/>
                <w:color w:val="FFFFFF"/>
                <w:sz w:val="17"/>
              </w:rPr>
              <w:t>核心字段</w:t>
            </w:r>
          </w:p>
        </w:tc>
      </w:tr>
      <w:tr>
        <w:tc>
          <w:tcPr>
            <w:tcW w:type="dxa" w:w="2268"/>
            <w:vAlign w:val="center"/>
            <w:shd w:fill="FAFAFA"/>
          </w:tcPr>
          <w:p>
            <w:pPr>
              <w:pStyle w:val="TableText"/>
            </w:pPr>
            <w:r/>
            <w:r>
              <w:rPr>
                <w:rFonts w:ascii="Noto Sans CJK SC" w:hAnsi="Noto Sans CJK SC" w:eastAsia="Noto Sans CJK SC"/>
                <w:b w:val="0"/>
                <w:sz w:val="16"/>
              </w:rPr>
              <w:t>任务卡片</w:t>
            </w:r>
          </w:p>
        </w:tc>
        <w:tc>
          <w:tcPr>
            <w:tcW w:type="dxa" w:w="7937"/>
            <w:vAlign w:val="center"/>
          </w:tcPr>
          <w:p>
            <w:pPr>
              <w:pStyle w:val="TableText"/>
            </w:pPr>
            <w:r/>
            <w:r>
              <w:rPr>
                <w:rFonts w:ascii="Noto Sans CJK SC" w:hAnsi="Noto Sans CJK SC" w:eastAsia="Noto Sans CJK SC"/>
                <w:b w:val="0"/>
                <w:sz w:val="16"/>
              </w:rPr>
              <w:t>任务编号、粮食批次/箱号、起点、终点、计划时间、当前状态、联系人</w:t>
            </w:r>
          </w:p>
        </w:tc>
      </w:tr>
      <w:tr>
        <w:tc>
          <w:tcPr>
            <w:tcW w:type="dxa" w:w="2268"/>
            <w:vAlign w:val="center"/>
            <w:shd w:fill="FAFAFA"/>
          </w:tcPr>
          <w:p>
            <w:pPr>
              <w:pStyle w:val="TableText"/>
            </w:pPr>
            <w:r/>
            <w:r>
              <w:rPr>
                <w:rFonts w:ascii="Noto Sans CJK SC" w:hAnsi="Noto Sans CJK SC" w:eastAsia="Noto Sans CJK SC"/>
                <w:b w:val="0"/>
                <w:sz w:val="16"/>
              </w:rPr>
              <w:t>接单详情</w:t>
            </w:r>
          </w:p>
        </w:tc>
        <w:tc>
          <w:tcPr>
            <w:tcW w:type="dxa" w:w="7937"/>
            <w:vAlign w:val="center"/>
          </w:tcPr>
          <w:p>
            <w:pPr>
              <w:pStyle w:val="TableText"/>
            </w:pPr>
            <w:r/>
            <w:r>
              <w:rPr>
                <w:rFonts w:ascii="Noto Sans CJK SC" w:hAnsi="Noto Sans CJK SC" w:eastAsia="Noto Sans CJK SC"/>
                <w:b w:val="0"/>
                <w:sz w:val="16"/>
              </w:rPr>
              <w:t>货物名称、运输数量、本车计划量、车辆、司机、装卸地址、任务要求</w:t>
            </w:r>
          </w:p>
        </w:tc>
      </w:tr>
      <w:tr>
        <w:tc>
          <w:tcPr>
            <w:tcW w:type="dxa" w:w="2268"/>
            <w:vAlign w:val="center"/>
            <w:shd w:fill="FAFAFA"/>
          </w:tcPr>
          <w:p>
            <w:pPr>
              <w:pStyle w:val="TableText"/>
            </w:pPr>
            <w:r/>
            <w:r>
              <w:rPr>
                <w:rFonts w:ascii="Noto Sans CJK SC" w:hAnsi="Noto Sans CJK SC" w:eastAsia="Noto Sans CJK SC"/>
                <w:b w:val="0"/>
                <w:sz w:val="16"/>
              </w:rPr>
              <w:t>装货反馈</w:t>
            </w:r>
          </w:p>
        </w:tc>
        <w:tc>
          <w:tcPr>
            <w:tcW w:type="dxa" w:w="7937"/>
            <w:vAlign w:val="center"/>
          </w:tcPr>
          <w:p>
            <w:pPr>
              <w:pStyle w:val="TableText"/>
            </w:pPr>
            <w:r/>
            <w:r>
              <w:rPr>
                <w:rFonts w:ascii="Noto Sans CJK SC" w:hAnsi="Noto Sans CJK SC" w:eastAsia="Noto Sans CJK SC"/>
                <w:b w:val="0"/>
                <w:sz w:val="16"/>
              </w:rPr>
              <w:t>到场时间、定位、装货数量、毛重/皮重/净重、磅单、照片、箱号/封志号（集装箱）</w:t>
            </w:r>
          </w:p>
        </w:tc>
      </w:tr>
      <w:tr>
        <w:tc>
          <w:tcPr>
            <w:tcW w:type="dxa" w:w="2268"/>
            <w:vAlign w:val="center"/>
            <w:shd w:fill="FAFAFA"/>
          </w:tcPr>
          <w:p>
            <w:pPr>
              <w:pStyle w:val="TableText"/>
            </w:pPr>
            <w:r/>
            <w:r>
              <w:rPr>
                <w:rFonts w:ascii="Noto Sans CJK SC" w:hAnsi="Noto Sans CJK SC" w:eastAsia="Noto Sans CJK SC"/>
                <w:b w:val="0"/>
                <w:sz w:val="16"/>
              </w:rPr>
              <w:t>在途反馈</w:t>
            </w:r>
          </w:p>
        </w:tc>
        <w:tc>
          <w:tcPr>
            <w:tcW w:type="dxa" w:w="7937"/>
            <w:vAlign w:val="center"/>
          </w:tcPr>
          <w:p>
            <w:pPr>
              <w:pStyle w:val="TableText"/>
            </w:pPr>
            <w:r/>
            <w:r>
              <w:rPr>
                <w:rFonts w:ascii="Noto Sans CJK SC" w:hAnsi="Noto Sans CJK SC" w:eastAsia="Noto Sans CJK SC"/>
                <w:b w:val="0"/>
                <w:sz w:val="16"/>
              </w:rPr>
              <w:t>当前位置、任务状态、异常类型、异常说明、图片附件</w:t>
            </w:r>
          </w:p>
        </w:tc>
      </w:tr>
      <w:tr>
        <w:tc>
          <w:tcPr>
            <w:tcW w:type="dxa" w:w="2268"/>
            <w:vAlign w:val="center"/>
            <w:shd w:fill="FAFAFA"/>
          </w:tcPr>
          <w:p>
            <w:pPr>
              <w:pStyle w:val="TableText"/>
            </w:pPr>
            <w:r/>
            <w:r>
              <w:rPr>
                <w:rFonts w:ascii="Noto Sans CJK SC" w:hAnsi="Noto Sans CJK SC" w:eastAsia="Noto Sans CJK SC"/>
                <w:b w:val="0"/>
                <w:sz w:val="16"/>
              </w:rPr>
              <w:t>卸货反馈</w:t>
            </w:r>
          </w:p>
        </w:tc>
        <w:tc>
          <w:tcPr>
            <w:tcW w:type="dxa" w:w="7937"/>
            <w:vAlign w:val="center"/>
          </w:tcPr>
          <w:p>
            <w:pPr>
              <w:pStyle w:val="TableText"/>
            </w:pPr>
            <w:r/>
            <w:r>
              <w:rPr>
                <w:rFonts w:ascii="Noto Sans CJK SC" w:hAnsi="Noto Sans CJK SC" w:eastAsia="Noto Sans CJK SC"/>
                <w:b w:val="0"/>
                <w:sz w:val="16"/>
              </w:rPr>
              <w:t>到场时间、定位、卸货数量、签收数量、差异说明</w:t>
            </w:r>
          </w:p>
        </w:tc>
      </w:tr>
      <w:tr>
        <w:tc>
          <w:tcPr>
            <w:tcW w:type="dxa" w:w="2268"/>
            <w:vAlign w:val="center"/>
            <w:shd w:fill="FAFAFA"/>
          </w:tcPr>
          <w:p>
            <w:pPr>
              <w:pStyle w:val="TableText"/>
            </w:pPr>
            <w:r/>
            <w:r>
              <w:rPr>
                <w:rFonts w:ascii="Noto Sans CJK SC" w:hAnsi="Noto Sans CJK SC" w:eastAsia="Noto Sans CJK SC"/>
                <w:b w:val="0"/>
                <w:sz w:val="16"/>
              </w:rPr>
              <w:t>完成反馈</w:t>
            </w:r>
          </w:p>
        </w:tc>
        <w:tc>
          <w:tcPr>
            <w:tcW w:type="dxa" w:w="7937"/>
            <w:vAlign w:val="center"/>
          </w:tcPr>
          <w:p>
            <w:pPr>
              <w:pStyle w:val="TableText"/>
            </w:pPr>
            <w:r/>
            <w:r>
              <w:rPr>
                <w:rFonts w:ascii="Noto Sans CJK SC" w:hAnsi="Noto Sans CJK SC" w:eastAsia="Noto Sans CJK SC"/>
                <w:b w:val="0"/>
                <w:sz w:val="16"/>
              </w:rPr>
              <w:t>签收时间、签收人、签收单/回单、完成备注</w:t>
            </w:r>
          </w:p>
        </w:tc>
      </w:tr>
    </w:tbl>
    <w:p/>
    <w:p>
      <w:pPr>
        <w:pStyle w:val="Heading2"/>
      </w:pPr>
      <w:r>
        <w:t>7.7 PC端联运跟踪展示</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展示区域</w:t>
            </w:r>
          </w:p>
        </w:tc>
        <w:tc>
          <w:tcPr>
            <w:tcW w:type="dxa" w:w="7937"/>
            <w:shd w:fill="C5001A"/>
            <w:vAlign w:val="center"/>
          </w:tcPr>
          <w:p>
            <w:pPr>
              <w:pStyle w:val="TableText"/>
              <w:jc w:val="center"/>
            </w:pPr>
            <w:r/>
            <w:r>
              <w:rPr>
                <w:rFonts w:ascii="Noto Sans CJK SC" w:hAnsi="Noto Sans CJK SC" w:eastAsia="Noto Sans CJK SC"/>
                <w:b/>
                <w:color w:val="FFFFFF"/>
                <w:sz w:val="17"/>
              </w:rPr>
              <w:t>内容</w:t>
            </w:r>
          </w:p>
        </w:tc>
      </w:tr>
      <w:tr>
        <w:tc>
          <w:tcPr>
            <w:tcW w:type="dxa" w:w="2268"/>
            <w:vAlign w:val="center"/>
            <w:shd w:fill="FAFAFA"/>
          </w:tcPr>
          <w:p>
            <w:pPr>
              <w:pStyle w:val="TableText"/>
            </w:pPr>
            <w:r/>
            <w:r>
              <w:rPr>
                <w:rFonts w:ascii="Noto Sans CJK SC" w:hAnsi="Noto Sans CJK SC" w:eastAsia="Noto Sans CJK SC"/>
                <w:b w:val="0"/>
                <w:sz w:val="16"/>
              </w:rPr>
              <w:t>联运业务总览</w:t>
            </w:r>
          </w:p>
        </w:tc>
        <w:tc>
          <w:tcPr>
            <w:tcW w:type="dxa" w:w="7937"/>
            <w:vAlign w:val="center"/>
          </w:tcPr>
          <w:p>
            <w:pPr>
              <w:pStyle w:val="TableText"/>
            </w:pPr>
            <w:r/>
            <w:r>
              <w:rPr>
                <w:rFonts w:ascii="Noto Sans CJK SC" w:hAnsi="Noto Sans CJK SC" w:eastAsia="Noto Sans CJK SC"/>
                <w:b w:val="0"/>
                <w:sz w:val="16"/>
              </w:rPr>
              <w:t>需求编号、合同编号、组织模式、多式联运运单号（可空）、运输方式组合、总进度、当前环节、异常数</w:t>
            </w:r>
          </w:p>
        </w:tc>
      </w:tr>
      <w:tr>
        <w:tc>
          <w:tcPr>
            <w:tcW w:type="dxa" w:w="2268"/>
            <w:vAlign w:val="center"/>
            <w:shd w:fill="FAFAFA"/>
          </w:tcPr>
          <w:p>
            <w:pPr>
              <w:pStyle w:val="TableText"/>
            </w:pPr>
            <w:r/>
            <w:r>
              <w:rPr>
                <w:rFonts w:ascii="Noto Sans CJK SC" w:hAnsi="Noto Sans CJK SC" w:eastAsia="Noto Sans CJK SC"/>
                <w:b w:val="0"/>
                <w:sz w:val="16"/>
              </w:rPr>
              <w:t>地图</w:t>
            </w:r>
          </w:p>
        </w:tc>
        <w:tc>
          <w:tcPr>
            <w:tcW w:type="dxa" w:w="7937"/>
            <w:vAlign w:val="center"/>
          </w:tcPr>
          <w:p>
            <w:pPr>
              <w:pStyle w:val="TableText"/>
            </w:pPr>
            <w:r/>
            <w:r>
              <w:rPr>
                <w:rFonts w:ascii="Noto Sans CJK SC" w:hAnsi="Noto Sans CJK SC" w:eastAsia="Noto Sans CJK SC"/>
                <w:b w:val="0"/>
                <w:sz w:val="16"/>
              </w:rPr>
              <w:t>车辆位置/轨迹、船舶位置/航迹、关键物流节点；铁路展示当前运输区段及到发节点</w:t>
            </w:r>
          </w:p>
        </w:tc>
      </w:tr>
      <w:tr>
        <w:tc>
          <w:tcPr>
            <w:tcW w:type="dxa" w:w="2268"/>
            <w:vAlign w:val="center"/>
            <w:shd w:fill="FAFAFA"/>
          </w:tcPr>
          <w:p>
            <w:pPr>
              <w:pStyle w:val="TableText"/>
            </w:pPr>
            <w:r/>
            <w:r>
              <w:rPr>
                <w:rFonts w:ascii="Noto Sans CJK SC" w:hAnsi="Noto Sans CJK SC" w:eastAsia="Noto Sans CJK SC"/>
                <w:b w:val="0"/>
                <w:sz w:val="16"/>
              </w:rPr>
              <w:t>运输时间轴</w:t>
            </w:r>
          </w:p>
        </w:tc>
        <w:tc>
          <w:tcPr>
            <w:tcW w:type="dxa" w:w="7937"/>
            <w:vAlign w:val="center"/>
          </w:tcPr>
          <w:p>
            <w:pPr>
              <w:pStyle w:val="TableText"/>
            </w:pPr>
            <w:r/>
            <w:r>
              <w:rPr>
                <w:rFonts w:ascii="Noto Sans CJK SC" w:hAnsi="Noto Sans CJK SC" w:eastAsia="Noto Sans CJK SC"/>
                <w:b w:val="0"/>
                <w:sz w:val="16"/>
              </w:rPr>
              <w:t>出库、装车、发运、到站、到港、装箱、装船、离港、到港、卸货、交接、签收等节点</w:t>
            </w:r>
          </w:p>
        </w:tc>
      </w:tr>
      <w:tr>
        <w:tc>
          <w:tcPr>
            <w:tcW w:type="dxa" w:w="2268"/>
            <w:vAlign w:val="center"/>
            <w:shd w:fill="FAFAFA"/>
          </w:tcPr>
          <w:p>
            <w:pPr>
              <w:pStyle w:val="TableText"/>
            </w:pPr>
            <w:r/>
            <w:r>
              <w:rPr>
                <w:rFonts w:ascii="Noto Sans CJK SC" w:hAnsi="Noto Sans CJK SC" w:eastAsia="Noto Sans CJK SC"/>
                <w:b w:val="0"/>
                <w:sz w:val="16"/>
              </w:rPr>
              <w:t>运输对象</w:t>
            </w:r>
          </w:p>
        </w:tc>
        <w:tc>
          <w:tcPr>
            <w:tcW w:type="dxa" w:w="7937"/>
            <w:vAlign w:val="center"/>
          </w:tcPr>
          <w:p>
            <w:pPr>
              <w:pStyle w:val="TableText"/>
            </w:pPr>
            <w:r/>
            <w:r>
              <w:rPr>
                <w:rFonts w:ascii="Noto Sans CJK SC" w:hAnsi="Noto Sans CJK SC" w:eastAsia="Noto Sans CJK SC"/>
                <w:b w:val="0"/>
                <w:sz w:val="16"/>
              </w:rPr>
              <w:t>粮食批次、车辆/司机、集装箱、铁路运单、船舶/航次及其关联关系</w:t>
            </w:r>
          </w:p>
        </w:tc>
      </w:tr>
      <w:tr>
        <w:tc>
          <w:tcPr>
            <w:tcW w:type="dxa" w:w="2268"/>
            <w:vAlign w:val="center"/>
            <w:shd w:fill="FAFAFA"/>
          </w:tcPr>
          <w:p>
            <w:pPr>
              <w:pStyle w:val="TableText"/>
            </w:pPr>
            <w:r/>
            <w:r>
              <w:rPr>
                <w:rFonts w:ascii="Noto Sans CJK SC" w:hAnsi="Noto Sans CJK SC" w:eastAsia="Noto Sans CJK SC"/>
                <w:b w:val="0"/>
                <w:sz w:val="16"/>
              </w:rPr>
              <w:t>时效信息</w:t>
            </w:r>
          </w:p>
        </w:tc>
        <w:tc>
          <w:tcPr>
            <w:tcW w:type="dxa" w:w="7937"/>
            <w:vAlign w:val="center"/>
          </w:tcPr>
          <w:p>
            <w:pPr>
              <w:pStyle w:val="TableText"/>
            </w:pPr>
            <w:r/>
            <w:r>
              <w:rPr>
                <w:rFonts w:ascii="Noto Sans CJK SC" w:hAnsi="Noto Sans CJK SC" w:eastAsia="Noto Sans CJK SC"/>
                <w:b w:val="0"/>
                <w:sz w:val="16"/>
              </w:rPr>
              <w:t>计划时间、实际时间、ETA、剩余时长、提前/延误状态</w:t>
            </w:r>
          </w:p>
        </w:tc>
      </w:tr>
      <w:tr>
        <w:tc>
          <w:tcPr>
            <w:tcW w:type="dxa" w:w="2268"/>
            <w:vAlign w:val="center"/>
            <w:shd w:fill="FAFAFA"/>
          </w:tcPr>
          <w:p>
            <w:pPr>
              <w:pStyle w:val="TableText"/>
            </w:pPr>
            <w:r/>
            <w:r>
              <w:rPr>
                <w:rFonts w:ascii="Noto Sans CJK SC" w:hAnsi="Noto Sans CJK SC" w:eastAsia="Noto Sans CJK SC"/>
                <w:b w:val="0"/>
                <w:sz w:val="16"/>
              </w:rPr>
              <w:t>异常信息</w:t>
            </w:r>
          </w:p>
        </w:tc>
        <w:tc>
          <w:tcPr>
            <w:tcW w:type="dxa" w:w="7937"/>
            <w:vAlign w:val="center"/>
          </w:tcPr>
          <w:p>
            <w:pPr>
              <w:pStyle w:val="TableText"/>
            </w:pPr>
            <w:r/>
            <w:r>
              <w:rPr>
                <w:rFonts w:ascii="Noto Sans CJK SC" w:hAnsi="Noto Sans CJK SC" w:eastAsia="Noto Sans CJK SC"/>
                <w:b w:val="0"/>
                <w:sz w:val="16"/>
              </w:rPr>
              <w:t>延误、运输中断、线路调整、节点等待、车辆故障、船期变化等</w:t>
            </w:r>
          </w:p>
        </w:tc>
      </w:tr>
      <w:tr>
        <w:tc>
          <w:tcPr>
            <w:tcW w:type="dxa" w:w="2268"/>
            <w:vAlign w:val="center"/>
            <w:shd w:fill="FAFAFA"/>
          </w:tcPr>
          <w:p>
            <w:pPr>
              <w:pStyle w:val="TableText"/>
            </w:pPr>
            <w:r/>
            <w:r>
              <w:rPr>
                <w:rFonts w:ascii="Noto Sans CJK SC" w:hAnsi="Noto Sans CJK SC" w:eastAsia="Noto Sans CJK SC"/>
                <w:b w:val="0"/>
                <w:sz w:val="16"/>
              </w:rPr>
              <w:t>单据附件</w:t>
            </w:r>
          </w:p>
        </w:tc>
        <w:tc>
          <w:tcPr>
            <w:tcW w:type="dxa" w:w="7937"/>
            <w:vAlign w:val="center"/>
          </w:tcPr>
          <w:p>
            <w:pPr>
              <w:pStyle w:val="TableText"/>
            </w:pPr>
            <w:r/>
            <w:r>
              <w:rPr>
                <w:rFonts w:ascii="Noto Sans CJK SC" w:hAnsi="Noto Sans CJK SC" w:eastAsia="Noto Sans CJK SC"/>
                <w:b w:val="0"/>
                <w:sz w:val="16"/>
              </w:rPr>
              <w:t>磅单、运输回单、交接单、签收单、铁路运单、水运单据等</w:t>
            </w:r>
          </w:p>
        </w:tc>
      </w:tr>
    </w:tbl>
    <w:p/>
    <w:p>
      <w:pPr>
        <w:pStyle w:val="Heading2"/>
      </w:pPr>
      <w:r>
        <w:t>7.8 状态与事件联动</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C5001A"/>
            <w:vAlign w:val="center"/>
          </w:tcPr>
          <w:p>
            <w:pPr>
              <w:pStyle w:val="TableText"/>
              <w:jc w:val="center"/>
            </w:pPr>
            <w:r/>
            <w:r>
              <w:rPr>
                <w:rFonts w:ascii="Noto Sans CJK SC" w:hAnsi="Noto Sans CJK SC" w:eastAsia="Noto Sans CJK SC"/>
                <w:b/>
                <w:color w:val="FFFFFF"/>
                <w:sz w:val="17"/>
              </w:rPr>
              <w:t>小程序/执行动作</w:t>
            </w:r>
          </w:p>
        </w:tc>
        <w:tc>
          <w:tcPr>
            <w:tcW w:type="dxa" w:w="2268"/>
            <w:shd w:fill="C5001A"/>
            <w:vAlign w:val="center"/>
          </w:tcPr>
          <w:p>
            <w:pPr>
              <w:pStyle w:val="TableText"/>
              <w:jc w:val="center"/>
            </w:pPr>
            <w:r/>
            <w:r>
              <w:rPr>
                <w:rFonts w:ascii="Noto Sans CJK SC" w:hAnsi="Noto Sans CJK SC" w:eastAsia="Noto Sans CJK SC"/>
                <w:b/>
                <w:color w:val="FFFFFF"/>
                <w:sz w:val="17"/>
              </w:rPr>
              <w:t>执行任务状态</w:t>
            </w:r>
          </w:p>
        </w:tc>
        <w:tc>
          <w:tcPr>
            <w:tcW w:type="dxa" w:w="5102"/>
            <w:shd w:fill="C5001A"/>
            <w:vAlign w:val="center"/>
          </w:tcPr>
          <w:p>
            <w:pPr>
              <w:pStyle w:val="TableText"/>
              <w:jc w:val="center"/>
            </w:pPr>
            <w:r/>
            <w:r>
              <w:rPr>
                <w:rFonts w:ascii="Noto Sans CJK SC" w:hAnsi="Noto Sans CJK SC" w:eastAsia="Noto Sans CJK SC"/>
                <w:b/>
                <w:color w:val="FFFFFF"/>
                <w:sz w:val="17"/>
              </w:rPr>
              <w:t>联运业务影响</w:t>
            </w:r>
          </w:p>
        </w:tc>
      </w:tr>
      <w:tr>
        <w:tc>
          <w:tcPr>
            <w:tcW w:type="dxa" w:w="2835"/>
            <w:vAlign w:val="center"/>
            <w:shd w:fill="FAFAFA"/>
          </w:tcPr>
          <w:p>
            <w:pPr>
              <w:pStyle w:val="TableText"/>
            </w:pPr>
            <w:r/>
            <w:r>
              <w:rPr>
                <w:rFonts w:ascii="Noto Sans CJK SC" w:hAnsi="Noto Sans CJK SC" w:eastAsia="Noto Sans CJK SC"/>
                <w:b w:val="0"/>
                <w:sz w:val="16"/>
              </w:rPr>
              <w:t>司机确认任务</w:t>
            </w:r>
          </w:p>
        </w:tc>
        <w:tc>
          <w:tcPr>
            <w:tcW w:type="dxa" w:w="2268"/>
            <w:vAlign w:val="center"/>
          </w:tcPr>
          <w:p>
            <w:pPr>
              <w:pStyle w:val="TableText"/>
            </w:pPr>
            <w:r/>
            <w:r>
              <w:rPr>
                <w:rFonts w:ascii="Noto Sans CJK SC" w:hAnsi="Noto Sans CJK SC" w:eastAsia="Noto Sans CJK SC"/>
                <w:b w:val="0"/>
                <w:sz w:val="16"/>
              </w:rPr>
              <w:t>已接单</w:t>
            </w:r>
          </w:p>
        </w:tc>
        <w:tc>
          <w:tcPr>
            <w:tcW w:type="dxa" w:w="5102"/>
            <w:vAlign w:val="center"/>
          </w:tcPr>
          <w:p>
            <w:pPr>
              <w:pStyle w:val="TableText"/>
            </w:pPr>
            <w:r/>
            <w:r>
              <w:rPr>
                <w:rFonts w:ascii="Noto Sans CJK SC" w:hAnsi="Noto Sans CJK SC" w:eastAsia="Noto Sans CJK SC"/>
                <w:b w:val="0"/>
                <w:sz w:val="16"/>
              </w:rPr>
              <w:t>如全部必要任务已下发，可由“已组织”进入“待执行”</w:t>
            </w:r>
          </w:p>
        </w:tc>
      </w:tr>
      <w:tr>
        <w:tc>
          <w:tcPr>
            <w:tcW w:type="dxa" w:w="2835"/>
            <w:vAlign w:val="center"/>
            <w:shd w:fill="FAFAFA"/>
          </w:tcPr>
          <w:p>
            <w:pPr>
              <w:pStyle w:val="TableText"/>
            </w:pPr>
            <w:r/>
            <w:r>
              <w:rPr>
                <w:rFonts w:ascii="Noto Sans CJK SC" w:hAnsi="Noto Sans CJK SC" w:eastAsia="Noto Sans CJK SC"/>
                <w:b w:val="0"/>
                <w:sz w:val="16"/>
              </w:rPr>
              <w:t>装货完成/发车</w:t>
            </w:r>
          </w:p>
        </w:tc>
        <w:tc>
          <w:tcPr>
            <w:tcW w:type="dxa" w:w="2268"/>
            <w:vAlign w:val="center"/>
          </w:tcPr>
          <w:p>
            <w:pPr>
              <w:pStyle w:val="TableText"/>
            </w:pPr>
            <w:r/>
            <w:r>
              <w:rPr>
                <w:rFonts w:ascii="Noto Sans CJK SC" w:hAnsi="Noto Sans CJK SC" w:eastAsia="Noto Sans CJK SC"/>
                <w:b w:val="0"/>
                <w:sz w:val="16"/>
              </w:rPr>
              <w:t>在途</w:t>
            </w:r>
          </w:p>
        </w:tc>
        <w:tc>
          <w:tcPr>
            <w:tcW w:type="dxa" w:w="5102"/>
            <w:vAlign w:val="center"/>
          </w:tcPr>
          <w:p>
            <w:pPr>
              <w:pStyle w:val="TableText"/>
            </w:pPr>
            <w:r/>
            <w:r>
              <w:rPr>
                <w:rFonts w:ascii="Noto Sans CJK SC" w:hAnsi="Noto Sans CJK SC" w:eastAsia="Noto Sans CJK SC"/>
                <w:b w:val="0"/>
                <w:sz w:val="16"/>
              </w:rPr>
              <w:t>联运业务进入“执行中”</w:t>
            </w:r>
          </w:p>
        </w:tc>
      </w:tr>
      <w:tr>
        <w:tc>
          <w:tcPr>
            <w:tcW w:type="dxa" w:w="2835"/>
            <w:vAlign w:val="center"/>
            <w:shd w:fill="FAFAFA"/>
          </w:tcPr>
          <w:p>
            <w:pPr>
              <w:pStyle w:val="TableText"/>
            </w:pPr>
            <w:r/>
            <w:r>
              <w:rPr>
                <w:rFonts w:ascii="Noto Sans CJK SC" w:hAnsi="Noto Sans CJK SC" w:eastAsia="Noto Sans CJK SC"/>
                <w:b w:val="0"/>
                <w:sz w:val="16"/>
              </w:rPr>
              <w:t>到达中转节点</w:t>
            </w:r>
          </w:p>
        </w:tc>
        <w:tc>
          <w:tcPr>
            <w:tcW w:type="dxa" w:w="2268"/>
            <w:vAlign w:val="center"/>
          </w:tcPr>
          <w:p>
            <w:pPr>
              <w:pStyle w:val="TableText"/>
            </w:pPr>
            <w:r/>
            <w:r>
              <w:rPr>
                <w:rFonts w:ascii="Noto Sans CJK SC" w:hAnsi="Noto Sans CJK SC" w:eastAsia="Noto Sans CJK SC"/>
                <w:b w:val="0"/>
                <w:sz w:val="16"/>
              </w:rPr>
              <w:t>中转/待衔接</w:t>
            </w:r>
          </w:p>
        </w:tc>
        <w:tc>
          <w:tcPr>
            <w:tcW w:type="dxa" w:w="5102"/>
            <w:vAlign w:val="center"/>
          </w:tcPr>
          <w:p>
            <w:pPr>
              <w:pStyle w:val="TableText"/>
            </w:pPr>
            <w:r/>
            <w:r>
              <w:rPr>
                <w:rFonts w:ascii="Noto Sans CJK SC" w:hAnsi="Noto Sans CJK SC" w:eastAsia="Noto Sans CJK SC"/>
                <w:b w:val="0"/>
                <w:sz w:val="16"/>
              </w:rPr>
              <w:t>联运业务进入“中转中”或保持“执行中”</w:t>
            </w:r>
          </w:p>
        </w:tc>
      </w:tr>
      <w:tr>
        <w:tc>
          <w:tcPr>
            <w:tcW w:type="dxa" w:w="2835"/>
            <w:vAlign w:val="center"/>
            <w:shd w:fill="FAFAFA"/>
          </w:tcPr>
          <w:p>
            <w:pPr>
              <w:pStyle w:val="TableText"/>
            </w:pPr>
            <w:r/>
            <w:r>
              <w:rPr>
                <w:rFonts w:ascii="Noto Sans CJK SC" w:hAnsi="Noto Sans CJK SC" w:eastAsia="Noto Sans CJK SC"/>
                <w:b w:val="0"/>
                <w:sz w:val="16"/>
              </w:rPr>
              <w:t>异常反馈</w:t>
            </w:r>
          </w:p>
        </w:tc>
        <w:tc>
          <w:tcPr>
            <w:tcW w:type="dxa" w:w="2268"/>
            <w:vAlign w:val="center"/>
          </w:tcPr>
          <w:p>
            <w:pPr>
              <w:pStyle w:val="TableText"/>
            </w:pPr>
            <w:r/>
            <w:r>
              <w:rPr>
                <w:rFonts w:ascii="Noto Sans CJK SC" w:hAnsi="Noto Sans CJK SC" w:eastAsia="Noto Sans CJK SC"/>
                <w:b w:val="0"/>
                <w:sz w:val="16"/>
              </w:rPr>
              <w:t>异常</w:t>
            </w:r>
          </w:p>
        </w:tc>
        <w:tc>
          <w:tcPr>
            <w:tcW w:type="dxa" w:w="5102"/>
            <w:vAlign w:val="center"/>
          </w:tcPr>
          <w:p>
            <w:pPr>
              <w:pStyle w:val="TableText"/>
            </w:pPr>
            <w:r/>
            <w:r>
              <w:rPr>
                <w:rFonts w:ascii="Noto Sans CJK SC" w:hAnsi="Noto Sans CJK SC" w:eastAsia="Noto Sans CJK SC"/>
                <w:b w:val="0"/>
                <w:sz w:val="16"/>
              </w:rPr>
              <w:t>联运业务标记异常并推送运行监测/预警</w:t>
            </w:r>
          </w:p>
        </w:tc>
      </w:tr>
      <w:tr>
        <w:tc>
          <w:tcPr>
            <w:tcW w:type="dxa" w:w="2835"/>
            <w:vAlign w:val="center"/>
            <w:shd w:fill="FAFAFA"/>
          </w:tcPr>
          <w:p>
            <w:pPr>
              <w:pStyle w:val="TableText"/>
            </w:pPr>
            <w:r/>
            <w:r>
              <w:rPr>
                <w:rFonts w:ascii="Noto Sans CJK SC" w:hAnsi="Noto Sans CJK SC" w:eastAsia="Noto Sans CJK SC"/>
                <w:b w:val="0"/>
                <w:sz w:val="16"/>
              </w:rPr>
              <w:t>卸货/签收完成</w:t>
            </w:r>
          </w:p>
        </w:tc>
        <w:tc>
          <w:tcPr>
            <w:tcW w:type="dxa" w:w="2268"/>
            <w:vAlign w:val="center"/>
          </w:tcPr>
          <w:p>
            <w:pPr>
              <w:pStyle w:val="TableText"/>
            </w:pPr>
            <w:r/>
            <w:r>
              <w:rPr>
                <w:rFonts w:ascii="Noto Sans CJK SC" w:hAnsi="Noto Sans CJK SC" w:eastAsia="Noto Sans CJK SC"/>
                <w:b w:val="0"/>
                <w:sz w:val="16"/>
              </w:rPr>
              <w:t>已完成</w:t>
            </w:r>
          </w:p>
        </w:tc>
        <w:tc>
          <w:tcPr>
            <w:tcW w:type="dxa" w:w="5102"/>
            <w:vAlign w:val="center"/>
          </w:tcPr>
          <w:p>
            <w:pPr>
              <w:pStyle w:val="TableText"/>
            </w:pPr>
            <w:r/>
            <w:r>
              <w:rPr>
                <w:rFonts w:ascii="Noto Sans CJK SC" w:hAnsi="Noto Sans CJK SC" w:eastAsia="Noto Sans CJK SC"/>
                <w:b w:val="0"/>
                <w:sz w:val="16"/>
              </w:rPr>
              <w:t>当全部分段任务完成后，联运业务进入“已完成”</w:t>
            </w:r>
          </w:p>
        </w:tc>
      </w:tr>
    </w:tbl>
    <w:p/>
    <w:tbl>
      <w:tblPr>
        <w:tblStyle w:val="TableGrid"/>
        <w:tblW w:type="auto" w:w="0"/>
        <w:jc w:val="center"/>
        <w:tblLook w:firstColumn="1" w:firstRow="1" w:lastColumn="0" w:lastRow="0" w:noHBand="0" w:noVBand="1" w:val="04A0"/>
      </w:tblPr>
      <w:tblGrid>
        <w:gridCol w:w="10312"/>
      </w:tblGrid>
      <w:tr>
        <w:tc>
          <w:tcPr>
            <w:tcW w:type="dxa" w:w="10312"/>
            <w:shd w:fill="FBEAEC"/>
          </w:tcPr>
          <w:p>
            <w:pPr>
              <w:spacing w:after="60"/>
            </w:pPr>
            <w:r/>
            <w:r>
              <w:rPr>
                <w:rFonts w:ascii="Noto Sans CJK SC" w:hAnsi="Noto Sans CJK SC" w:eastAsia="Noto Sans CJK SC"/>
                <w:b/>
                <w:color w:val="A00014"/>
                <w:sz w:val="21"/>
              </w:rPr>
              <w:t>事件链要求</w:t>
            </w:r>
          </w:p>
          <w:p>
            <w:pPr>
              <w:pStyle w:val="TableText"/>
              <w:spacing w:after="0"/>
            </w:pPr>
            <w:r>
              <w:rPr>
                <w:sz w:val="18"/>
              </w:rPr>
              <w:t>司机小程序、PC端填报及外部接口产生的关键节点均应转换为统一物流事件，并与联运业务、多式联运运单/运输委托、粮食批次、车辆、集装箱、船舶等对象建立关联，为后续运输全程可视、异常预警和追溯提供数据基础。</w:t>
            </w:r>
          </w:p>
        </w:tc>
      </w:tr>
    </w:tbl>
    <w:p/>
    <w:p>
      <w:pPr>
        <w:pStyle w:val="Heading2"/>
      </w:pPr>
      <w:r>
        <w:t>7.9 应用场景与目标</w:t>
      </w:r>
    </w:p>
    <w:p>
      <w:r>
        <w:t>集装箱场景：物流运营商在 PC 端为每个集装箱配置执行车辆和司机，任务下发至对应司机小程序。司机接单后完成提箱/装货、发运、在途、到达、交付等反馈，PC端以“箱—车—司机—节点”为主线查看。</w:t>
      </w:r>
    </w:p>
    <w:p>
      <w:r>
        <w:t>散货场景：物流运营商以粮食批次为归集对象，维护该批次下多辆执行车辆和司机，以及各车计划运输数量。司机小程序分别执行，系统持续汇总该粮食批次的已发运量、在途量、到达量和完成量。</w:t>
      </w:r>
    </w:p>
    <w:p>
      <w:r>
        <w:t>目标是形成“物流运营商组织—司机移动执行—平台全程跟踪—多角色协同查看”的执行闭环，减少运输计划与实际执行脱节。</w:t>
      </w:r>
    </w:p>
    <w:p>
      <w:pPr>
        <w:pStyle w:val="Heading1"/>
      </w:pPr>
      <w:r>
        <w:t>8  模块间数据贯通与状态同步</w:t>
      </w:r>
    </w:p>
    <w:tbl>
      <w:tblPr>
        <w:tblStyle w:val="TableGrid"/>
        <w:tblW w:type="auto" w:w="0"/>
        <w:jc w:val="center"/>
        <w:tblLook w:firstColumn="1" w:firstRow="1" w:lastColumn="0" w:lastRow="0" w:noHBand="0" w:noVBand="1" w:val="04A0"/>
      </w:tblPr>
      <w:tblGrid>
        <w:gridCol w:w="5156"/>
        <w:gridCol w:w="5156"/>
      </w:tblGrid>
      <w:tr>
        <w:tc>
          <w:tcPr>
            <w:tcW w:type="dxa" w:w="2835"/>
            <w:shd w:fill="C5001A"/>
            <w:vAlign w:val="center"/>
          </w:tcPr>
          <w:p>
            <w:pPr>
              <w:pStyle w:val="TableText"/>
              <w:jc w:val="center"/>
            </w:pPr>
            <w:r/>
            <w:r>
              <w:rPr>
                <w:rFonts w:ascii="Noto Sans CJK SC" w:hAnsi="Noto Sans CJK SC" w:eastAsia="Noto Sans CJK SC"/>
                <w:b/>
                <w:color w:val="FFFFFF"/>
                <w:sz w:val="17"/>
              </w:rPr>
              <w:t>上游/下游模块</w:t>
            </w:r>
          </w:p>
        </w:tc>
        <w:tc>
          <w:tcPr>
            <w:tcW w:type="dxa" w:w="7370"/>
            <w:shd w:fill="C5001A"/>
            <w:vAlign w:val="center"/>
          </w:tcPr>
          <w:p>
            <w:pPr>
              <w:pStyle w:val="TableText"/>
              <w:jc w:val="center"/>
            </w:pPr>
            <w:r/>
            <w:r>
              <w:rPr>
                <w:rFonts w:ascii="Noto Sans CJK SC" w:hAnsi="Noto Sans CJK SC" w:eastAsia="Noto Sans CJK SC"/>
                <w:b/>
                <w:color w:val="FFFFFF"/>
                <w:sz w:val="17"/>
              </w:rPr>
              <w:t>关联方式</w:t>
            </w:r>
          </w:p>
        </w:tc>
      </w:tr>
      <w:tr>
        <w:tc>
          <w:tcPr>
            <w:tcW w:type="dxa" w:w="2835"/>
            <w:vAlign w:val="center"/>
            <w:shd w:fill="FAFAFA"/>
          </w:tcPr>
          <w:p>
            <w:pPr>
              <w:pStyle w:val="TableText"/>
            </w:pPr>
            <w:r/>
            <w:r>
              <w:rPr>
                <w:rFonts w:ascii="Noto Sans CJK SC" w:hAnsi="Noto Sans CJK SC" w:eastAsia="Noto Sans CJK SC"/>
                <w:b w:val="0"/>
                <w:sz w:val="16"/>
              </w:rPr>
              <w:t>运输需求管理</w:t>
            </w:r>
          </w:p>
        </w:tc>
        <w:tc>
          <w:tcPr>
            <w:tcW w:type="dxa" w:w="7370"/>
            <w:vAlign w:val="center"/>
          </w:tcPr>
          <w:p>
            <w:pPr>
              <w:pStyle w:val="TableText"/>
            </w:pPr>
            <w:r/>
            <w:r>
              <w:rPr>
                <w:rFonts w:ascii="Noto Sans CJK SC" w:hAnsi="Noto Sans CJK SC" w:eastAsia="Noto Sans CJK SC"/>
                <w:b w:val="0"/>
                <w:sz w:val="16"/>
              </w:rPr>
              <w:t>带入运输需求编号、交易订单、粮食品种、数量、包装形态、是否散改集、起讫地和计划时间；执行进度可反向回写需求业务进度</w:t>
            </w:r>
          </w:p>
        </w:tc>
      </w:tr>
      <w:tr>
        <w:tc>
          <w:tcPr>
            <w:tcW w:type="dxa" w:w="2835"/>
            <w:vAlign w:val="center"/>
            <w:shd w:fill="FAFAFA"/>
          </w:tcPr>
          <w:p>
            <w:pPr>
              <w:pStyle w:val="TableText"/>
            </w:pPr>
            <w:r/>
            <w:r>
              <w:rPr>
                <w:rFonts w:ascii="Noto Sans CJK SC" w:hAnsi="Noto Sans CJK SC" w:eastAsia="Noto Sans CJK SC"/>
                <w:b w:val="0"/>
                <w:sz w:val="16"/>
              </w:rPr>
              <w:t>多式联运方案</w:t>
            </w:r>
          </w:p>
        </w:tc>
        <w:tc>
          <w:tcPr>
            <w:tcW w:type="dxa" w:w="7370"/>
            <w:vAlign w:val="center"/>
          </w:tcPr>
          <w:p>
            <w:pPr>
              <w:pStyle w:val="TableText"/>
            </w:pPr>
            <w:r/>
            <w:r>
              <w:rPr>
                <w:rFonts w:ascii="Noto Sans CJK SC" w:hAnsi="Noto Sans CJK SC" w:eastAsia="Noto Sans CJK SC"/>
                <w:b w:val="0"/>
                <w:sz w:val="16"/>
              </w:rPr>
              <w:t>如业务来自确认方案，带入计划运输区段和关键节点；实际执行数据回写用于方案效果对比</w:t>
            </w:r>
          </w:p>
        </w:tc>
      </w:tr>
      <w:tr>
        <w:tc>
          <w:tcPr>
            <w:tcW w:type="dxa" w:w="2835"/>
            <w:vAlign w:val="center"/>
            <w:shd w:fill="FAFAFA"/>
          </w:tcPr>
          <w:p>
            <w:pPr>
              <w:pStyle w:val="TableText"/>
            </w:pPr>
            <w:r/>
            <w:r>
              <w:rPr>
                <w:rFonts w:ascii="Noto Sans CJK SC" w:hAnsi="Noto Sans CJK SC" w:eastAsia="Noto Sans CJK SC"/>
                <w:b w:val="0"/>
                <w:sz w:val="16"/>
              </w:rPr>
              <w:t>供需匹配大厅</w:t>
            </w:r>
          </w:p>
        </w:tc>
        <w:tc>
          <w:tcPr>
            <w:tcW w:type="dxa" w:w="7370"/>
            <w:vAlign w:val="center"/>
          </w:tcPr>
          <w:p>
            <w:pPr>
              <w:pStyle w:val="TableText"/>
            </w:pPr>
            <w:r/>
            <w:r>
              <w:rPr>
                <w:rFonts w:ascii="Noto Sans CJK SC" w:hAnsi="Noto Sans CJK SC" w:eastAsia="Noto Sans CJK SC"/>
                <w:b w:val="0"/>
                <w:sz w:val="16"/>
              </w:rPr>
              <w:t>带入成交物流运营商、最终成交价格、成交确认记录</w:t>
            </w:r>
          </w:p>
        </w:tc>
      </w:tr>
      <w:tr>
        <w:tc>
          <w:tcPr>
            <w:tcW w:type="dxa" w:w="2835"/>
            <w:vAlign w:val="center"/>
            <w:shd w:fill="FAFAFA"/>
          </w:tcPr>
          <w:p>
            <w:pPr>
              <w:pStyle w:val="TableText"/>
            </w:pPr>
            <w:r/>
            <w:r>
              <w:rPr>
                <w:rFonts w:ascii="Noto Sans CJK SC" w:hAnsi="Noto Sans CJK SC" w:eastAsia="Noto Sans CJK SC"/>
                <w:b w:val="0"/>
                <w:sz w:val="16"/>
              </w:rPr>
              <w:t>合同管理</w:t>
            </w:r>
          </w:p>
        </w:tc>
        <w:tc>
          <w:tcPr>
            <w:tcW w:type="dxa" w:w="7370"/>
            <w:vAlign w:val="center"/>
          </w:tcPr>
          <w:p>
            <w:pPr>
              <w:pStyle w:val="TableText"/>
            </w:pPr>
            <w:r/>
            <w:r>
              <w:rPr>
                <w:rFonts w:ascii="Noto Sans CJK SC" w:hAnsi="Noto Sans CJK SC" w:eastAsia="Noto Sans CJK SC"/>
                <w:b w:val="0"/>
                <w:sz w:val="16"/>
              </w:rPr>
              <w:t>合同生效后才允许正式组织和下发执行；合同编号贯穿联运业务</w:t>
            </w:r>
          </w:p>
        </w:tc>
      </w:tr>
      <w:tr>
        <w:tc>
          <w:tcPr>
            <w:tcW w:type="dxa" w:w="2835"/>
            <w:vAlign w:val="center"/>
            <w:shd w:fill="FAFAFA"/>
          </w:tcPr>
          <w:p>
            <w:pPr>
              <w:pStyle w:val="TableText"/>
            </w:pPr>
            <w:r/>
            <w:r>
              <w:rPr>
                <w:rFonts w:ascii="Noto Sans CJK SC" w:hAnsi="Noto Sans CJK SC" w:eastAsia="Noto Sans CJK SC"/>
                <w:b w:val="0"/>
                <w:sz w:val="16"/>
              </w:rPr>
              <w:t>散改集管理</w:t>
            </w:r>
          </w:p>
        </w:tc>
        <w:tc>
          <w:tcPr>
            <w:tcW w:type="dxa" w:w="7370"/>
            <w:vAlign w:val="center"/>
          </w:tcPr>
          <w:p>
            <w:pPr>
              <w:pStyle w:val="TableText"/>
            </w:pPr>
            <w:r/>
            <w:r>
              <w:rPr>
                <w:rFonts w:ascii="Noto Sans CJK SC" w:hAnsi="Noto Sans CJK SC" w:eastAsia="Noto Sans CJK SC"/>
                <w:b w:val="0"/>
                <w:sz w:val="16"/>
              </w:rPr>
              <w:t>散货且需要散改集时，由联运组织触发；装箱后的集装箱继续进入联运跟踪</w:t>
            </w:r>
          </w:p>
        </w:tc>
      </w:tr>
      <w:tr>
        <w:tc>
          <w:tcPr>
            <w:tcW w:type="dxa" w:w="2835"/>
            <w:vAlign w:val="center"/>
            <w:shd w:fill="FAFAFA"/>
          </w:tcPr>
          <w:p>
            <w:pPr>
              <w:pStyle w:val="TableText"/>
            </w:pPr>
            <w:r/>
            <w:r>
              <w:rPr>
                <w:rFonts w:ascii="Noto Sans CJK SC" w:hAnsi="Noto Sans CJK SC" w:eastAsia="Noto Sans CJK SC"/>
                <w:b w:val="0"/>
                <w:sz w:val="16"/>
              </w:rPr>
              <w:t>微信小程序</w:t>
            </w:r>
          </w:p>
        </w:tc>
        <w:tc>
          <w:tcPr>
            <w:tcW w:type="dxa" w:w="7370"/>
            <w:vAlign w:val="center"/>
          </w:tcPr>
          <w:p>
            <w:pPr>
              <w:pStyle w:val="TableText"/>
            </w:pPr>
            <w:r/>
            <w:r>
              <w:rPr>
                <w:rFonts w:ascii="Noto Sans CJK SC" w:hAnsi="Noto Sans CJK SC" w:eastAsia="Noto Sans CJK SC"/>
                <w:b w:val="0"/>
                <w:sz w:val="16"/>
              </w:rPr>
              <w:t>接收车辆/司机执行任务，回传节点、单据、异常和完成结果</w:t>
            </w:r>
          </w:p>
        </w:tc>
      </w:tr>
      <w:tr>
        <w:tc>
          <w:tcPr>
            <w:tcW w:type="dxa" w:w="2835"/>
            <w:vAlign w:val="center"/>
            <w:shd w:fill="FAFAFA"/>
          </w:tcPr>
          <w:p>
            <w:pPr>
              <w:pStyle w:val="TableText"/>
            </w:pPr>
            <w:r/>
            <w:r>
              <w:rPr>
                <w:rFonts w:ascii="Noto Sans CJK SC" w:hAnsi="Noto Sans CJK SC" w:eastAsia="Noto Sans CJK SC"/>
                <w:b w:val="0"/>
                <w:sz w:val="16"/>
              </w:rPr>
              <w:t>运输EPCIS事件总线</w:t>
            </w:r>
          </w:p>
        </w:tc>
        <w:tc>
          <w:tcPr>
            <w:tcW w:type="dxa" w:w="7370"/>
            <w:vAlign w:val="center"/>
          </w:tcPr>
          <w:p>
            <w:pPr>
              <w:pStyle w:val="TableText"/>
            </w:pPr>
            <w:r/>
            <w:r>
              <w:rPr>
                <w:rFonts w:ascii="Noto Sans CJK SC" w:hAnsi="Noto Sans CJK SC" w:eastAsia="Noto Sans CJK SC"/>
                <w:b w:val="0"/>
                <w:sz w:val="16"/>
              </w:rPr>
              <w:t>将各环节事件标准化串联，支撑跨方式连续追踪</w:t>
            </w:r>
          </w:p>
        </w:tc>
      </w:tr>
      <w:tr>
        <w:tc>
          <w:tcPr>
            <w:tcW w:type="dxa" w:w="2835"/>
            <w:vAlign w:val="center"/>
            <w:shd w:fill="FAFAFA"/>
          </w:tcPr>
          <w:p>
            <w:pPr>
              <w:pStyle w:val="TableText"/>
            </w:pPr>
            <w:r/>
            <w:r>
              <w:rPr>
                <w:rFonts w:ascii="Noto Sans CJK SC" w:hAnsi="Noto Sans CJK SC" w:eastAsia="Noto Sans CJK SC"/>
                <w:b w:val="0"/>
                <w:sz w:val="16"/>
              </w:rPr>
              <w:t>运行监测/预测预警</w:t>
            </w:r>
          </w:p>
        </w:tc>
        <w:tc>
          <w:tcPr>
            <w:tcW w:type="dxa" w:w="7370"/>
            <w:vAlign w:val="center"/>
          </w:tcPr>
          <w:p>
            <w:pPr>
              <w:pStyle w:val="TableText"/>
            </w:pPr>
            <w:r/>
            <w:r>
              <w:rPr>
                <w:rFonts w:ascii="Noto Sans CJK SC" w:hAnsi="Noto Sans CJK SC" w:eastAsia="Noto Sans CJK SC"/>
                <w:b w:val="0"/>
                <w:sz w:val="16"/>
              </w:rPr>
              <w:t>消费联运跟踪产生的位置、状态、节点与异常信息</w:t>
            </w:r>
          </w:p>
        </w:tc>
      </w:tr>
      <w:tr>
        <w:tc>
          <w:tcPr>
            <w:tcW w:type="dxa" w:w="2835"/>
            <w:vAlign w:val="center"/>
            <w:shd w:fill="FAFAFA"/>
          </w:tcPr>
          <w:p>
            <w:pPr>
              <w:pStyle w:val="TableText"/>
            </w:pPr>
            <w:r/>
            <w:r>
              <w:rPr>
                <w:rFonts w:ascii="Noto Sans CJK SC" w:hAnsi="Noto Sans CJK SC" w:eastAsia="Noto Sans CJK SC"/>
                <w:b w:val="0"/>
                <w:sz w:val="16"/>
              </w:rPr>
              <w:t>对账结算</w:t>
            </w:r>
          </w:p>
        </w:tc>
        <w:tc>
          <w:tcPr>
            <w:tcW w:type="dxa" w:w="7370"/>
            <w:vAlign w:val="center"/>
          </w:tcPr>
          <w:p>
            <w:pPr>
              <w:pStyle w:val="TableText"/>
            </w:pPr>
            <w:r/>
            <w:r>
              <w:rPr>
                <w:rFonts w:ascii="Noto Sans CJK SC" w:hAnsi="Noto Sans CJK SC" w:eastAsia="Noto Sans CJK SC"/>
                <w:b w:val="0"/>
                <w:sz w:val="16"/>
              </w:rPr>
              <w:t>运输完成后关联实际运输任务、数量、单据和合同，作为费用核对依据</w:t>
            </w:r>
          </w:p>
        </w:tc>
      </w:tr>
    </w:tbl>
    <w:p/>
    <w:p>
      <w:pPr>
        <w:pStyle w:val="Heading1"/>
      </w:pPr>
      <w:r>
        <w:t>9  页面与交互建议</w:t>
      </w:r>
    </w:p>
    <w:tbl>
      <w:tblPr>
        <w:tblStyle w:val="TableGrid"/>
        <w:tblW w:type="auto" w:w="0"/>
        <w:jc w:val="center"/>
        <w:tblLook w:firstColumn="1" w:firstRow="1" w:lastColumn="0" w:lastRow="0" w:noHBand="0" w:noVBand="1" w:val="04A0"/>
      </w:tblPr>
      <w:tblGrid>
        <w:gridCol w:w="5156"/>
        <w:gridCol w:w="5156"/>
      </w:tblGrid>
      <w:tr>
        <w:tc>
          <w:tcPr>
            <w:tcW w:type="dxa" w:w="2268"/>
            <w:shd w:fill="C5001A"/>
            <w:vAlign w:val="center"/>
          </w:tcPr>
          <w:p>
            <w:pPr>
              <w:pStyle w:val="TableText"/>
              <w:jc w:val="center"/>
            </w:pPr>
            <w:r/>
            <w:r>
              <w:rPr>
                <w:rFonts w:ascii="Noto Sans CJK SC" w:hAnsi="Noto Sans CJK SC" w:eastAsia="Noto Sans CJK SC"/>
                <w:b/>
                <w:color w:val="FFFFFF"/>
                <w:sz w:val="17"/>
              </w:rPr>
              <w:t>二级菜单</w:t>
            </w:r>
          </w:p>
        </w:tc>
        <w:tc>
          <w:tcPr>
            <w:tcW w:type="dxa" w:w="7937"/>
            <w:shd w:fill="C5001A"/>
            <w:vAlign w:val="center"/>
          </w:tcPr>
          <w:p>
            <w:pPr>
              <w:pStyle w:val="TableText"/>
              <w:jc w:val="center"/>
            </w:pPr>
            <w:r/>
            <w:r>
              <w:rPr>
                <w:rFonts w:ascii="Noto Sans CJK SC" w:hAnsi="Noto Sans CJK SC" w:eastAsia="Noto Sans CJK SC"/>
                <w:b/>
                <w:color w:val="FFFFFF"/>
                <w:sz w:val="17"/>
              </w:rPr>
              <w:t>推荐页面结构</w:t>
            </w:r>
          </w:p>
        </w:tc>
      </w:tr>
      <w:tr>
        <w:tc>
          <w:tcPr>
            <w:tcW w:type="dxa" w:w="2268"/>
            <w:vAlign w:val="center"/>
            <w:shd w:fill="FAFAFA"/>
          </w:tcPr>
          <w:p>
            <w:pPr>
              <w:pStyle w:val="TableText"/>
            </w:pPr>
            <w:r/>
            <w:r>
              <w:rPr>
                <w:rFonts w:ascii="Noto Sans CJK SC" w:hAnsi="Noto Sans CJK SC" w:eastAsia="Noto Sans CJK SC"/>
                <w:b w:val="0"/>
                <w:sz w:val="16"/>
              </w:rPr>
              <w:t>联运组织管理</w:t>
            </w:r>
          </w:p>
        </w:tc>
        <w:tc>
          <w:tcPr>
            <w:tcW w:type="dxa" w:w="7937"/>
            <w:vAlign w:val="center"/>
          </w:tcPr>
          <w:p>
            <w:pPr>
              <w:pStyle w:val="TableText"/>
            </w:pPr>
            <w:r/>
            <w:r>
              <w:rPr>
                <w:rFonts w:ascii="Noto Sans CJK SC" w:hAnsi="Noto Sans CJK SC" w:eastAsia="Noto Sans CJK SC"/>
                <w:b w:val="0"/>
                <w:sz w:val="16"/>
              </w:rPr>
              <w:t>顶部筛选 + 联运业务列表；详情抽屉/详情页展示来源需求、方案、合同、组织模式、运单/任务、区段和状态。页面内部用“全部 / 一单制联运 / 传统联运”筛选，不再拆二级菜单。</w:t>
            </w:r>
          </w:p>
        </w:tc>
      </w:tr>
      <w:tr>
        <w:tc>
          <w:tcPr>
            <w:tcW w:type="dxa" w:w="2268"/>
            <w:vAlign w:val="center"/>
            <w:shd w:fill="FAFAFA"/>
          </w:tcPr>
          <w:p>
            <w:pPr>
              <w:pStyle w:val="TableText"/>
            </w:pPr>
            <w:r/>
            <w:r>
              <w:rPr>
                <w:rFonts w:ascii="Noto Sans CJK SC" w:hAnsi="Noto Sans CJK SC" w:eastAsia="Noto Sans CJK SC"/>
                <w:b w:val="0"/>
                <w:sz w:val="16"/>
              </w:rPr>
              <w:t>散改集管理</w:t>
            </w:r>
          </w:p>
        </w:tc>
        <w:tc>
          <w:tcPr>
            <w:tcW w:type="dxa" w:w="7937"/>
            <w:vAlign w:val="center"/>
          </w:tcPr>
          <w:p>
            <w:pPr>
              <w:pStyle w:val="TableText"/>
            </w:pPr>
            <w:r/>
            <w:r>
              <w:rPr>
                <w:rFonts w:ascii="Noto Sans CJK SC" w:hAnsi="Noto Sans CJK SC" w:eastAsia="Noto Sans CJK SC"/>
                <w:b w:val="0"/>
                <w:sz w:val="16"/>
              </w:rPr>
              <w:t>上部为散改集业务列表；详情使用“批次到场 → 装箱登记 → 箱船关联”三段式流程，并展示数量平衡（计划量、到场量、已装箱量、剩余量）。</w:t>
            </w:r>
          </w:p>
        </w:tc>
      </w:tr>
      <w:tr>
        <w:tc>
          <w:tcPr>
            <w:tcW w:type="dxa" w:w="2268"/>
            <w:vAlign w:val="center"/>
            <w:shd w:fill="FAFAFA"/>
          </w:tcPr>
          <w:p>
            <w:pPr>
              <w:pStyle w:val="TableText"/>
            </w:pPr>
            <w:r/>
            <w:r>
              <w:rPr>
                <w:rFonts w:ascii="Noto Sans CJK SC" w:hAnsi="Noto Sans CJK SC" w:eastAsia="Noto Sans CJK SC"/>
                <w:b w:val="0"/>
                <w:sz w:val="16"/>
              </w:rPr>
              <w:t>联运跟踪</w:t>
            </w:r>
          </w:p>
        </w:tc>
        <w:tc>
          <w:tcPr>
            <w:tcW w:type="dxa" w:w="7937"/>
            <w:vAlign w:val="center"/>
          </w:tcPr>
          <w:p>
            <w:pPr>
              <w:pStyle w:val="TableText"/>
            </w:pPr>
            <w:r/>
            <w:r>
              <w:rPr>
                <w:rFonts w:ascii="Noto Sans CJK SC" w:hAnsi="Noto Sans CJK SC" w:eastAsia="Noto Sans CJK SC"/>
                <w:b w:val="0"/>
                <w:sz w:val="16"/>
              </w:rPr>
              <w:t>列表 + 地图/时间轴双视图。详情左侧展示业务和任务树，中间地图/路线，右侧展示当前状态、ETA、异常、执行对象和最新反馈；物流运营商拥有“执行编排/派车”操作。</w:t>
            </w:r>
          </w:p>
        </w:tc>
      </w:tr>
    </w:tbl>
    <w:p/>
    <w:tbl>
      <w:tblPr>
        <w:tblStyle w:val="TableGrid"/>
        <w:tblW w:type="auto" w:w="0"/>
        <w:jc w:val="center"/>
        <w:tblLook w:firstColumn="1" w:firstRow="1" w:lastColumn="0" w:lastRow="0" w:noHBand="0" w:noVBand="1" w:val="04A0"/>
      </w:tblPr>
      <w:tblGrid>
        <w:gridCol w:w="10312"/>
      </w:tblGrid>
      <w:tr>
        <w:tc>
          <w:tcPr>
            <w:tcW w:type="dxa" w:w="10312"/>
            <w:shd w:fill="F8F8F8"/>
          </w:tcPr>
          <w:p>
            <w:pPr>
              <w:spacing w:after="60"/>
            </w:pPr>
            <w:r/>
            <w:r>
              <w:rPr>
                <w:rFonts w:ascii="Noto Sans CJK SC" w:hAnsi="Noto Sans CJK SC" w:eastAsia="Noto Sans CJK SC"/>
                <w:b/>
                <w:color w:val="A00014"/>
                <w:sz w:val="21"/>
              </w:rPr>
              <w:t>菜单控制原则</w:t>
            </w:r>
          </w:p>
          <w:p>
            <w:pPr>
              <w:pStyle w:val="TableText"/>
              <w:spacing w:after="0"/>
            </w:pPr>
            <w:r>
              <w:rPr>
                <w:sz w:val="18"/>
              </w:rPr>
              <w:t>二级菜单保持 3 个即可，不再把“司机管理、车辆管理、执行反馈、任务下发”等继续拆成二级菜单，这些都属于“联运跟踪”页面内操作。这样能避免菜单过细，也与前面供需、方案、合同模块的层级保持一致。</w:t>
            </w:r>
          </w:p>
        </w:tc>
      </w:tr>
    </w:tbl>
    <w:p/>
    <w:p>
      <w:pPr>
        <w:pStyle w:val="Heading1"/>
      </w:pPr>
      <w:r>
        <w:t>10  验收要点</w:t>
      </w:r>
    </w:p>
    <w:p>
      <w:pPr>
        <w:pStyle w:val="ListBullet"/>
        <w:spacing w:after="40"/>
      </w:pPr>
      <w:r>
        <w:rPr>
          <w:rFonts w:ascii="Noto Sans CJK SC" w:hAnsi="Noto Sans CJK SC" w:eastAsia="Noto Sans CJK SC"/>
          <w:sz w:val="20"/>
        </w:rPr>
        <w:t>合同未生效的业务不得下发正式执行任务；合同生效后可自动生成联运业务。</w:t>
      </w:r>
    </w:p>
    <w:p>
      <w:pPr>
        <w:pStyle w:val="ListBullet"/>
        <w:spacing w:after="40"/>
      </w:pPr>
      <w:r>
        <w:rPr>
          <w:rFonts w:ascii="Noto Sans CJK SC" w:hAnsi="Noto Sans CJK SC" w:eastAsia="Noto Sans CJK SC"/>
          <w:sz w:val="20"/>
        </w:rPr>
        <w:t>联运组织管理必须同时支持“使用多式联运运单”和“不使用多式联运运单”两类业务，且数据结构和页面呈现可明确区分。</w:t>
      </w:r>
    </w:p>
    <w:p>
      <w:pPr>
        <w:pStyle w:val="ListBullet"/>
        <w:spacing w:after="40"/>
      </w:pPr>
      <w:r>
        <w:rPr>
          <w:rFonts w:ascii="Noto Sans CJK SC" w:hAnsi="Noto Sans CJK SC" w:eastAsia="Noto Sans CJK SC"/>
          <w:sz w:val="20"/>
        </w:rPr>
        <w:t>一单制联运能够通过一个多式联运运单关联公路、铁路、水运等分段任务及相关单据。</w:t>
      </w:r>
    </w:p>
    <w:p>
      <w:pPr>
        <w:pStyle w:val="ListBullet"/>
        <w:spacing w:after="40"/>
      </w:pPr>
      <w:r>
        <w:rPr>
          <w:rFonts w:ascii="Noto Sans CJK SC" w:hAnsi="Noto Sans CJK SC" w:eastAsia="Noto Sans CJK SC"/>
          <w:sz w:val="20"/>
        </w:rPr>
        <w:t>传统联运在没有多式联运运单时，仍能通过统一联运业务编号/运输委托保持各分段任务连续关联。</w:t>
      </w:r>
    </w:p>
    <w:p>
      <w:pPr>
        <w:pStyle w:val="ListBullet"/>
        <w:spacing w:after="40"/>
      </w:pPr>
      <w:r>
        <w:rPr>
          <w:rFonts w:ascii="Noto Sans CJK SC" w:hAnsi="Noto Sans CJK SC" w:eastAsia="Noto Sans CJK SC"/>
          <w:sz w:val="20"/>
        </w:rPr>
        <w:t>散货且“需要散改集=是”的运输需求可以自动进入散改集待处理范围；其他业务不得误进入。</w:t>
      </w:r>
    </w:p>
    <w:p>
      <w:pPr>
        <w:pStyle w:val="ListBullet"/>
        <w:spacing w:after="40"/>
      </w:pPr>
      <w:r>
        <w:rPr>
          <w:rFonts w:ascii="Noto Sans CJK SC" w:hAnsi="Noto Sans CJK SC" w:eastAsia="Noto Sans CJK SC"/>
          <w:sz w:val="20"/>
        </w:rPr>
        <w:t>散改集必须支持一批多车、一批多箱、多箱多航次，并能够从粮食批次追溯到车辆、箱号、船舶/航次。</w:t>
      </w:r>
    </w:p>
    <w:p>
      <w:pPr>
        <w:pStyle w:val="ListBullet"/>
        <w:spacing w:after="40"/>
      </w:pPr>
      <w:r>
        <w:rPr>
          <w:rFonts w:ascii="Noto Sans CJK SC" w:hAnsi="Noto Sans CJK SC" w:eastAsia="Noto Sans CJK SC"/>
          <w:sz w:val="20"/>
        </w:rPr>
        <w:t>集装箱公路执行可按箱号配置车辆和司机；散货可按粮食批次维护多辆车/司机及各车运输数量。</w:t>
      </w:r>
    </w:p>
    <w:p>
      <w:pPr>
        <w:pStyle w:val="ListBullet"/>
        <w:spacing w:after="40"/>
      </w:pPr>
      <w:r>
        <w:rPr>
          <w:rFonts w:ascii="Noto Sans CJK SC" w:hAnsi="Noto Sans CJK SC" w:eastAsia="Noto Sans CJK SC"/>
          <w:sz w:val="20"/>
        </w:rPr>
        <w:t>物流运营商完成司机/车辆配置后，司机小程序能够收到对应任务并进行接收/确认。</w:t>
      </w:r>
    </w:p>
    <w:p>
      <w:pPr>
        <w:pStyle w:val="ListBullet"/>
        <w:spacing w:after="40"/>
      </w:pPr>
      <w:r>
        <w:rPr>
          <w:rFonts w:ascii="Noto Sans CJK SC" w:hAnsi="Noto Sans CJK SC" w:eastAsia="Noto Sans CJK SC"/>
          <w:sz w:val="20"/>
        </w:rPr>
        <w:t>司机小程序能够反馈装货、发运、在途、到达、卸货、签收及异常信息，并同步至 PC 端。</w:t>
      </w:r>
    </w:p>
    <w:p>
      <w:pPr>
        <w:pStyle w:val="ListBullet"/>
        <w:spacing w:after="40"/>
      </w:pPr>
      <w:r>
        <w:rPr>
          <w:rFonts w:ascii="Noto Sans CJK SC" w:hAnsi="Noto Sans CJK SC" w:eastAsia="Noto Sans CJK SC"/>
          <w:sz w:val="20"/>
        </w:rPr>
        <w:t>联运跟踪能够统一展示公路、铁路、水运执行信息及关键节点时间轴，并关联单据与异常。</w:t>
      </w:r>
    </w:p>
    <w:p>
      <w:pPr>
        <w:pStyle w:val="ListBullet"/>
        <w:spacing w:after="40"/>
      </w:pPr>
      <w:r>
        <w:rPr>
          <w:rFonts w:ascii="Noto Sans CJK SC" w:hAnsi="Noto Sans CJK SC" w:eastAsia="Noto Sans CJK SC"/>
          <w:sz w:val="20"/>
        </w:rPr>
        <w:t>粮食贸易企业、物流运营商和平台运营方均可访问三个二级菜单，但按业务参与范围控制数据权限；平台运营方可查看全量。</w:t>
      </w:r>
    </w:p>
    <w:p>
      <w:pPr>
        <w:pStyle w:val="ListBullet"/>
        <w:spacing w:after="40"/>
      </w:pPr>
      <w:r>
        <w:rPr>
          <w:rFonts w:ascii="Noto Sans CJK SC" w:hAnsi="Noto Sans CJK SC" w:eastAsia="Noto Sans CJK SC"/>
          <w:sz w:val="20"/>
        </w:rPr>
        <w:t>联运执行结果可继续向运行监测、预测预警、EPCIS事件链和对账结算提供数据。</w:t>
      </w:r>
    </w:p>
    <w:p>
      <w:pPr>
        <w:pStyle w:val="Heading1"/>
      </w:pPr>
      <w:r>
        <w:t>11  最终业务闭环</w:t>
      </w:r>
    </w:p>
    <w:p>
      <w:r>
        <w:t>本模块最终形成以下闭环：</w:t>
      </w:r>
    </w:p>
    <w:tbl>
      <w:tblPr>
        <w:tblStyle w:val="TableGrid"/>
        <w:tblW w:type="auto" w:w="0"/>
        <w:jc w:val="center"/>
        <w:tblLook w:firstColumn="1" w:firstRow="1" w:lastColumn="0" w:lastRow="0" w:noHBand="0" w:noVBand="1" w:val="04A0"/>
      </w:tblPr>
      <w:tblGrid>
        <w:gridCol w:w="10312"/>
      </w:tblGrid>
      <w:tr>
        <w:tc>
          <w:tcPr>
            <w:tcW w:type="dxa" w:w="10312"/>
            <w:shd w:fill="EEF6FF"/>
          </w:tcPr>
          <w:p>
            <w:pPr>
              <w:spacing w:after="60"/>
            </w:pPr>
            <w:r/>
            <w:r>
              <w:rPr>
                <w:rFonts w:ascii="Noto Sans CJK SC" w:hAnsi="Noto Sans CJK SC" w:eastAsia="Noto Sans CJK SC"/>
                <w:b/>
                <w:color w:val="A00014"/>
                <w:sz w:val="21"/>
              </w:rPr>
              <w:t>完整流程</w:t>
            </w:r>
          </w:p>
          <w:p>
            <w:pPr>
              <w:pStyle w:val="TableText"/>
              <w:spacing w:after="0"/>
            </w:pPr>
            <w:r>
              <w:rPr>
                <w:sz w:val="18"/>
              </w:rPr>
              <w:t>运输需求/完整方案 → 供需匹配成交 → 合同签署生效 → 联运组织（选择一单制或传统联运） → 如需散改集则完成批次—车辆—集装箱—船舶/航次关联 → 物流运营商配置执行车辆/司机 → 小程序下发任务 → 司机接单并执行 → PC端联运跟踪 → 关键节点/异常/单据持续回传 → 全部任务完成 → 对账结算与运行分析。</w:t>
            </w:r>
          </w:p>
        </w:tc>
      </w:tr>
    </w:tbl>
    <w:p/>
    <w:p>
      <w:r>
        <w:t>其中，“联运组织管理”负责回答“这单业务按什么组织方式执行”，“散改集管理”负责回答“散货转箱后对象关系如何连续”，“联运跟踪”负责回答“实际是谁在运、运到哪、发生了什么”。三者共同承接前端撮合成交并形成真实运输执行闭环。</w:t>
      </w:r>
    </w:p>
    <w:sectPr w:rsidR="00FC693F" w:rsidRPr="0006063C" w:rsidSect="00034616">
      <w:footerReference w:type="default" r:id="rId9"/>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 xml:space="preserve">智能多式联运物流数据系统 · 多式联运服务管理需求规格说明  |  第 </w:t>
    </w:r>
    <w:fldSimple w:instr="PAGE">
      <w:r>
        <w:t>1</w:t>
      </w:r>
    </w:fldSimple>
    <w:r>
      <w:rPr>
        <w:color w:val="787878"/>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oto Sans CJK SC" w:hAnsi="Noto Sans CJK SC" w:eastAsia="Noto Sans CJK SC"/>
      <w:b/>
      <w:bCs/>
      <w:color w:val="B40014"/>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SC" w:hAnsi="Noto Sans CJK SC" w:eastAsia="Noto Sans CJK SC"/>
      <w:b/>
      <w:bCs/>
      <w:color w:val="3232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E1E1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after="0" w:line="240" w:lineRule="auto"/>
    </w:pPr>
    <w:rPr>
      <w:rFonts w:ascii="Noto Sans CJK SC" w:hAnsi="Noto Sans CJK SC" w:eastAsia="Noto Sans CJK SC"/>
      <w:sz w:val="17"/>
    </w:rPr>
  </w:style>
  <w:style w:type="paragraph" w:customStyle="1" w:styleId="Note">
    <w:name w:val="Note"/>
    <w:pPr>
      <w:ind w:left="255" w:right="255"/>
    </w:pPr>
    <w:rPr>
      <w:rFonts w:ascii="Noto Sans CJK SC" w:hAnsi="Noto Sans CJK SC" w:eastAsia="Noto Sans CJK SC"/>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