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center"/>
      </w:pPr>
      <w:r>
        <w:rPr>
          <w:rFonts w:ascii="Noto Sans CJK SC" w:hAnsi="Noto Sans CJK SC" w:eastAsia="Noto Sans CJK SC"/>
          <w:b/>
          <w:color w:val="C00000"/>
          <w:sz w:val="44"/>
        </w:rPr>
        <w:t>智能多式联运物流数据系统</w:t>
      </w:r>
    </w:p>
    <w:p>
      <w:pPr>
        <w:jc w:val="center"/>
      </w:pPr>
      <w:r>
        <w:rPr>
          <w:rFonts w:ascii="Noto Sans CJK SC" w:hAnsi="Noto Sans CJK SC" w:eastAsia="Noto Sans CJK SC"/>
          <w:b/>
          <w:sz w:val="46"/>
        </w:rPr>
        <w:t>微信小程序、系统管理、AI智能体中心</w:t>
        <w:br/>
        <w:t>数据要素产品需求规格说明</w:t>
      </w:r>
    </w:p>
    <w:p>
      <w:pPr>
        <w:spacing w:before="200"/>
        <w:jc w:val="center"/>
      </w:pPr>
      <w:r>
        <w:rPr>
          <w:color w:val="595959"/>
          <w:sz w:val="23"/>
        </w:rPr>
        <w:t>V1.0｜与供需、合同、联运组织、全程可视化和对账结算衔接</w:t>
      </w:r>
    </w:p>
    <w:p>
      <w:r>
        <w:br/>
      </w:r>
    </w:p>
    <w:tbl>
      <w:tblPr>
        <w:tblW w:type="auto" w:w="0"/>
        <w:jc w:val="center"/>
        <w:tblLook w:firstColumn="1" w:firstRow="1" w:lastColumn="0" w:lastRow="0" w:noHBand="0" w:noVBand="1" w:val="04A0"/>
      </w:tblPr>
      <w:tblGrid>
        <w:gridCol w:w="10200"/>
      </w:tblGrid>
      <w:tr>
        <w:tc>
          <w:tcPr>
            <w:tcW w:type="dxa" w:w="10200"/>
            <w:shd w:fill="F7F7F7"/>
            <w:tcMar>
              <w:top w:w="110" w:type="dxa"/>
              <w:start w:w="120" w:type="dxa"/>
              <w:bottom w:w="110" w:type="dxa"/>
              <w:end w:w="120" w:type="dxa"/>
            </w:tcMar>
            <w:tcBorders>
              <w:top w:val="single" w:sz="10" w:color="C00000"/>
              <w:bottom w:val="single" w:sz="4" w:color="D9D9D9"/>
              <w:left w:val="single" w:sz="4" w:color="D9D9D9"/>
              <w:right w:val="single" w:sz="4" w:color="D9D9D9"/>
            </w:tcBorders>
          </w:tcPr>
          <w:p>
            <w:r>
              <w:rPr>
                <w:b/>
                <w:color w:val="C00000"/>
              </w:rPr>
              <w:t xml:space="preserve">本版范围  </w:t>
            </w:r>
            <w:r>
              <w:t>本需求规格以现有智能多式联运物流数据系统需求规格为基础，并结合前序已确定的三类PC端角色和联运执行流程进行收口：微信小程序仅供司机使用；AI智能体中心对粮食贸易企业、物流运营商、平台运营方开放，但本期不建设模型管理和模型监控；数据要素产品仅对平台运营方可见。</w:t>
            </w:r>
          </w:p>
        </w:tc>
      </w:tr>
    </w:tbl>
    <w:p>
      <w:pPr>
        <w:spacing w:after="0"/>
      </w:pPr>
    </w:p>
    <w:p>
      <w:pPr>
        <w:pStyle w:val="Heading1"/>
      </w:pPr>
      <w:r>
        <w:t>1. 总体设计</w:t>
      </w:r>
    </w:p>
    <w:p>
      <w:pPr>
        <w:pStyle w:val="Heading2"/>
      </w:pPr>
      <w:r>
        <w:t>1.1 与前序业务的关系</w:t>
      </w:r>
    </w:p>
    <w:p>
      <w:pPr>
        <w:spacing w:line="324" w:lineRule="auto" w:after="100"/>
        <w:ind w:firstLine="420"/>
      </w:pPr>
      <w:r>
        <w:t>本次四个模块不是独立业务链，而是对前序运输供需、方案求解、供需匹配、合同、多式联运组织、全程可视化和对账结算的执行支撑、智能辅助与平台运营能力补充。司机小程序承接物流运营商在PC端完成的任务编排；AI智能体在方案求解、运输跟踪、预测预警、单据处理等场景被动调用或由用户主动使用；系统管理提供统一账号、角色、权限和基础配置；数据要素产品将系统沉淀的数据资源进行产品化管理。</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835"/>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前序业务</w:t>
            </w:r>
          </w:p>
        </w:tc>
        <w:tc>
          <w:tcPr>
            <w:tcW w:type="dxa" w:w="6350"/>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与本次模块的衔接</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运输需求/多式联运方案</w:t>
            </w:r>
          </w:p>
        </w:tc>
        <w:tc>
          <w:tcPr>
            <w:tcW w:type="dxa" w:w="6350"/>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AI联运方案求解可直接使用需求和线路价格等数据；运输结果可继续沉淀为数据产品素材</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供需匹配/合同管理</w:t>
            </w:r>
          </w:p>
        </w:tc>
        <w:tc>
          <w:tcPr>
            <w:tcW w:type="dxa" w:w="6350"/>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确认承运关系与合同后，物流运营商进入联运组织并配置司机；账号和主体信息由系统管理提供</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多式联运服务管理</w:t>
            </w:r>
          </w:p>
        </w:tc>
        <w:tc>
          <w:tcPr>
            <w:tcW w:type="dxa" w:w="6350"/>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PC端配置运输任务、批次、车辆、司机、箱号等后，将司机对应任务同步至微信小程序</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运输全程可视化</w:t>
            </w:r>
          </w:p>
        </w:tc>
        <w:tc>
          <w:tcPr>
            <w:tcW w:type="dxa" w:w="6350"/>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小程序执行反馈、GPS/位置、节点状态、异常和单据同步回PC端；ETA、港口拥堵和环境异常智能体为可视化提供预测分析</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对账结算</w:t>
            </w:r>
          </w:p>
        </w:tc>
        <w:tc>
          <w:tcPr>
            <w:tcW w:type="dxa" w:w="6350"/>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实际执行数量、任务完成状态和相关单据作为账单、对账和结算依据；单据识别智能体可辅助结构化处理</w:t>
            </w:r>
          </w:p>
        </w:tc>
      </w:tr>
    </w:tbl>
    <w:p>
      <w:pPr>
        <w:spacing w:after="0"/>
      </w:pPr>
    </w:p>
    <w:p>
      <w:pPr>
        <w:pStyle w:val="Heading2"/>
      </w:pPr>
      <w:r>
        <w:t>1.2 角色口径</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角色</w:t>
            </w:r>
          </w:p>
        </w:tc>
        <w:tc>
          <w:tcPr>
            <w:tcW w:type="dxa" w:w="175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使用终端</w:t>
            </w:r>
          </w:p>
        </w:tc>
        <w:tc>
          <w:tcPr>
            <w:tcW w:type="dxa" w:w="5613"/>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本次模块权限</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粮食贸易企业</w:t>
            </w:r>
          </w:p>
        </w:tc>
        <w:tc>
          <w:tcPr>
            <w:tcW w:type="dxa" w:w="175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w:t>
            </w:r>
          </w:p>
        </w:tc>
        <w:tc>
          <w:tcPr>
            <w:tcW w:type="dxa" w:w="561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可使用AI智能体中心；不使用司机小程序；不进入数据要素产品后台</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物流运营商</w:t>
            </w:r>
          </w:p>
        </w:tc>
        <w:tc>
          <w:tcPr>
            <w:tcW w:type="dxa" w:w="175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w:t>
            </w:r>
          </w:p>
        </w:tc>
        <w:tc>
          <w:tcPr>
            <w:tcW w:type="dxa" w:w="561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可使用AI智能体中心；在联运组织中配置司机并向司机小程序下发任务</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c>
          <w:tcPr>
            <w:tcW w:type="dxa" w:w="175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w:t>
            </w:r>
          </w:p>
        </w:tc>
        <w:tc>
          <w:tcPr>
            <w:tcW w:type="dxa" w:w="561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使用系统管理、AI智能体中心和数据要素产品；可查看平台范围运营数据</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w:t>
            </w:r>
          </w:p>
        </w:tc>
        <w:tc>
          <w:tcPr>
            <w:tcW w:type="dxa" w:w="175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w:t>
            </w:r>
          </w:p>
        </w:tc>
        <w:tc>
          <w:tcPr>
            <w:tcW w:type="dxa" w:w="561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仅使用司机端小程序，接收已分配任务并反馈运输执行信息；不进入PC端业务后台</w:t>
            </w:r>
          </w:p>
        </w:tc>
      </w:tr>
    </w:tbl>
    <w:p>
      <w:pPr>
        <w:spacing w:after="0"/>
      </w:pPr>
    </w:p>
    <w:p>
      <w:pPr>
        <w:pStyle w:val="Heading2"/>
      </w:pPr>
      <w:r>
        <w:t>1.3 建议功能结构</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204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模块</w:t>
            </w:r>
          </w:p>
        </w:tc>
        <w:tc>
          <w:tcPr>
            <w:tcW w:type="dxa" w:w="5102"/>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建议页面/二级功能</w:t>
            </w:r>
          </w:p>
        </w:tc>
        <w:tc>
          <w:tcPr>
            <w:tcW w:type="dxa" w:w="204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可见角色</w:t>
            </w:r>
          </w:p>
        </w:tc>
      </w:tr>
      <w:tr>
        <w:trPr>
          <w:cantSplit w:val="true"/>
        </w:trPr>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微信小程序（司机端）</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我的任务、任务执行、单据上传、异常反馈、消息/个人信息</w:t>
            </w:r>
          </w:p>
        </w:tc>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w:t>
            </w:r>
          </w:p>
        </w:tc>
      </w:tr>
      <w:tr>
        <w:trPr>
          <w:cantSplit w:val="true"/>
        </w:trPr>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系统管理</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用户管理、角色权限、数据字典、合作主体、日志管理</w:t>
            </w:r>
          </w:p>
        </w:tc>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r>
      <w:tr>
        <w:trPr>
          <w:cantSplit w:val="true"/>
        </w:trPr>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AI智能体中心</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单一入口，页面内以智能体卡片/对话工作台使用：ETA预测、港口拥堵、环境异常、智能问踪、单据识别、联运方案求解</w:t>
            </w:r>
          </w:p>
        </w:tc>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粮食贸易企业、物流运营商、平台运营方</w:t>
            </w:r>
          </w:p>
        </w:tc>
      </w:tr>
      <w:tr>
        <w:trPr>
          <w:cantSplit w:val="true"/>
        </w:trPr>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数据要素产品</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产品目录、授权管理、订阅调用、专题应用</w:t>
            </w:r>
          </w:p>
        </w:tc>
        <w:tc>
          <w:tcPr>
            <w:tcW w:type="dxa" w:w="204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r>
    </w:tbl>
    <w:p>
      <w:pPr>
        <w:spacing w:after="0"/>
      </w:pPr>
    </w:p>
    <w:p>
      <w:pPr>
        <w:pStyle w:val="Heading1"/>
      </w:pPr>
      <w:r>
        <w:t>2. 微信小程序（司机端）</w:t>
      </w:r>
    </w:p>
    <w:p>
      <w:pPr>
        <w:pStyle w:val="Heading2"/>
      </w:pPr>
      <w:r>
        <w:t>2.1 功能定位</w:t>
      </w:r>
    </w:p>
    <w:p>
      <w:pPr>
        <w:spacing w:line="324" w:lineRule="auto" w:after="100"/>
        <w:ind w:firstLine="420"/>
      </w:pPr>
      <w:r>
        <w:t>微信小程序作为公路运输司机的移动执行入口，不承担运输任务创建、运输批次创建、车辆司机编排以及铁路、水运业务信息维护。物流运营商在PC端“多式联运服务管理—联运组织/联运跟踪”中完成运输任务、批次、车辆和司机配置后，系统按照司机手机号/账号将对应任务同步至司机小程序。</w:t>
      </w:r>
    </w:p>
    <w:p>
      <w:pPr>
        <w:spacing w:line="324" w:lineRule="auto" w:after="100"/>
        <w:ind w:firstLine="420"/>
      </w:pPr>
      <w:r>
        <w:t>对于集装箱运输，物流运营商应在PC端建立“集装箱—车辆—司机”对应关系，司机在小程序中接收与具体箱号关联的任务；对于散货运输，则按照“粮食批次—车辆—司机”关系下发，司机看到本人车辆承担的批次运输任务。司机仅对本人被分配的运输任务进行确认和执行反馈。</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角色</w:t>
            </w:r>
          </w:p>
        </w:tc>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可见性</w:t>
            </w:r>
          </w:p>
        </w:tc>
        <w:tc>
          <w:tcPr>
            <w:tcW w:type="dxa" w:w="5102"/>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权限范围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w:t>
            </w:r>
          </w:p>
        </w:tc>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唯一可见角色</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仅查看本人已分配任务；执行状态、位置、异常、回单等信息可回传PC端并被对应贸易企业、物流运营商、平台运营方按权限查看。</w:t>
            </w:r>
          </w:p>
        </w:tc>
      </w:tr>
    </w:tbl>
    <w:p>
      <w:pPr>
        <w:spacing w:after="0"/>
      </w:pPr>
    </w:p>
    <w:p>
      <w:pPr>
        <w:pStyle w:val="Heading2"/>
      </w:pPr>
      <w:r>
        <w:t>2.2 我的任务</w:t>
      </w:r>
    </w:p>
    <w:p>
      <w:pPr>
        <w:spacing w:line="324" w:lineRule="auto" w:after="100"/>
        <w:ind w:firstLine="420"/>
      </w:pPr>
      <w:r>
        <w:t>我的任务集中展示物流运营商已下发给当前司机的运输任务，支持按待确认、待执行、执行中、已完成、异常等状态查询。司机不得自行新增运输任务或修改货主、承运主体、起讫地、箱号等核心业务字段。</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任务标识</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运输任务编号、业务编号/联运运单号、运输批次编号、任务来源</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货物信息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粮食品种、粮食批次、计划运输数量、装载方式（散货/集装箱）</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集装箱信息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箱号、箱型、封志号（适用时）</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车辆司机</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车牌号、车辆类型、司机姓名、司机手机号</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起讫信息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装货地点、卸货地点、计划线路/导航参考、联系人及联系电话</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时间信息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计划装货时间、计划发运时间、要求到达时间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状态信息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待确认、待装货、运输中、已到达、待签收、已完成、异常</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物流运营商、粮食贸易企业、合同编号（只读）、运输要求/备注</w:t>
            </w:r>
          </w:p>
        </w:tc>
      </w:tr>
    </w:tbl>
    <w:p>
      <w:pPr>
        <w:spacing w:after="0"/>
      </w:pPr>
    </w:p>
    <w:p>
      <w:pPr>
        <w:pStyle w:val="Heading2"/>
      </w:pPr>
      <w:r>
        <w:t>2.3 任务接收与确认</w:t>
      </w:r>
    </w:p>
    <w:p>
      <w:pPr>
        <w:spacing w:line="324" w:lineRule="auto" w:after="100"/>
        <w:ind w:firstLine="420"/>
      </w:pPr>
      <w:r>
        <w:t>司机首次进入任务详情后可执行“确认任务”。确认前重点核对车牌号、箱号或批次、装货地点、卸货地点、计划时间等信息。若任务信息与实际不符，司机可选择“信息有误”并填写问题说明，由PC端物流运营商处理后重新下发；司机不能直接修改PC端任务主数据。</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38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操作</w:t>
            </w:r>
          </w:p>
        </w:tc>
        <w:tc>
          <w:tcPr>
            <w:tcW w:type="dxa" w:w="6803"/>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系统处理</w:t>
            </w:r>
          </w:p>
        </w:tc>
      </w:tr>
      <w:tr>
        <w:trPr>
          <w:cantSplit w:val="true"/>
        </w:trPr>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确认任务</w:t>
            </w:r>
          </w:p>
        </w:tc>
        <w:tc>
          <w:tcPr>
            <w:tcW w:type="dxa" w:w="680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记录确认人、确认时间，任务进入待执行状态</w:t>
            </w:r>
          </w:p>
        </w:tc>
      </w:tr>
      <w:tr>
        <w:trPr>
          <w:cantSplit w:val="true"/>
        </w:trPr>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信息有误</w:t>
            </w:r>
          </w:p>
        </w:tc>
        <w:tc>
          <w:tcPr>
            <w:tcW w:type="dxa" w:w="680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记录问题类型、问题说明和图片，可回传物流运营商处理</w:t>
            </w:r>
          </w:p>
        </w:tc>
      </w:tr>
      <w:tr>
        <w:trPr>
          <w:cantSplit w:val="true"/>
        </w:trPr>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查看联系信息</w:t>
            </w:r>
          </w:p>
        </w:tc>
        <w:tc>
          <w:tcPr>
            <w:tcW w:type="dxa" w:w="680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展示装货/卸货联系人及联系方式</w:t>
            </w:r>
          </w:p>
        </w:tc>
      </w:tr>
      <w:tr>
        <w:trPr>
          <w:cantSplit w:val="true"/>
        </w:trPr>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查看任务路线</w:t>
            </w:r>
          </w:p>
        </w:tc>
        <w:tc>
          <w:tcPr>
            <w:tcW w:type="dxa" w:w="6803"/>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展示起讫地、关键节点及导航参考，不在小程序内重新规划联运方案</w:t>
            </w:r>
          </w:p>
        </w:tc>
      </w:tr>
    </w:tbl>
    <w:p>
      <w:pPr>
        <w:spacing w:after="0"/>
      </w:pPr>
    </w:p>
    <w:p>
      <w:pPr>
        <w:pStyle w:val="Heading2"/>
      </w:pPr>
      <w:r>
        <w:t>2.4 运输执行</w:t>
      </w:r>
    </w:p>
    <w:p>
      <w:pPr>
        <w:spacing w:line="324" w:lineRule="auto" w:after="100"/>
        <w:ind w:firstLine="420"/>
      </w:pPr>
      <w:r>
        <w:t>司机围绕公路运输实际流程持续反馈任务状态，形成可被PC端联运跟踪和运输全程可视化消费的执行事件。建议以操作按钮驱动状态推进，避免司机自由编辑状态值。</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170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执行节点</w:t>
            </w:r>
          </w:p>
        </w:tc>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司机操作</w:t>
            </w:r>
          </w:p>
        </w:tc>
        <w:tc>
          <w:tcPr>
            <w:tcW w:type="dxa" w:w="5216"/>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主要记录字段</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到达装货地</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到达装货地</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到达时间、当前位置、备注</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装货完成</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确认装货</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实际装货数量、装货时间、装货照片/磅单；集装箱任务可核对箱号/封志号</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发运</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开始运输</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实际发运时间、当前位置</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在途</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位置持续回传/手工节点反馈</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当前位置、更新时间、里程参考、任务状态</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到达卸货地</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确认到达</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实际到达时间、当前位置</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卸货完成</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确认卸货</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卸货时间、实际交付数量、异常差异说明</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签收完成</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提交签收</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签收时间、签收人、回单/签收单、备注</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任务完成</w:t>
            </w:r>
          </w:p>
        </w:tc>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确认完成</w:t>
            </w:r>
          </w:p>
        </w:tc>
        <w:tc>
          <w:tcPr>
            <w:tcW w:type="dxa" w:w="521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完成时间，回写PC端运输任务执行结果</w:t>
            </w:r>
          </w:p>
        </w:tc>
      </w:tr>
    </w:tbl>
    <w:p>
      <w:pPr>
        <w:spacing w:after="0"/>
      </w:pPr>
    </w:p>
    <w:p>
      <w:pPr>
        <w:pStyle w:val="Heading2"/>
      </w:pPr>
      <w:r>
        <w:t>2.5 单据上传</w:t>
      </w:r>
    </w:p>
    <w:p>
      <w:pPr>
        <w:spacing w:line="324" w:lineRule="auto" w:after="100"/>
        <w:ind w:firstLine="420"/>
      </w:pPr>
      <w:r>
        <w:t>司机可在任务执行节点上传与本人运输任务直接相关的业务凭证，如装货照片、过磅单、交接单、签收单和运输回单。上传后系统自动关联任务编号、批次、车辆、司机以及箱号（适用时），并可调用单据识别智能体识别关键字段；识别结果仅作为辅助，司机或PC端业务人员可进行人工确认。</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说明</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单据类型</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装货凭证、过磅单、交接单、签收单、运输回单、其他运输凭证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文件/图片</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支持拍照或本地选择</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关联任务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系统自动带入，不允许跨任务选择</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关联批次/箱号</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根据当前任务自动带入</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上传节点</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装货、在途、到达、卸货、签收等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识别结果</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单据号、数量、时间、地点等可识别字段，支持人工确认</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备注</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司机补充说明</w:t>
            </w:r>
          </w:p>
        </w:tc>
      </w:tr>
    </w:tbl>
    <w:p>
      <w:pPr>
        <w:spacing w:after="0"/>
      </w:pPr>
    </w:p>
    <w:p>
      <w:pPr>
        <w:pStyle w:val="Heading2"/>
      </w:pPr>
      <w:r>
        <w:t>2.6 异常反馈</w:t>
      </w:r>
    </w:p>
    <w:p>
      <w:pPr>
        <w:spacing w:line="324" w:lineRule="auto" w:after="100"/>
        <w:ind w:firstLine="420"/>
      </w:pPr>
      <w:r>
        <w:t>司机可在执行过程中主动上报车辆故障、道路拥堵/封闭、装卸等待、货物异常、任务信息不符、无法联系收发货方等异常。异常提交后同步至物流运营商PC端，并进入全程可视化的异常预警信息中。</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说明</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异常类型</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车辆故障、道路异常、节点等待、货物异常、联系异常、任务信息异常、其他</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异常时间/位置</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系统记录时间，可获取位置时自动带入</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异常说明</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文本描述</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影响判断</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是否影响继续运输、预计影响时长（司机可选填）</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附件</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现场照片/相关凭证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状态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已上报、处理中、已解除；处理状态主要由PC端维护</w:t>
            </w:r>
          </w:p>
        </w:tc>
      </w:tr>
    </w:tbl>
    <w:p>
      <w:pPr>
        <w:spacing w:after="0"/>
      </w:pPr>
    </w:p>
    <w:p>
      <w:pPr>
        <w:pStyle w:val="Heading2"/>
      </w:pPr>
      <w:r>
        <w:t>2.7 与PC端状态联动</w:t>
      </w:r>
    </w:p>
    <w:p>
      <w:pPr>
        <w:spacing w:line="324" w:lineRule="auto" w:after="100"/>
        <w:ind w:firstLine="420"/>
      </w:pPr>
      <w:r>
        <w:t>小程序每一次关键操作均形成标准执行事件并回传PC端：确认任务对应“已接收”，发运对应“已发运”，途中反馈对应“在途”，到达/卸货/签收对应相应节点完成。事件同时可进入运输EPCIS事件总线，为全程可视化、ETA预测、异常预警和后续对账提供一致的数据来源。</w:t>
      </w:r>
    </w:p>
    <w:p>
      <w:pPr>
        <w:pStyle w:val="Heading2"/>
      </w:pPr>
      <w:r>
        <w:t>2.8 功能目标</w:t>
      </w:r>
    </w:p>
    <w:p>
      <w:pPr>
        <w:spacing w:line="324" w:lineRule="auto" w:after="100"/>
        <w:ind w:firstLine="420"/>
      </w:pPr>
      <w:r>
        <w:t>实现“物流运营商PC端编排—司机移动端接收—现场执行反馈—PC端实时归集”的闭环，避免司机承担复杂后台配置工作，并确保一车一人、一箱一车或一批多车的实际执行关系能够持续追踪。</w:t>
      </w:r>
    </w:p>
    <w:p>
      <w:pPr>
        <w:pStyle w:val="Heading1"/>
      </w:pPr>
      <w:r>
        <w:t>3. 系统管理</w:t>
      </w:r>
    </w:p>
    <w:p>
      <w:pPr>
        <w:pStyle w:val="Heading2"/>
      </w:pPr>
      <w:r>
        <w:t>3.1 功能定位与权限</w:t>
      </w:r>
    </w:p>
    <w:p>
      <w:pPr>
        <w:spacing w:line="324" w:lineRule="auto" w:after="100"/>
        <w:ind w:firstLine="420"/>
      </w:pPr>
      <w:r>
        <w:t>系统管理用于维护平台账号体系、角色权限、通用字典、合作主体和操作日志，为前述所有业务模块提供统一基础配置。结合当前三角色体系，本版将系统管理作为平台运营后台能力，由平台运营方使用；粮食贸易企业和物流运营商通过业务模块使用平台配置结果，不直接维护全局权限和基础字典。</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角色</w:t>
            </w:r>
          </w:p>
        </w:tc>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可见性</w:t>
            </w:r>
          </w:p>
        </w:tc>
        <w:tc>
          <w:tcPr>
            <w:tcW w:type="dxa" w:w="5102"/>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权限范围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可见并可维护</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管理全平台用户、角色、权限、字典、合作主体和日志。粮食贸易企业、物流运营商不展示系统管理一级菜单。</w:t>
            </w:r>
          </w:p>
        </w:tc>
      </w:tr>
    </w:tbl>
    <w:p>
      <w:pPr>
        <w:spacing w:after="0"/>
      </w:pPr>
    </w:p>
    <w:p>
      <w:pPr>
        <w:pStyle w:val="Heading2"/>
      </w:pPr>
      <w:r>
        <w:t>3.2 用户管理</w:t>
      </w:r>
    </w:p>
    <w:p>
      <w:pPr>
        <w:spacing w:line="324" w:lineRule="auto" w:after="100"/>
        <w:ind w:firstLine="420"/>
      </w:pPr>
      <w:r>
        <w:t>对PC端粮食贸易企业、物流运营商、平台运营方账号及司机小程序账号进行统一管理，建立账号与企业主体、角色、联系方式和状态之间的关系。司机账号可由物流运营商业务配置触发创建/绑定，但最终账号基础信息纳入统一用户体系。</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账号信息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用户编号、登录账号、姓名、手机号、邮箱（可选）、用户状态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主体关系</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所属企业/主体、主体类型、所属部门（可选）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角色关系</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角色名称、角色类型、数据范围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司机扩展</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司机标识、驾驶证相关基础信息引用、所属物流运营商（适用时）</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安全信息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最近登录时间、密码重置状态、锁定状态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审计信息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创建人、创建时间、修改人、修改时间</w:t>
            </w:r>
          </w:p>
        </w:tc>
      </w:tr>
    </w:tbl>
    <w:p>
      <w:pPr>
        <w:spacing w:after="0"/>
      </w:pPr>
    </w:p>
    <w:p>
      <w:pPr>
        <w:pStyle w:val="Heading2"/>
      </w:pPr>
      <w:r>
        <w:t>3.3 角色与权限</w:t>
      </w:r>
    </w:p>
    <w:p>
      <w:pPr>
        <w:spacing w:line="324" w:lineRule="auto" w:after="100"/>
        <w:ind w:firstLine="420"/>
      </w:pPr>
      <w:r>
        <w:t>围绕粮食贸易企业、物流运营商、平台运营方以及司机四类使用身份配置功能权限和数据权限。PC端核心业务仍以三类角色为主，司机仅赋予小程序端任务执行权限。</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权限类别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配置内容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菜单权限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控制供需管理、多式联运方案、供需匹配、合同、联运服务、对账结算、全程可视化、AI中心、数据产品等入口</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操作权限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新增、编辑、发布、确认、导出、查看详情等操作</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本企业、本企业承运/发起业务、平台全部数据等范围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移动端权限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司机仅可查看本人任务、反馈执行、上传单据和异常</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特殊权限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系统管理、数据要素产品等仅平台运营方使用</w:t>
            </w:r>
          </w:p>
        </w:tc>
      </w:tr>
    </w:tbl>
    <w:p>
      <w:pPr>
        <w:spacing w:after="0"/>
      </w:pPr>
    </w:p>
    <w:p>
      <w:pPr>
        <w:pStyle w:val="Heading2"/>
      </w:pPr>
      <w:r>
        <w:t>3.4 数据字典</w:t>
      </w:r>
    </w:p>
    <w:p>
      <w:pPr>
        <w:spacing w:line="324" w:lineRule="auto" w:after="100"/>
        <w:ind w:firstLine="420"/>
      </w:pPr>
      <w:r>
        <w:t>对各模块共用的枚举值和编码进行统一维护，减少不同页面同一概念出现不同口径。</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字典类别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示例</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运输业务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运输方式、装载方式、粮食品种/货物类型、任务状态、匹配状态、合同状态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执行状态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待确认、待发运、在途、中转、到达、完成等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风险异常</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异常类型、风险等级、预警状态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单据资料</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单据类型、附件类型</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费用与结算</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费用类别、结算状态、结算方式</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数据产品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产品主题、服务方式、更新频率、授权状态</w:t>
            </w:r>
          </w:p>
        </w:tc>
      </w:tr>
    </w:tbl>
    <w:p>
      <w:pPr>
        <w:spacing w:after="0"/>
      </w:pPr>
    </w:p>
    <w:p>
      <w:pPr>
        <w:pStyle w:val="Heading2"/>
      </w:pPr>
      <w:r>
        <w:t>3.5 合作主体管理</w:t>
      </w:r>
    </w:p>
    <w:p>
      <w:pPr>
        <w:spacing w:line="324" w:lineRule="auto" w:after="100"/>
        <w:ind w:firstLine="420"/>
      </w:pPr>
      <w:r>
        <w:t>建立参与平台业务的粮食贸易企业、物流运营商及相关合作主体档案，为供需匹配、合同签署、联运组织、对账结算和数据权限提供统一主体标识。</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主体基础</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主体编号、主体名称、主体类型、统一社会信用代码、状态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联系人</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联系人、联系电话、联系地址</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物流能力</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服务区域、运输方式、运输能力、资源说明（物流运营商适用）</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资质资料</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企业资质名称、有效期、附件</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合作状态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待启用、正常、暂停、终止</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关联统计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发布需求/供给数、承运任务数等仅作为后台参考</w:t>
            </w:r>
          </w:p>
        </w:tc>
      </w:tr>
    </w:tbl>
    <w:p>
      <w:pPr>
        <w:spacing w:after="0"/>
      </w:pPr>
    </w:p>
    <w:p>
      <w:pPr>
        <w:pStyle w:val="Heading2"/>
      </w:pPr>
      <w:r>
        <w:t>3.6 日志管理</w:t>
      </w:r>
    </w:p>
    <w:p>
      <w:pPr>
        <w:spacing w:line="324" w:lineRule="auto" w:after="100"/>
        <w:ind w:firstLine="420"/>
      </w:pPr>
      <w:r>
        <w:t>统一记录关键业务操作、数据变更和接口调用，重点对供需发布、报价议价、合同签署、司机任务下发、账单确认、权限变更、数据授权等敏感操作留痕。</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说明</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日志类型</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登录日志、操作日志、数据变更日志、接口调用日志</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操作主体</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用户、所属主体、角色</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业务对象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模块、业务编号、对象类型</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操作内容</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新增/修改/删除/发布/确认/授权等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结果</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成功/失败及错误信息</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时间/IP</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操作时间、来源IP/终端信息（按技术可获取范围）</w:t>
            </w:r>
          </w:p>
        </w:tc>
      </w:tr>
    </w:tbl>
    <w:p>
      <w:pPr>
        <w:spacing w:after="0"/>
      </w:pPr>
    </w:p>
    <w:p>
      <w:pPr>
        <w:pStyle w:val="Heading2"/>
      </w:pPr>
      <w:r>
        <w:t>3.7 功能目标</w:t>
      </w:r>
    </w:p>
    <w:p>
      <w:pPr>
        <w:spacing w:line="324" w:lineRule="auto" w:after="100"/>
        <w:ind w:firstLine="420"/>
      </w:pPr>
      <w:r>
        <w:t>形成统一、可配置、可审计的平台基础管理体系，为所有业务模块提供一致账号、权限、主体、字典和操作留痕能力，减少各模块重复建设。</w:t>
      </w:r>
    </w:p>
    <w:p>
      <w:pPr>
        <w:pStyle w:val="Heading1"/>
      </w:pPr>
      <w:r>
        <w:t>4. AI智能体中心</w:t>
      </w:r>
    </w:p>
    <w:p>
      <w:pPr>
        <w:pStyle w:val="Heading2"/>
      </w:pPr>
      <w:r>
        <w:t>4.1 功能定位</w:t>
      </w:r>
    </w:p>
    <w:p>
      <w:pPr>
        <w:spacing w:line="324" w:lineRule="auto" w:after="100"/>
        <w:ind w:firstLine="420"/>
      </w:pPr>
      <w:r>
        <w:t>AI智能体中心作为系统统一智能入口，为粮食贸易企业、物流运营商和平台运营方提供面向运输方案、运输过程、风险分析和单据处理的辅助智能服务。智能体输出作为业务参考或辅助结果，不替代供需双方的业务确认、合同签署、运输调度和结算确认。</w:t>
      </w:r>
    </w:p>
    <w:tbl>
      <w:tblPr>
        <w:tblW w:type="auto" w:w="0"/>
        <w:jc w:val="center"/>
        <w:tblLook w:firstColumn="1" w:firstRow="1" w:lastColumn="0" w:lastRow="0" w:noHBand="0" w:noVBand="1" w:val="04A0"/>
      </w:tblPr>
      <w:tblGrid>
        <w:gridCol w:w="10200"/>
      </w:tblGrid>
      <w:tr>
        <w:tc>
          <w:tcPr>
            <w:tcW w:type="dxa" w:w="10200"/>
            <w:shd w:fill="F7F7F7"/>
            <w:tcMar>
              <w:top w:w="110" w:type="dxa"/>
              <w:start w:w="120" w:type="dxa"/>
              <w:bottom w:w="110" w:type="dxa"/>
              <w:end w:w="120" w:type="dxa"/>
            </w:tcMar>
            <w:tcBorders>
              <w:top w:val="single" w:sz="10" w:color="C00000"/>
              <w:bottom w:val="single" w:sz="4" w:color="D9D9D9"/>
              <w:left w:val="single" w:sz="4" w:color="D9D9D9"/>
              <w:right w:val="single" w:sz="4" w:color="D9D9D9"/>
            </w:tcBorders>
          </w:tcPr>
          <w:p>
            <w:r>
              <w:rPr>
                <w:b/>
                <w:color w:val="C00000"/>
              </w:rPr>
              <w:t xml:space="preserve">本期范围调整  </w:t>
            </w:r>
            <w:r>
              <w:t>依据当前建设要求，本期保留面向业务使用的智能体能力，不建设“模型管理”和“模型监控”前端功能。底层模型和算法服务的技术部署、运行维护由系统技术环境保障，不作为本期产品菜单。</w:t>
            </w:r>
          </w:p>
        </w:tc>
      </w:tr>
    </w:tbl>
    <w:p>
      <w:pPr>
        <w:spacing w:after="0"/>
      </w:pP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角色</w:t>
            </w:r>
          </w:p>
        </w:tc>
        <w:tc>
          <w:tcPr>
            <w:tcW w:type="dxa" w:w="238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可见性</w:t>
            </w:r>
          </w:p>
        </w:tc>
        <w:tc>
          <w:tcPr>
            <w:tcW w:type="dxa" w:w="4989"/>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数据范围</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粮食贸易企业</w:t>
            </w:r>
          </w:p>
        </w:tc>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可使用全部业务智能体</w:t>
            </w:r>
          </w:p>
        </w:tc>
        <w:tc>
          <w:tcPr>
            <w:tcW w:type="dxa" w:w="4989"/>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仅调用和查看本企业有权限的数据及公开基础数据</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物流运营商</w:t>
            </w:r>
          </w:p>
        </w:tc>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可使用全部业务智能体</w:t>
            </w:r>
          </w:p>
        </w:tc>
        <w:tc>
          <w:tcPr>
            <w:tcW w:type="dxa" w:w="4989"/>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仅调用和查看本企业承运/服务范围内有权限的数据及公开基础数据</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c>
          <w:tcPr>
            <w:tcW w:type="dxa" w:w="238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可使用全部业务智能体</w:t>
            </w:r>
          </w:p>
        </w:tc>
        <w:tc>
          <w:tcPr>
            <w:tcW w:type="dxa" w:w="4989"/>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可在平台权限范围内调用全量业务数据进行运营辅助分析</w:t>
            </w:r>
          </w:p>
        </w:tc>
      </w:tr>
    </w:tbl>
    <w:p>
      <w:pPr>
        <w:spacing w:after="0"/>
      </w:pPr>
    </w:p>
    <w:p>
      <w:pPr>
        <w:pStyle w:val="Heading2"/>
      </w:pPr>
      <w:r>
        <w:t>4.2 页面与交互设计</w:t>
      </w:r>
    </w:p>
    <w:p>
      <w:pPr>
        <w:spacing w:line="324" w:lineRule="auto" w:after="100"/>
        <w:ind w:firstLine="420"/>
      </w:pPr>
      <w:r>
        <w:t>建议AI智能体中心保持“一个入口”，不将每个智能体拆成独立一级/二级菜单。进入页面后通过智能体卡片、常用场景和对话工作台选择能力；从运输需求、方案、全程可视化、单据页面也可携带当前业务上下文直接唤起相应智能体。</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智能体</w:t>
            </w:r>
          </w:p>
        </w:tc>
        <w:tc>
          <w:tcPr>
            <w:tcW w:type="dxa" w:w="2835"/>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主要入口</w:t>
            </w:r>
          </w:p>
        </w:tc>
        <w:tc>
          <w:tcPr>
            <w:tcW w:type="dxa" w:w="4535"/>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典型输出</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ETA延误预测</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AI中心、全程跟踪、预测预警</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预计到达时间、剩余时长、剩余里程/航程、提前/延误风险、可信度/数据质量</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港口拥堵分析</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AI中心、水运专题、预测预警</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港口拥堵趋势、拥堵等级、预计等待时长、未来运行状态</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环境异常分析</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AI中心、预测预警、风险地图</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异常事件、受影响区域/线路/节点/任务、预计影响时间、风险提示</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智能问踪</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AI中心、全程可视化快捷入口</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自然语言查询结果、任务状态、位置、ETA、异常解释、运行摘要及页面穿透</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单据识别</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AI中心、合同/联运执行/对账相关上传页</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结构化字段、标准化结果、运单/任务关联建议、异常字段提示</w:t>
            </w:r>
          </w:p>
        </w:tc>
      </w:tr>
      <w:tr>
        <w:trPr>
          <w:cantSplit w:val="true"/>
        </w:trPr>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联运方案求解</w:t>
            </w:r>
          </w:p>
        </w:tc>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AI中心、多式联运方案求解页</w:t>
            </w:r>
          </w:p>
        </w:tc>
        <w:tc>
          <w:tcPr>
            <w:tcW w:type="dxa" w:w="45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候选方案、路径区段、预计费用、预计时效、综合评分、推荐依据</w:t>
            </w:r>
          </w:p>
        </w:tc>
      </w:tr>
    </w:tbl>
    <w:p>
      <w:pPr>
        <w:spacing w:after="0"/>
      </w:pPr>
    </w:p>
    <w:p>
      <w:pPr>
        <w:pStyle w:val="Heading2"/>
      </w:pPr>
      <w:r>
        <w:t>4.3 ETA延误预测智能体</w:t>
      </w:r>
    </w:p>
    <w:p>
      <w:pPr>
        <w:spacing w:line="324" w:lineRule="auto" w:after="100"/>
        <w:ind w:firstLine="420"/>
      </w:pPr>
      <w:r>
        <w:t>ETA延误预测同时覆盖公路车辆和海运船舶场景。公路侧结合运输任务、车辆GPS轨迹、道路路网和历史行车数据，输出预计到达时间、预计剩余行驶时长、剩余里程、当前运行状态和主要风险因素；水运侧结合船舶AIS、航次计划和历史航行记录，输出预计到港时间、剩余航行时长/航程、当前航行状态、预测区间、可信度和数据质量。</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2835"/>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输入</w:t>
            </w:r>
          </w:p>
        </w:tc>
        <w:tc>
          <w:tcPr>
            <w:tcW w:type="dxa" w:w="323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处理</w:t>
            </w:r>
          </w:p>
        </w:tc>
        <w:tc>
          <w:tcPr>
            <w:tcW w:type="dxa" w:w="311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输出</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运输任务、计划线路、计划到达时间、车辆GPS/船舶AIS、历史运行数据</w:t>
            </w:r>
          </w:p>
        </w:tc>
        <w:tc>
          <w:tcPr>
            <w:tcW w:type="dxa" w:w="323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识别当前位置/状态，结合历史同线路规律和实时变化动态预测</w:t>
            </w:r>
          </w:p>
        </w:tc>
        <w:tc>
          <w:tcPr>
            <w:tcW w:type="dxa" w:w="311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关键节点ETA、最终ETA、剩余时长、提前/延误状态、风险因素、可信度</w:t>
            </w:r>
          </w:p>
        </w:tc>
      </w:tr>
      <w:tr>
        <w:trPr>
          <w:cantSplit w:val="true"/>
        </w:trPr>
        <w:tc>
          <w:tcPr>
            <w:tcW w:type="dxa" w:w="2835"/>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轨迹长时间缺失或质量不足</w:t>
            </w:r>
          </w:p>
        </w:tc>
        <w:tc>
          <w:tcPr>
            <w:tcW w:type="dxa" w:w="323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降低预测精度或输出时间范围，不强制给出过度精确结果</w:t>
            </w:r>
          </w:p>
        </w:tc>
        <w:tc>
          <w:tcPr>
            <w:tcW w:type="dxa" w:w="311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数据质量状态、降级说明</w:t>
            </w:r>
          </w:p>
        </w:tc>
      </w:tr>
    </w:tbl>
    <w:p>
      <w:pPr>
        <w:spacing w:after="0"/>
      </w:pPr>
    </w:p>
    <w:p>
      <w:pPr>
        <w:pStyle w:val="Heading2"/>
      </w:pPr>
      <w:r>
        <w:t>4.4 港口拥堵分析智能体</w:t>
      </w:r>
    </w:p>
    <w:p>
      <w:pPr>
        <w:spacing w:line="324" w:lineRule="auto" w:after="100"/>
        <w:ind w:firstLine="420"/>
      </w:pPr>
      <w:r>
        <w:t>围绕水运区段和港口节点，综合船舶AIS时序轨迹、航次计划、锚泊等待、闸口车辆及历史运行数据分析港口繁忙程度。结果可独立查询，也可作为ETA预测和全程可视化的辅助风险信息。</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查询/展示字段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内容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港口信息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港口名称、区域、统计时间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当前态势</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锚泊等待船舶数量、平均等待时长、港口周边船舶密度、闸口运行参考</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预测分析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拥堵等级、拥堵趋势、预计等待时长、未来一段时间运行状态</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关联业务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受影响航次、受影响运输任务/水运区段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可信信息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数据更新时间、数据质量/结果可信度</w:t>
            </w:r>
          </w:p>
        </w:tc>
      </w:tr>
    </w:tbl>
    <w:p>
      <w:pPr>
        <w:spacing w:after="0"/>
      </w:pPr>
    </w:p>
    <w:p>
      <w:pPr>
        <w:pStyle w:val="Heading2"/>
      </w:pPr>
      <w:r>
        <w:t>4.5 环境异常分析智能体</w:t>
      </w:r>
    </w:p>
    <w:p>
      <w:pPr>
        <w:spacing w:line="324" w:lineRule="auto" w:after="100"/>
        <w:ind w:firstLine="420"/>
      </w:pPr>
      <w:r>
        <w:t>汇聚气象预报、政策预警、海况等外部环境信息，并与运输线路、节点和任务进行时空匹配，对可能造成停滞、延误或线路受限的风险进行辅助研判。</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说明</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异常事件</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事件类型、事件名称、发生/生效时间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影响范围</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区域、线路、关键节点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关联任务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受影响在途任务、计划任务</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影响判断</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预计影响时间、影响程度、可能影响环节</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风险提示</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面向业务人员的参考提示，不直接替代人工处置决策</w:t>
            </w:r>
          </w:p>
        </w:tc>
      </w:tr>
    </w:tbl>
    <w:p>
      <w:pPr>
        <w:spacing w:after="0"/>
      </w:pPr>
    </w:p>
    <w:p>
      <w:pPr>
        <w:pStyle w:val="Heading2"/>
      </w:pPr>
      <w:r>
        <w:t>4.6 智能问踪智能体</w:t>
      </w:r>
    </w:p>
    <w:p>
      <w:pPr>
        <w:spacing w:line="324" w:lineRule="auto" w:after="100"/>
        <w:ind w:firstLine="420"/>
      </w:pPr>
      <w:r>
        <w:t>支持通过自然语言查询订单、运单、运输任务、车辆、船舶、线路和节点等对象，自动关联运踪、ETA、预警和业务数据，将结果以文字、指标、列表、地图或时间轴方式呈现，并可一键穿透至运输全程可视化详情。</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能力</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示例</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运踪查询</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“这批玉米现在到哪了？”“某任务预计几点到？”</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关联分析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“为什么预计延误？”“当前异常发生在哪个环节？”</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运行总结</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按客户、线路、运输方式、区域、时间范围总结执行情况、时效和风险</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页面联动</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从问答结果定位到任务、车辆、船舶、节点和预警详情</w:t>
            </w:r>
          </w:p>
        </w:tc>
      </w:tr>
    </w:tbl>
    <w:p>
      <w:pPr>
        <w:spacing w:after="0"/>
      </w:pPr>
    </w:p>
    <w:p>
      <w:pPr>
        <w:pStyle w:val="Heading2"/>
      </w:pPr>
      <w:r>
        <w:t>4.7 单据识别智能体</w:t>
      </w:r>
    </w:p>
    <w:p>
      <w:pPr>
        <w:spacing w:line="324" w:lineRule="auto" w:after="100"/>
        <w:ind w:firstLine="420"/>
      </w:pPr>
      <w:r>
        <w:t>面向图片、PDF、Excel等物流业务单据，完成内容解析、关键字段识别、标准字段映射、业务对象关联和结果校验。识别结果在写入正式业务数据前应支持人工确认，避免错误识别直接改变合同、运单、任务或账单。</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处理阶段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要求</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单据接入</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上传图片/PDF/Excel，记录来源业务和上传人</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字段识别</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识别运单号、货物、发到地、承运主体、时间、数量、状态等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标准化</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将不同供应商/格式的字段映射至平台标准字段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业务关联</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根据运单号及业务信息关联对应运单/任务/批次</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人工复核</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对缺失、不确定、冲突字段进行标识，人工确认后再写入</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结果沉淀</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保留原文件、识别值、确认值和处理日志</w:t>
            </w:r>
          </w:p>
        </w:tc>
      </w:tr>
    </w:tbl>
    <w:p>
      <w:pPr>
        <w:spacing w:after="0"/>
      </w:pPr>
    </w:p>
    <w:p>
      <w:pPr>
        <w:pStyle w:val="Heading2"/>
      </w:pPr>
      <w:r>
        <w:t>4.8 联运方案求解智能体</w:t>
      </w:r>
    </w:p>
    <w:p>
      <w:pPr>
        <w:spacing w:line="324" w:lineRule="auto" w:after="100"/>
        <w:ind w:firstLine="420"/>
      </w:pPr>
      <w:r>
        <w:t>联运方案求解智能体作为前述“多式联运方案—求解”的底层智能能力，综合运输需求、运输线路、物流节点、运力资源、线路运价、历史时效、节点作业和异常数据，形成多条候选联运路径，并进行成本、时效和综合评价。AI中心可以作为通用入口发起求解，但正式运输需求进入时仍应从多式联运方案业务页面完成方案确认和后续发布。</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阶段</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主要内容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数据与特征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运输距离、运输方式、节点衔接、资源可用性、历史成本、历史时效</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路径求解</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组合公路、铁路、水运线路及节点，生成可行联运路径</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成本时效</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测算各区段及全程预计费用和预计时效</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方案评价</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综合成本、时效、衔接、资源、历史履约和运行风险评分排序</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动态重算</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条件变化后重新求解</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输出</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候选方案、路径及区段、预计费用、预计时效、综合评分、推荐依据</w:t>
            </w:r>
          </w:p>
        </w:tc>
      </w:tr>
    </w:tbl>
    <w:p>
      <w:pPr>
        <w:spacing w:after="0"/>
      </w:pPr>
    </w:p>
    <w:p>
      <w:pPr>
        <w:pStyle w:val="Heading2"/>
      </w:pPr>
      <w:r>
        <w:t>4.9 AI结果使用规则</w:t>
      </w:r>
    </w:p>
    <w:p>
      <w:pPr>
        <w:pStyle w:val="ListBullet"/>
        <w:spacing w:after="40"/>
      </w:pPr>
      <w:r>
        <w:t>AI输出为辅助分析和参考结果，不自动完成供需匹配确认、合同签署、司机派车、异常处置或结算确认。</w:t>
      </w:r>
    </w:p>
    <w:p>
      <w:pPr>
        <w:pStyle w:val="ListBullet"/>
        <w:spacing w:after="40"/>
      </w:pPr>
      <w:r>
        <w:t>智能体调用必须继承当前用户的数据权限，不能通过问答或分析越权获取其他企业非公开业务数据。</w:t>
      </w:r>
    </w:p>
    <w:p>
      <w:pPr>
        <w:pStyle w:val="ListBullet"/>
        <w:spacing w:after="40"/>
      </w:pPr>
      <w:r>
        <w:t>对于数据质量不足、来源缺失或置信度较低的结果，应明确显示数据质量/可信度或“需人工确认”。</w:t>
      </w:r>
    </w:p>
    <w:p>
      <w:pPr>
        <w:pStyle w:val="ListBullet"/>
        <w:spacing w:after="40"/>
      </w:pPr>
      <w:r>
        <w:t>业务页面唤起AI时，应携带当前任务、运单、方案或单据上下文，减少重复输入，并支持从结果返回原业务页面。</w:t>
      </w:r>
    </w:p>
    <w:p>
      <w:pPr>
        <w:pStyle w:val="Heading1"/>
      </w:pPr>
      <w:r>
        <w:t>5. 数据要素产品</w:t>
      </w:r>
    </w:p>
    <w:p>
      <w:pPr>
        <w:pStyle w:val="Heading2"/>
      </w:pPr>
      <w:r>
        <w:t>5.1 功能定位与权限收口</w:t>
      </w:r>
    </w:p>
    <w:p>
      <w:pPr>
        <w:spacing w:line="324" w:lineRule="auto" w:after="100"/>
        <w:ind w:firstLine="420"/>
      </w:pPr>
      <w:r>
        <w:t>数据要素产品用于对系统内经过治理、加工和封装的物流数据资源进行产品化管理，形成可登记、可授权、可订阅调用、可形成专题应用的数据产品体系。本项目当前阶段仅由平台运营方使用该模块，粮食贸易企业和物流运营商不展示数据要素产品菜单。</w:t>
      </w:r>
    </w:p>
    <w:p>
      <w:pPr>
        <w:spacing w:line="324" w:lineRule="auto" w:after="100"/>
        <w:ind w:firstLine="420"/>
      </w:pPr>
      <w:r>
        <w:t>原需求中“用户提出数据产品申请”的表述，本版根据“仅平台运营方可见”的权限要求调整为：平台运营方统一登记外部/内部数据使用需求，并在后台完成授权管理、服务配置和调用记录管理。是否向其他主体开放自助申请入口不属于本期范围。</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角色</w:t>
            </w:r>
          </w:p>
        </w:tc>
        <w:tc>
          <w:tcPr>
            <w:tcW w:type="dxa" w:w="1814"/>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可见性</w:t>
            </w:r>
          </w:p>
        </w:tc>
        <w:tc>
          <w:tcPr>
            <w:tcW w:type="dxa" w:w="5102"/>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权限范围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w:t>
            </w:r>
          </w:p>
        </w:tc>
        <w:tc>
          <w:tcPr>
            <w:tcW w:type="dxa" w:w="1814"/>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唯一可见角色</w:t>
            </w:r>
          </w:p>
        </w:tc>
        <w:tc>
          <w:tcPr>
            <w:tcW w:type="dxa" w:w="5102"/>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负责数据产品创建、上架/下架、授权配置、订阅/调用管理和专题应用建设；其他角色无前台访问入口。</w:t>
            </w:r>
          </w:p>
        </w:tc>
      </w:tr>
    </w:tbl>
    <w:p>
      <w:pPr>
        <w:spacing w:after="0"/>
      </w:pPr>
    </w:p>
    <w:p>
      <w:pPr>
        <w:pStyle w:val="Heading2"/>
      </w:pPr>
      <w:r>
        <w:t>5.2 产品目录</w:t>
      </w:r>
    </w:p>
    <w:p>
      <w:pPr>
        <w:spacing w:line="324" w:lineRule="auto" w:after="100"/>
        <w:ind w:firstLine="420"/>
      </w:pPr>
      <w:r>
        <w:t>对治理、加工和封装后的物流数据产品进行统一登记、分类、版本和状态管理，形成平台内部标准化产品目录。数据产品应明确来源、更新频率、覆盖范围、服务方式和使用条件，并与原始数据资源或加工任务建立可追溯关系。</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基础信息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产品编号、产品名称、产品简介、产品状态、版本号</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分类信息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数据主题、运输方式、业务领域、产品标签</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数据内容</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主要数据项/指标、数据粒度、时间范围、空间覆盖范围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来源信息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数据来源、来源系统、更新机制、更新时间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服务信息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API/文件/专题页面等服务方式、更新频率、输出格式</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使用条件</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适用场景、授权要求、使用期限/限制说明</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责任信息</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产品负责人、创建人、审核/发布信息</w:t>
            </w:r>
          </w:p>
        </w:tc>
      </w:tr>
    </w:tbl>
    <w:p>
      <w:pPr>
        <w:spacing w:after="0"/>
      </w:pPr>
    </w:p>
    <w:p>
      <w:pPr>
        <w:pStyle w:val="Heading2"/>
      </w:pPr>
      <w:r>
        <w:t>5.3 授权管理</w:t>
      </w:r>
    </w:p>
    <w:p>
      <w:pPr>
        <w:spacing w:line="324" w:lineRule="auto" w:after="100"/>
        <w:ind w:firstLine="420"/>
      </w:pPr>
      <w:r>
        <w:t>对具有访问控制要求的数据产品进行授权登记和生命周期管理。由于本期不向粮食贸易企业和物流运营商开放数据产品前台，授权申请可由平台运营人员根据既有审批结果、合作协议或业务需求进行登记，再配置具体主体、产品、范围和期限。</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字段类别</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授权对象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主体名称、主体类型、使用系统/应用（如有）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授权产品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数据产品编号、产品版本</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用途范围</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使用目的、业务场景、数据范围、字段范围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有效期限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生效时间、失效时间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服务范围</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API/文件/专题应用等</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状态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待生效、生效中、已暂停、已失效、已撤销</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审批留痕</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依据/附件、经办人、审批人、时间、备注</w:t>
            </w:r>
          </w:p>
        </w:tc>
      </w:tr>
    </w:tbl>
    <w:p>
      <w:pPr>
        <w:spacing w:after="0"/>
      </w:pPr>
    </w:p>
    <w:p>
      <w:pPr>
        <w:pStyle w:val="Heading2"/>
      </w:pPr>
      <w:r>
        <w:t>5.4 数据订阅与调用</w:t>
      </w:r>
    </w:p>
    <w:p>
      <w:pPr>
        <w:spacing w:line="324" w:lineRule="auto" w:after="100"/>
        <w:ind w:firstLine="420"/>
      </w:pPr>
      <w:r>
        <w:t>面向已授权的数据产品配置数据获取方式和更新机制，并记录实际服务调用情况。系统可支持API、文件等服务方式；是否对接外部真实调用系统以项目实施阶段接口条件为准。</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功能</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字段/能力</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订阅配置</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订阅对象、产品、数据范围、更新频率、获取方式、有效期</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API服务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接口标识、调用方式说明、授权凭证引用、限流/调用约束（按技术方案）</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文件服务</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文件格式、生成频率、文件日期、下载/交付记录</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调用记录</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调用主体、产品、调用时间、调用次数、运行状态、失败原因</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服务状态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正常、暂停、过期、撤销</w:t>
            </w:r>
          </w:p>
        </w:tc>
      </w:tr>
    </w:tbl>
    <w:p>
      <w:pPr>
        <w:spacing w:after="0"/>
      </w:pPr>
    </w:p>
    <w:p>
      <w:pPr>
        <w:pStyle w:val="Heading2"/>
      </w:pPr>
      <w:r>
        <w:t>5.5 数据专题应用</w:t>
      </w:r>
    </w:p>
    <w:p>
      <w:pPr>
        <w:spacing w:line="324" w:lineRule="auto" w:after="100"/>
        <w:ind w:firstLine="420"/>
      </w:pPr>
      <w:r>
        <w:t>围绕物流运行监测、运输通道分析、运力分析、港口分析、供应链协同等场景，将多个数据产品进行组合，形成专题数据集、专题指标和专题分析页面。专题应用强调数据产品的场景化使用，不替代前面的运输全程可视化驾驶业务。</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专题方向</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可组合的数据内容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物流运行监测</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运输任务、运踪事件、时效、异常、运输方式分布</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运输通道分析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线路、节点、运输量、时效、价格、通道运行情况</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运力分析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运输供给、承运能力、服务区域、实际执行量</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港口分析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船舶AIS、航次、港口拥堵、到离港、箱量/任务关联数据</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供应链协同</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需求、供给、匹配、合同、运输执行、结算等跨环节关联指标</w:t>
            </w:r>
          </w:p>
        </w:tc>
      </w:tr>
    </w:tbl>
    <w:p>
      <w:pPr>
        <w:spacing w:after="0"/>
      </w:pPr>
    </w:p>
    <w:p>
      <w:pPr>
        <w:pStyle w:val="Heading2"/>
      </w:pPr>
      <w:r>
        <w:t>5.6 产品生命周期</w:t>
      </w:r>
    </w:p>
    <w:p>
      <w:pPr>
        <w:spacing w:line="324" w:lineRule="auto" w:after="100"/>
        <w:ind w:firstLine="420"/>
      </w:pPr>
      <w:r>
        <w:t>建议数据产品形成“草稿—待发布—已发布—暂停—下架”的状态管理。已发布产品若修改字段范围、来源、更新频率或服务方式，应形成版本记录，避免授权主体使用口径发生不可追溯变化。</w:t>
      </w:r>
    </w:p>
    <w:p>
      <w:pPr>
        <w:pStyle w:val="Heading2"/>
      </w:pPr>
      <w:r>
        <w:t>5.7 功能目标</w:t>
      </w:r>
    </w:p>
    <w:p>
      <w:pPr>
        <w:spacing w:line="324" w:lineRule="auto" w:after="100"/>
        <w:ind w:firstLine="420"/>
      </w:pPr>
      <w:r>
        <w:t>将运输业务过程中沉淀的数据从“系统内部数据”转变为可管理的数据产品资产，形成统一产品目录、授权、服务调用和专题应用能力，同时在本期通过平台运营方集中管理控制数据对外使用边界。</w:t>
      </w:r>
    </w:p>
    <w:p>
      <w:pPr>
        <w:pStyle w:val="Heading1"/>
      </w:pPr>
      <w:r>
        <w:t>6. 四个模块的整体闭环</w:t>
      </w:r>
    </w:p>
    <w:p>
      <w:pPr>
        <w:spacing w:line="324" w:lineRule="auto" w:after="100"/>
        <w:ind w:firstLine="420"/>
      </w:pPr>
      <w:r>
        <w:t>结合前述业务模块，本次四个模块在系统中的位置可概括为“司机执行入口 + 平台基础管理 + 智能辅助能力 + 数据产品化能力”。</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cantSplit w:val="true"/>
        </w:trPr>
        <w:tc>
          <w:tcPr>
            <w:tcW w:type="dxa" w:w="1701"/>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阶段</w:t>
            </w:r>
          </w:p>
        </w:tc>
        <w:tc>
          <w:tcPr>
            <w:tcW w:type="dxa" w:w="4706"/>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业务动作</w:t>
            </w:r>
          </w:p>
        </w:tc>
        <w:tc>
          <w:tcPr>
            <w:tcW w:type="dxa" w:w="277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关联模块</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1. 承运落实</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供需匹配、价格确认、合同签署</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供需匹配大厅、合同管理</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2. 联运组织</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物流运营商建立运单/统一业务编号、任务、批次、车辆、司机、箱号</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多式联运服务管理</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3. 任务下发</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PC端将司机对应任务下发</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系统管理提供账号；微信小程序接收任务</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4. 司机执行</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司机确认、装货、发运、在途、到达、卸货、签收、异常/单据反馈</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5. 过程监测</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PC端汇总位置、事件、ETA、预警并形成全程可视化</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运输全程可视化 + AI智能体</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6. 费用闭环</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任务执行结果进入账单、对账、结算</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对账结算管理，可调用单据识别</w:t>
            </w:r>
          </w:p>
        </w:tc>
      </w:tr>
      <w:tr>
        <w:trPr>
          <w:cantSplit w:val="true"/>
        </w:trPr>
        <w:tc>
          <w:tcPr>
            <w:tcW w:type="dxa" w:w="1701"/>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7. 数据沉淀</w:t>
            </w:r>
          </w:p>
        </w:tc>
        <w:tc>
          <w:tcPr>
            <w:tcW w:type="dxa" w:w="4706"/>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业务、运踪、价格、节点和分析数据治理加工</w:t>
            </w:r>
          </w:p>
        </w:tc>
        <w:tc>
          <w:tcPr>
            <w:tcW w:type="dxa" w:w="277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数据要素产品（平台运营）</w:t>
            </w:r>
          </w:p>
        </w:tc>
      </w:tr>
    </w:tbl>
    <w:p>
      <w:pPr>
        <w:spacing w:after="0"/>
      </w:pPr>
    </w:p>
    <w:p>
      <w:pPr>
        <w:pStyle w:val="Heading1"/>
      </w:pPr>
      <w:r>
        <w:t>7. 关键业务规则</w:t>
      </w:r>
    </w:p>
    <w:p>
      <w:pPr>
        <w:pStyle w:val="ListBullet"/>
        <w:spacing w:after="40"/>
      </w:pPr>
      <w:r>
        <w:t>微信小程序仅供司机使用，司机不能在移动端新建运输任务、批次、车辆、司机或联运方案。</w:t>
      </w:r>
    </w:p>
    <w:p>
      <w:pPr>
        <w:pStyle w:val="ListBullet"/>
        <w:spacing w:after="40"/>
      </w:pPr>
      <w:r>
        <w:t>司机只能看到本人被物流运营商分配的任务；任务核心业务字段由PC端控制。</w:t>
      </w:r>
    </w:p>
    <w:p>
      <w:pPr>
        <w:pStyle w:val="ListBullet"/>
        <w:spacing w:after="40"/>
      </w:pPr>
      <w:r>
        <w:t>集装箱运输按箱号关联车辆和司机；散货运输按批次及实际车辆/司机关联，支持一批多车。</w:t>
      </w:r>
    </w:p>
    <w:p>
      <w:pPr>
        <w:pStyle w:val="ListBullet"/>
        <w:spacing w:after="40"/>
      </w:pPr>
      <w:r>
        <w:t>司机执行事件、异常和单据应同步回PC端联运跟踪和运输全程可视化，并可作为EPCIS标准事件来源。</w:t>
      </w:r>
    </w:p>
    <w:p>
      <w:pPr>
        <w:pStyle w:val="ListBullet"/>
        <w:spacing w:after="40"/>
      </w:pPr>
      <w:r>
        <w:t>系统管理的全局配置能力由平台运营方维护，业务主体只能在其业务权限范围内使用配置结果。</w:t>
      </w:r>
    </w:p>
    <w:p>
      <w:pPr>
        <w:pStyle w:val="ListBullet"/>
        <w:spacing w:after="40"/>
      </w:pPr>
      <w:r>
        <w:t>AI智能体中心对粮食贸易企业、物流运营商、平台运营方开放，但调用结果必须遵循当前用户数据权限。</w:t>
      </w:r>
    </w:p>
    <w:p>
      <w:pPr>
        <w:pStyle w:val="ListBullet"/>
        <w:spacing w:after="40"/>
      </w:pPr>
      <w:r>
        <w:t>本期AI智能体中心不提供模型管理和模型监控产品页面。</w:t>
      </w:r>
    </w:p>
    <w:p>
      <w:pPr>
        <w:pStyle w:val="ListBullet"/>
        <w:spacing w:after="40"/>
      </w:pPr>
      <w:r>
        <w:t>AI输出均为辅助结果，不自动代替用户进行方案确认、承运确认、合同签署、司机调度、异常处置或结算确认。</w:t>
      </w:r>
    </w:p>
    <w:p>
      <w:pPr>
        <w:pStyle w:val="ListBullet"/>
        <w:spacing w:after="40"/>
      </w:pPr>
      <w:r>
        <w:t>数据要素产品仅平台运营方可见；本期不为粮食贸易企业和物流运营商提供数据产品自助申请入口。</w:t>
      </w:r>
    </w:p>
    <w:p>
      <w:pPr>
        <w:pStyle w:val="ListBullet"/>
        <w:spacing w:after="40"/>
      </w:pPr>
      <w:r>
        <w:t>数据产品授权、订阅和调用必须形成记录，可追溯授权对象、范围、期限和实际调用情况。</w:t>
      </w:r>
    </w:p>
    <w:p>
      <w:pPr>
        <w:pStyle w:val="Heading1"/>
      </w:pPr>
      <w:r>
        <w:t>8. 建议验收要点</w:t>
      </w:r>
    </w:p>
    <w:tbl>
      <w:tblPr>
        <w:tblStyle w:val="TableGrid"/>
        <w:tblW w:type="auto" w:w="0"/>
        <w:jc w:val="center"/>
        <w:tblLayout w:type="autofit"/>
        <w:tblLook w:firstColumn="1" w:firstRow="1" w:lastColumn="0" w:lastRow="0" w:noHBand="0" w:noVBand="1" w:val="04A0"/>
      </w:tblPr>
      <w:tblGrid>
        <w:gridCol w:w="5100"/>
        <w:gridCol w:w="5100"/>
      </w:tblGrid>
      <w:tr>
        <w:trPr>
          <w:tblHeader w:val="true"/>
          <w:cantSplit w:val="true"/>
        </w:trPr>
        <w:tc>
          <w:tcPr>
            <w:tcW w:type="dxa" w:w="2268"/>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验收模块</w:t>
            </w:r>
          </w:p>
        </w:tc>
        <w:tc>
          <w:tcPr>
            <w:tcW w:type="dxa" w:w="6917"/>
            <w:shd w:fill="E7E6E6"/>
            <w:tcMar>
              <w:top w:w="75" w:type="dxa"/>
              <w:start w:w="85" w:type="dxa"/>
              <w:bottom w:w="75" w:type="dxa"/>
              <w:end w:w="85" w:type="dxa"/>
            </w:tcMar>
            <w:vAlign w:val="center"/>
          </w:tcPr>
          <w:p>
            <w:pPr>
              <w:spacing w:after="0"/>
              <w:jc w:val="center"/>
            </w:pPr>
            <w:r>
              <w:rPr>
                <w:rFonts w:ascii="Noto Sans CJK SC" w:hAnsi="Noto Sans CJK SC" w:eastAsia="Noto Sans CJK SC"/>
                <w:b/>
                <w:sz w:val="16"/>
              </w:rPr>
              <w:t>验收要点</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司机可收到PC端分配的本人任务，且无法查看其他司机任务。</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集装箱任务能按箱号关联司机；散货任务能按批次/车辆关联司机。</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微信小程序</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装货、发运、到达、卸货、签收、异常和单据反馈可正确同步PC端。</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系统管理</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平台运营方可维护用户、角色权限、字典、合作主体和日志，并正确控制菜单及数据范围。</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AI智能体</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三类PC角色均可进入AI智能体中心，模型管理和模型监控不出现在菜单中。</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AI智能体</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ETA、港口拥堵、环境异常、智能问踪、单据识别、联运方案求解均可从中心入口调用或从关联业务页唤起。</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AI权限</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AI结果不得越过当前用户业务数据权限。</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数据产品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仅平台运营方可进入数据要素产品模块。</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数据产品</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产品目录、授权、订阅调用、专题应用具有完整业务字段和状态留痕。</w:t>
            </w:r>
          </w:p>
        </w:tc>
      </w:tr>
      <w:tr>
        <w:trPr>
          <w:cantSplit w:val="true"/>
        </w:trPr>
        <w:tc>
          <w:tcPr>
            <w:tcW w:type="dxa" w:w="2268"/>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整体联动</w:t>
            </w:r>
          </w:p>
        </w:tc>
        <w:tc>
          <w:tcPr>
            <w:tcW w:type="dxa" w:w="6917"/>
            <w:tcMar>
              <w:top w:w="75" w:type="dxa"/>
              <w:start w:w="85" w:type="dxa"/>
              <w:bottom w:w="75" w:type="dxa"/>
              <w:end w:w="85" w:type="dxa"/>
            </w:tcMar>
            <w:vAlign w:val="center"/>
          </w:tcPr>
          <w:p>
            <w:pPr>
              <w:spacing w:after="0" w:line="252" w:lineRule="auto"/>
            </w:pPr>
            <w:r>
              <w:rPr>
                <w:rFonts w:ascii="Noto Sans CJK SC" w:hAnsi="Noto Sans CJK SC" w:eastAsia="Noto Sans CJK SC"/>
                <w:sz w:val="16"/>
              </w:rPr>
              <w:t>司机执行结果可进入全程可视化、AI分析和后续对账；业务数据可按平台规则沉淀为数据产品。</w:t>
            </w:r>
          </w:p>
        </w:tc>
      </w:tr>
    </w:tbl>
    <w:p>
      <w:pPr>
        <w:spacing w:after="0"/>
      </w:pPr>
    </w:p>
    <w:sectPr w:rsidR="00FC693F" w:rsidRPr="0006063C" w:rsidSect="00034616">
      <w:footerReference w:type="default" r:id="rId9"/>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SC" w:hAnsi="Noto Sans CJK SC" w:eastAsia="Noto Sans CJK SC"/>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