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E0CD6" w14:textId="74203D73" w:rsidR="005042AA" w:rsidRPr="005042AA" w:rsidRDefault="005042AA" w:rsidP="00243D95">
      <w:pPr>
        <w:spacing w:before="120" w:after="120"/>
        <w:rPr>
          <w:b/>
        </w:rPr>
      </w:pPr>
      <w:r w:rsidRPr="005042AA">
        <w:rPr>
          <w:b/>
        </w:rPr>
        <w:t>Development Economics: Homework 2</w:t>
      </w:r>
    </w:p>
    <w:p w14:paraId="13E24E81" w14:textId="3F384FDD" w:rsidR="005042AA" w:rsidRPr="005042AA" w:rsidRDefault="005042AA" w:rsidP="00243D95">
      <w:pPr>
        <w:spacing w:before="120" w:after="120"/>
        <w:rPr>
          <w:b/>
        </w:rPr>
      </w:pPr>
      <w:r w:rsidRPr="005042AA">
        <w:rPr>
          <w:b/>
        </w:rPr>
        <w:t xml:space="preserve">Some </w:t>
      </w:r>
      <w:r>
        <w:rPr>
          <w:b/>
        </w:rPr>
        <w:t xml:space="preserve">brief </w:t>
      </w:r>
      <w:r w:rsidRPr="005042AA">
        <w:rPr>
          <w:b/>
        </w:rPr>
        <w:t>discussions</w:t>
      </w:r>
    </w:p>
    <w:p w14:paraId="2AA10ACC" w14:textId="0151D41A" w:rsidR="005042AA" w:rsidRPr="005042AA" w:rsidRDefault="005042AA" w:rsidP="00243D95">
      <w:pPr>
        <w:spacing w:before="120" w:after="120"/>
        <w:rPr>
          <w:b/>
        </w:rPr>
      </w:pPr>
      <w:r w:rsidRPr="005042AA">
        <w:rPr>
          <w:b/>
        </w:rPr>
        <w:t>Junhui Yang</w:t>
      </w:r>
    </w:p>
    <w:p w14:paraId="3B428D09" w14:textId="3761C757" w:rsidR="005042AA" w:rsidRPr="005042AA" w:rsidRDefault="005042AA" w:rsidP="00243D95">
      <w:pPr>
        <w:spacing w:before="120" w:after="120"/>
        <w:rPr>
          <w:b/>
        </w:rPr>
      </w:pPr>
      <w:r w:rsidRPr="005042AA">
        <w:rPr>
          <w:b/>
        </w:rPr>
        <w:t>Friday 8 February 2019</w:t>
      </w:r>
    </w:p>
    <w:p w14:paraId="3D291E30" w14:textId="77777777" w:rsidR="005042AA" w:rsidRPr="005042AA" w:rsidRDefault="005042AA" w:rsidP="00243D95">
      <w:pPr>
        <w:spacing w:before="120" w:after="120"/>
      </w:pPr>
    </w:p>
    <w:p w14:paraId="47202699" w14:textId="32123813" w:rsidR="00A7790A" w:rsidRDefault="00AE7C3B" w:rsidP="00243D95">
      <w:pPr>
        <w:spacing w:before="120" w:after="120"/>
      </w:pPr>
      <w:proofErr w:type="spellStart"/>
      <w:r w:rsidRPr="00602415">
        <w:rPr>
          <w:rFonts w:ascii="Consolas" w:hAnsi="Consolas"/>
          <w:sz w:val="22"/>
        </w:rPr>
        <w:t>q1.m</w:t>
      </w:r>
      <w:proofErr w:type="spellEnd"/>
      <w:r w:rsidRPr="00602415">
        <w:t xml:space="preserve"> delivers the two tables below, Table 1 and Table 2. Table 1</w:t>
      </w:r>
      <w:r w:rsidR="00602415" w:rsidRPr="00602415">
        <w:t xml:space="preserve"> </w:t>
      </w:r>
      <w:r w:rsidR="00782528">
        <w:t xml:space="preserve">corresponds to Question 1, </w:t>
      </w:r>
      <w:r w:rsidR="0078168F">
        <w:t>show</w:t>
      </w:r>
      <w:r w:rsidR="00782528">
        <w:t>ing</w:t>
      </w:r>
      <w:r w:rsidR="0078168F">
        <w:t xml:space="preserve"> </w:t>
      </w:r>
      <w:r w:rsidR="00602415" w:rsidRPr="00602415">
        <w:t>the welfare gains of removing</w:t>
      </w:r>
      <w:r w:rsidR="00602415">
        <w:t xml:space="preserve"> (</w:t>
      </w:r>
      <w:r w:rsidR="00602415" w:rsidRPr="00602415">
        <w:rPr>
          <w:rFonts w:ascii="Consolas" w:hAnsi="Consolas"/>
          <w:sz w:val="22"/>
        </w:rPr>
        <w:t>Remove</w:t>
      </w:r>
      <w:r w:rsidR="00602415">
        <w:t>)</w:t>
      </w:r>
      <w:r w:rsidR="00602415" w:rsidRPr="00602415">
        <w:t xml:space="preserve"> the seasonal component (</w:t>
      </w:r>
      <w:r w:rsidR="00602415" w:rsidRPr="00602415">
        <w:rPr>
          <w:rFonts w:ascii="Consolas" w:hAnsi="Consolas"/>
          <w:sz w:val="22"/>
        </w:rPr>
        <w:t>Seasonal</w:t>
      </w:r>
      <w:r w:rsidR="00602415" w:rsidRPr="00602415">
        <w:t>) from the stream of consumption as well as the welfare gains of removing the nonseasonal consumption risk (</w:t>
      </w:r>
      <w:proofErr w:type="spellStart"/>
      <w:r w:rsidR="00602415" w:rsidRPr="00602415">
        <w:rPr>
          <w:rFonts w:ascii="Consolas" w:hAnsi="Consolas"/>
          <w:sz w:val="22"/>
        </w:rPr>
        <w:t>NonSeasonal</w:t>
      </w:r>
      <w:proofErr w:type="spellEnd"/>
      <w:r w:rsidR="00602415" w:rsidRPr="00602415">
        <w:t>) separately for each degree of seasonality</w:t>
      </w:r>
      <w:r w:rsidR="00602415">
        <w:t xml:space="preserve"> (</w:t>
      </w:r>
      <w:r w:rsidR="00602415" w:rsidRPr="00602415">
        <w:rPr>
          <w:rFonts w:ascii="Consolas" w:hAnsi="Consolas"/>
          <w:sz w:val="22"/>
        </w:rPr>
        <w:t>Low</w:t>
      </w:r>
      <w:r w:rsidR="00602415">
        <w:t xml:space="preserve">, </w:t>
      </w:r>
      <w:r w:rsidR="00602415" w:rsidRPr="00602415">
        <w:rPr>
          <w:rFonts w:ascii="Consolas" w:hAnsi="Consolas"/>
          <w:sz w:val="22"/>
        </w:rPr>
        <w:t>Mid</w:t>
      </w:r>
      <w:r w:rsidR="00602415">
        <w:t xml:space="preserve">, </w:t>
      </w:r>
      <w:r w:rsidR="00602415" w:rsidRPr="00602415">
        <w:rPr>
          <w:rFonts w:ascii="Consolas" w:hAnsi="Consolas"/>
          <w:sz w:val="22"/>
        </w:rPr>
        <w:t>High</w:t>
      </w:r>
      <w:r w:rsidR="00602415">
        <w:t xml:space="preserve">). Table 2 </w:t>
      </w:r>
      <w:r w:rsidR="00A95A27">
        <w:t xml:space="preserve">corresponds to Question 2, </w:t>
      </w:r>
      <w:r w:rsidR="00602415">
        <w:t>show</w:t>
      </w:r>
      <w:r w:rsidR="00A95A27">
        <w:t>ing</w:t>
      </w:r>
      <w:r w:rsidR="00602415">
        <w:t xml:space="preserve"> the </w:t>
      </w:r>
      <w:r w:rsidR="00602415" w:rsidRPr="00602415">
        <w:t>welfare gains of removing</w:t>
      </w:r>
      <w:r w:rsidR="00602415">
        <w:t xml:space="preserve"> (</w:t>
      </w:r>
      <w:r w:rsidR="00602415" w:rsidRPr="00602415">
        <w:rPr>
          <w:rFonts w:ascii="Consolas" w:hAnsi="Consolas"/>
          <w:sz w:val="22"/>
        </w:rPr>
        <w:t>Remove</w:t>
      </w:r>
      <w:r w:rsidR="00602415">
        <w:t>)</w:t>
      </w:r>
      <w:r w:rsidR="00602415" w:rsidRPr="00602415">
        <w:t xml:space="preserve"> the seasonal component (all combinations of deterministic and stochastic</w:t>
      </w:r>
      <w:r w:rsidR="003932E6">
        <w:rPr>
          <w:rFonts w:hint="eastAsia"/>
        </w:rPr>
        <w:t>,</w:t>
      </w:r>
      <w:r w:rsidR="003932E6">
        <w:t xml:space="preserve"> </w:t>
      </w:r>
      <w:r w:rsidR="003932E6" w:rsidRPr="00602415">
        <w:rPr>
          <w:rFonts w:ascii="Consolas" w:hAnsi="Consolas"/>
          <w:sz w:val="22"/>
        </w:rPr>
        <w:t>Seasonal</w:t>
      </w:r>
      <w:r w:rsidR="00602415" w:rsidRPr="00602415">
        <w:t>) from the stream of consumption as well as</w:t>
      </w:r>
      <w:r w:rsidR="00602415" w:rsidRPr="00A715A9">
        <w:rPr>
          <w:szCs w:val="22"/>
        </w:rPr>
        <w:t xml:space="preserve"> the welfare gains of removing the nonseasonal consumption risk </w:t>
      </w:r>
      <w:r w:rsidR="00602415" w:rsidRPr="00602415">
        <w:t>(</w:t>
      </w:r>
      <w:proofErr w:type="spellStart"/>
      <w:r w:rsidR="00602415" w:rsidRPr="00602415">
        <w:rPr>
          <w:rFonts w:ascii="Consolas" w:hAnsi="Consolas"/>
          <w:sz w:val="22"/>
        </w:rPr>
        <w:t>NonSeasonal</w:t>
      </w:r>
      <w:proofErr w:type="spellEnd"/>
      <w:r w:rsidR="00602415" w:rsidRPr="00602415">
        <w:t>) separately for each degree of seasonality</w:t>
      </w:r>
      <w:r w:rsidR="00602415">
        <w:t xml:space="preserve"> (</w:t>
      </w:r>
      <w:proofErr w:type="spellStart"/>
      <w:r w:rsidR="00602415" w:rsidRPr="00602415">
        <w:rPr>
          <w:rFonts w:ascii="Consolas" w:hAnsi="Consolas"/>
          <w:sz w:val="22"/>
        </w:rPr>
        <w:t>Low_Low</w:t>
      </w:r>
      <w:proofErr w:type="spellEnd"/>
      <w:r w:rsidR="00602415" w:rsidRPr="00602415">
        <w:t xml:space="preserve">, </w:t>
      </w:r>
      <w:proofErr w:type="spellStart"/>
      <w:r w:rsidR="00602415" w:rsidRPr="00602415">
        <w:rPr>
          <w:rFonts w:ascii="Consolas" w:hAnsi="Consolas"/>
          <w:sz w:val="22"/>
        </w:rPr>
        <w:t>Low_Mid</w:t>
      </w:r>
      <w:proofErr w:type="spellEnd"/>
      <w:r w:rsidR="00602415" w:rsidRPr="00602415">
        <w:t xml:space="preserve">, </w:t>
      </w:r>
      <w:proofErr w:type="spellStart"/>
      <w:r w:rsidR="00602415" w:rsidRPr="00602415">
        <w:rPr>
          <w:rFonts w:ascii="Consolas" w:hAnsi="Consolas"/>
          <w:sz w:val="22"/>
        </w:rPr>
        <w:t>Low_High</w:t>
      </w:r>
      <w:proofErr w:type="spellEnd"/>
      <w:r w:rsidR="00602415" w:rsidRPr="00602415">
        <w:t xml:space="preserve">, </w:t>
      </w:r>
      <w:proofErr w:type="spellStart"/>
      <w:r w:rsidR="00602415" w:rsidRPr="00602415">
        <w:rPr>
          <w:rFonts w:ascii="Consolas" w:hAnsi="Consolas"/>
          <w:sz w:val="22"/>
        </w:rPr>
        <w:t>Mid_Low</w:t>
      </w:r>
      <w:proofErr w:type="spellEnd"/>
      <w:r w:rsidR="00602415" w:rsidRPr="00602415">
        <w:t xml:space="preserve">, </w:t>
      </w:r>
      <w:proofErr w:type="spellStart"/>
      <w:r w:rsidR="00602415" w:rsidRPr="00602415">
        <w:rPr>
          <w:rFonts w:ascii="Consolas" w:hAnsi="Consolas"/>
          <w:sz w:val="22"/>
        </w:rPr>
        <w:t>Mid_Mid</w:t>
      </w:r>
      <w:proofErr w:type="spellEnd"/>
      <w:r w:rsidR="00602415" w:rsidRPr="00602415">
        <w:t xml:space="preserve">, </w:t>
      </w:r>
      <w:proofErr w:type="spellStart"/>
      <w:r w:rsidR="00602415" w:rsidRPr="00602415">
        <w:rPr>
          <w:rFonts w:ascii="Consolas" w:hAnsi="Consolas"/>
          <w:sz w:val="22"/>
        </w:rPr>
        <w:t>Mid_High</w:t>
      </w:r>
      <w:proofErr w:type="spellEnd"/>
      <w:r w:rsidR="00602415" w:rsidRPr="00602415">
        <w:t xml:space="preserve">, </w:t>
      </w:r>
      <w:proofErr w:type="spellStart"/>
      <w:r w:rsidR="00602415" w:rsidRPr="00602415">
        <w:rPr>
          <w:rFonts w:ascii="Consolas" w:hAnsi="Consolas"/>
          <w:sz w:val="22"/>
        </w:rPr>
        <w:t>High_Low</w:t>
      </w:r>
      <w:proofErr w:type="spellEnd"/>
      <w:r w:rsidR="00602415" w:rsidRPr="00602415">
        <w:t xml:space="preserve">, </w:t>
      </w:r>
      <w:proofErr w:type="spellStart"/>
      <w:r w:rsidR="00602415" w:rsidRPr="00602415">
        <w:rPr>
          <w:rFonts w:ascii="Consolas" w:hAnsi="Consolas"/>
          <w:sz w:val="22"/>
        </w:rPr>
        <w:t>High_Mid</w:t>
      </w:r>
      <w:proofErr w:type="spellEnd"/>
      <w:r w:rsidR="00602415" w:rsidRPr="00602415">
        <w:t xml:space="preserve">, </w:t>
      </w:r>
      <w:proofErr w:type="spellStart"/>
      <w:r w:rsidR="00602415" w:rsidRPr="00602415">
        <w:rPr>
          <w:rFonts w:ascii="Consolas" w:hAnsi="Consolas"/>
          <w:sz w:val="22"/>
        </w:rPr>
        <w:t>High_High</w:t>
      </w:r>
      <w:proofErr w:type="spellEnd"/>
      <w:r w:rsidR="00602415" w:rsidRPr="00A715A9">
        <w:t>)</w:t>
      </w:r>
      <w:r w:rsidR="00602415" w:rsidRPr="00602415">
        <w:t>.</w:t>
      </w:r>
    </w:p>
    <w:p w14:paraId="5C09A9D2" w14:textId="77777777" w:rsidR="00243D95" w:rsidRDefault="00243D95" w:rsidP="00243D95">
      <w:pPr>
        <w:spacing w:before="120" w:after="120"/>
      </w:pPr>
    </w:p>
    <w:p w14:paraId="7BEF2E58" w14:textId="4AC11D77" w:rsidR="007C46F8" w:rsidRDefault="0076218B" w:rsidP="00243D95">
      <w:pPr>
        <w:spacing w:before="120"/>
        <w:jc w:val="center"/>
      </w:pPr>
      <w:r w:rsidRPr="0076218B">
        <w:rPr>
          <w:noProof/>
        </w:rPr>
        <w:drawing>
          <wp:inline distT="0" distB="0" distL="0" distR="0" wp14:anchorId="539E0084" wp14:editId="2BF334AA">
            <wp:extent cx="5256794" cy="1705708"/>
            <wp:effectExtent l="0" t="0" r="1270" b="8890"/>
            <wp:docPr id="5" name="图片 5" descr="C:\Users\JUNHUI~1\AppData\Local\Temp\WeChat Files\16a2f2f9e74c19b28d8f596cf2b37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NHUI~1\AppData\Local\Temp\WeChat Files\16a2f2f9e74c19b28d8f596cf2b372f.png"/>
                    <pic:cNvPicPr>
                      <a:picLocks noChangeAspect="1" noChangeArrowheads="1"/>
                    </pic:cNvPicPr>
                  </pic:nvPicPr>
                  <pic:blipFill rotWithShape="1">
                    <a:blip r:embed="rId6">
                      <a:extLst>
                        <a:ext uri="{28A0092B-C50C-407E-A947-70E740481C1C}">
                          <a14:useLocalDpi xmlns:a14="http://schemas.microsoft.com/office/drawing/2010/main" val="0"/>
                        </a:ext>
                      </a:extLst>
                    </a:blip>
                    <a:srcRect r="53968" b="64745"/>
                    <a:stretch/>
                  </pic:blipFill>
                  <pic:spPr bwMode="auto">
                    <a:xfrm>
                      <a:off x="0" y="0"/>
                      <a:ext cx="5670064" cy="1839805"/>
                    </a:xfrm>
                    <a:prstGeom prst="rect">
                      <a:avLst/>
                    </a:prstGeom>
                    <a:noFill/>
                    <a:ln>
                      <a:noFill/>
                    </a:ln>
                    <a:extLst>
                      <a:ext uri="{53640926-AAD7-44D8-BBD7-CCE9431645EC}">
                        <a14:shadowObscured xmlns:a14="http://schemas.microsoft.com/office/drawing/2010/main"/>
                      </a:ext>
                    </a:extLst>
                  </pic:spPr>
                </pic:pic>
              </a:graphicData>
            </a:graphic>
          </wp:inline>
        </w:drawing>
      </w:r>
    </w:p>
    <w:p w14:paraId="21D1DF21" w14:textId="77777777" w:rsidR="007C46F8" w:rsidRPr="00AE7C3B" w:rsidRDefault="007C46F8" w:rsidP="00243D95">
      <w:pPr>
        <w:spacing w:after="120"/>
        <w:jc w:val="center"/>
        <w:rPr>
          <w:b/>
          <w:sz w:val="20"/>
        </w:rPr>
      </w:pPr>
      <w:r w:rsidRPr="00AE7C3B">
        <w:rPr>
          <w:b/>
          <w:sz w:val="20"/>
        </w:rPr>
        <w:t>Table 1</w:t>
      </w:r>
    </w:p>
    <w:p w14:paraId="0DF998E6" w14:textId="77777777" w:rsidR="00243D95" w:rsidRDefault="00243D95" w:rsidP="00243D95">
      <w:pPr>
        <w:spacing w:before="120" w:after="120"/>
      </w:pPr>
    </w:p>
    <w:p w14:paraId="0BA45F70" w14:textId="79C4CD01" w:rsidR="00A7790A" w:rsidRDefault="007C46F8" w:rsidP="00243D95">
      <w:pPr>
        <w:spacing w:before="120" w:after="120"/>
      </w:pPr>
      <w:r>
        <w:t>A couple of discussions regarding Table 1:</w:t>
      </w:r>
    </w:p>
    <w:p w14:paraId="68550B6B" w14:textId="36FD0490" w:rsidR="00AE7C3B" w:rsidRPr="007B4280" w:rsidRDefault="007C46F8" w:rsidP="00243D95">
      <w:pPr>
        <w:spacing w:before="120" w:after="120"/>
      </w:pPr>
      <w:r>
        <w:t xml:space="preserve">First, </w:t>
      </w:r>
      <w:r w:rsidR="00F13E35">
        <w:t xml:space="preserve">removing the nonseasonal consumption risk </w:t>
      </w:r>
      <w:r w:rsidR="00A7790A">
        <w:t>(</w:t>
      </w:r>
      <w:proofErr w:type="spellStart"/>
      <w:r w:rsidR="00A7790A">
        <w:t>NSCR</w:t>
      </w:r>
      <w:proofErr w:type="spellEnd"/>
      <w:r w:rsidR="00A7790A">
        <w:t>)</w:t>
      </w:r>
      <w:r w:rsidR="008B7E5F">
        <w:t xml:space="preserve"> </w:t>
      </w:r>
      <w:r w:rsidR="008B7E5F">
        <w:rPr>
          <w:rFonts w:hint="eastAsia"/>
        </w:rPr>
        <w:t>always</w:t>
      </w:r>
      <w:r w:rsidR="00A7790A">
        <w:t xml:space="preserve"> yields the same welfare gains, whateve</w:t>
      </w:r>
      <w:r w:rsidR="00485237">
        <w:t xml:space="preserve">r the </w:t>
      </w:r>
      <w:r w:rsidR="00A7790A">
        <w:t>seasonality</w:t>
      </w:r>
      <w:r w:rsidR="00485237">
        <w:t xml:space="preserve"> is</w:t>
      </w:r>
      <w:r w:rsidR="00A7790A">
        <w:t xml:space="preserve">. </w:t>
      </w:r>
      <w:r w:rsidR="00AA72D7">
        <w:t xml:space="preserve">I am not sure but I think this is because after removing </w:t>
      </w:r>
      <w:proofErr w:type="spellStart"/>
      <w:r w:rsidR="00AA72D7">
        <w:t>NSCR</w:t>
      </w:r>
      <w:proofErr w:type="spellEnd"/>
      <w:r w:rsidR="00AA72D7">
        <w:t xml:space="preserve">, </w:t>
      </w:r>
      <w:r w:rsidR="007B4280">
        <w:t xml:space="preserve">the only way that </w:t>
      </w:r>
      <w:r w:rsidR="00AA72D7">
        <w:t xml:space="preserve">households </w:t>
      </w:r>
      <w:r w:rsidR="007B4280">
        <w:t xml:space="preserve">can be different is </w:t>
      </w:r>
      <w:r w:rsidR="005042AA">
        <w:t>through</w:t>
      </w:r>
      <w:r w:rsidR="007B4280">
        <w:t xml:space="preserve"> ln </w:t>
      </w:r>
      <w:r w:rsidR="007B4280" w:rsidRPr="007B4280">
        <w:rPr>
          <w:i/>
        </w:rPr>
        <w:t>u</w:t>
      </w:r>
      <w:r w:rsidR="000312B6">
        <w:t xml:space="preserve"> (the u</w:t>
      </w:r>
      <w:r w:rsidR="005F1267">
        <w:t>t</w:t>
      </w:r>
      <w:r w:rsidR="000312B6">
        <w:t>i</w:t>
      </w:r>
      <w:r w:rsidR="005F1267">
        <w:t>li</w:t>
      </w:r>
      <w:r w:rsidR="000312B6">
        <w:t xml:space="preserve">ty function is of the log form). This difference should be trivial when we are considering </w:t>
      </w:r>
      <w:r w:rsidR="00385E89">
        <w:t>many</w:t>
      </w:r>
      <w:r w:rsidR="000312B6">
        <w:t xml:space="preserve"> households and a </w:t>
      </w:r>
      <w:r w:rsidR="00385E89">
        <w:t>l</w:t>
      </w:r>
      <w:r w:rsidR="005042AA">
        <w:t>ong</w:t>
      </w:r>
      <w:r w:rsidR="00385E89">
        <w:t xml:space="preserve"> time</w:t>
      </w:r>
      <w:r w:rsidR="000312B6">
        <w:t xml:space="preserve"> period.</w:t>
      </w:r>
    </w:p>
    <w:p w14:paraId="0719D3C2" w14:textId="7FAEE0CC" w:rsidR="008B7E5F" w:rsidRDefault="008B7E5F" w:rsidP="00243D95">
      <w:pPr>
        <w:spacing w:before="120" w:after="120"/>
      </w:pPr>
      <w:r>
        <w:rPr>
          <w:rFonts w:hint="eastAsia"/>
        </w:rPr>
        <w:t>Se</w:t>
      </w:r>
      <w:r>
        <w:t>cond, the welfare gain</w:t>
      </w:r>
      <w:r w:rsidR="0015513D">
        <w:t>s</w:t>
      </w:r>
      <w:r>
        <w:t xml:space="preserve"> of removing the seasonal component increase with the degree of seasonality. </w:t>
      </w:r>
      <w:r w:rsidR="00585821">
        <w:t xml:space="preserve">This is reasonable because the degree of seasonality represents the degree of uncertainty facing households. </w:t>
      </w:r>
      <w:r w:rsidR="00C42E2A">
        <w:t xml:space="preserve">Households should gain more </w:t>
      </w:r>
      <w:r w:rsidR="00242BB4">
        <w:t xml:space="preserve">when they change </w:t>
      </w:r>
      <w:r w:rsidR="00FC2D8B">
        <w:t>from a more uncertain scenario to an insured scenario</w:t>
      </w:r>
      <w:r w:rsidR="001D676E">
        <w:t>.</w:t>
      </w:r>
    </w:p>
    <w:p w14:paraId="4CF7E252" w14:textId="14A8CBE1" w:rsidR="008B7E5F" w:rsidRDefault="008B7E5F" w:rsidP="00243D95">
      <w:pPr>
        <w:spacing w:before="120" w:after="120"/>
      </w:pPr>
      <w:r>
        <w:t>Third, the</w:t>
      </w:r>
      <w:r w:rsidR="00E07404">
        <w:t xml:space="preserve"> welfare gains strictly increase with </w:t>
      </w:r>
      <w:r w:rsidR="00E07404" w:rsidRPr="00E07404">
        <w:rPr>
          <w:rFonts w:ascii="Consolas" w:hAnsi="Consolas"/>
          <w:sz w:val="22"/>
        </w:rPr>
        <w:t>Eta</w:t>
      </w:r>
      <w:r w:rsidR="00E07404">
        <w:t>, when all the other conditions are the same.</w:t>
      </w:r>
      <w:r w:rsidR="00242BB4">
        <w:t xml:space="preserve"> This is because </w:t>
      </w:r>
      <w:r w:rsidR="00242BB4" w:rsidRPr="00242BB4">
        <w:rPr>
          <w:rFonts w:ascii="Consolas" w:hAnsi="Consolas"/>
          <w:sz w:val="22"/>
        </w:rPr>
        <w:t>Eta</w:t>
      </w:r>
      <w:r w:rsidR="00242BB4">
        <w:t xml:space="preserve"> represents the coefficient of relative risk aversion and the utility function has a </w:t>
      </w:r>
      <w:proofErr w:type="spellStart"/>
      <w:r w:rsidR="00242BB4">
        <w:t>CRRA</w:t>
      </w:r>
      <w:proofErr w:type="spellEnd"/>
      <w:r w:rsidR="00242BB4">
        <w:t xml:space="preserve"> form. </w:t>
      </w:r>
      <w:r w:rsidR="00635836">
        <w:t xml:space="preserve">The greater the </w:t>
      </w:r>
      <w:r w:rsidR="00635836" w:rsidRPr="00635836">
        <w:rPr>
          <w:rFonts w:ascii="Consolas" w:hAnsi="Consolas"/>
          <w:sz w:val="22"/>
        </w:rPr>
        <w:t>Eta</w:t>
      </w:r>
      <w:r w:rsidR="00635836">
        <w:t>, the more risk averse the household is.</w:t>
      </w:r>
      <w:r w:rsidR="002728AC">
        <w:t xml:space="preserve"> So, households should feel more gains when they </w:t>
      </w:r>
      <w:r w:rsidR="002728AC">
        <w:t>change from a</w:t>
      </w:r>
      <w:r w:rsidR="005C27EB">
        <w:t>n</w:t>
      </w:r>
      <w:r w:rsidR="002728AC">
        <w:t xml:space="preserve"> uncertain scenario to an insured scenario</w:t>
      </w:r>
      <w:r w:rsidR="002728AC">
        <w:t>.</w:t>
      </w:r>
    </w:p>
    <w:p w14:paraId="262A84C9" w14:textId="2AA23A1A" w:rsidR="00AE7C3B" w:rsidRDefault="00485237" w:rsidP="00243D95">
      <w:pPr>
        <w:spacing w:before="120" w:after="120"/>
      </w:pPr>
      <w:r>
        <w:lastRenderedPageBreak/>
        <w:t xml:space="preserve">Fourth, the welfare gains of removing </w:t>
      </w:r>
      <w:proofErr w:type="spellStart"/>
      <w:r>
        <w:t>NSCR</w:t>
      </w:r>
      <w:proofErr w:type="spellEnd"/>
      <w:r>
        <w:t xml:space="preserve"> </w:t>
      </w:r>
      <w:r w:rsidR="00441FF4">
        <w:t xml:space="preserve">are greater than those of removing the </w:t>
      </w:r>
      <w:r w:rsidR="004C3C3C">
        <w:t xml:space="preserve">deterministic </w:t>
      </w:r>
      <w:r w:rsidR="00441FF4">
        <w:t>seasonal component, when all the other conditions are the same.</w:t>
      </w:r>
      <w:r w:rsidR="00065D7D">
        <w:t xml:space="preserve"> This may relate to the fact </w:t>
      </w:r>
      <w:r w:rsidR="002D7DAE">
        <w:t xml:space="preserve">that </w:t>
      </w:r>
      <w:proofErr w:type="spellStart"/>
      <w:r w:rsidR="00065D7D">
        <w:t>NSCR</w:t>
      </w:r>
      <w:proofErr w:type="spellEnd"/>
      <w:r w:rsidR="00065D7D">
        <w:t xml:space="preserve"> and the deterministic seasonal component appear differently in consumption. </w:t>
      </w:r>
      <w:r w:rsidR="004C3C3C">
        <w:t xml:space="preserve">The influence of </w:t>
      </w:r>
      <w:proofErr w:type="spellStart"/>
      <w:r w:rsidR="004C3C3C">
        <w:t>NSCR</w:t>
      </w:r>
      <w:proofErr w:type="spellEnd"/>
      <w:r w:rsidR="004C3C3C">
        <w:t xml:space="preserve"> dominates not only </w:t>
      </w:r>
      <w:r w:rsidR="002D7DAE">
        <w:t xml:space="preserve">because </w:t>
      </w:r>
      <w:r w:rsidR="004C3C3C">
        <w:t>|</w:t>
      </w:r>
      <w:r w:rsidR="004C3C3C" w:rsidRPr="004C3C3C">
        <w:rPr>
          <w:i/>
        </w:rPr>
        <w:t>-</w:t>
      </w:r>
      <m:oMath>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r>
          <w:rPr>
            <w:rFonts w:ascii="Cambria Math" w:hAnsi="Cambria Math"/>
          </w:rPr>
          <m:t>/2</m:t>
        </m:r>
      </m:oMath>
      <w:r w:rsidR="004C3C3C">
        <w:t>| &gt; |</w:t>
      </w:r>
      <w:r w:rsidR="004C3C3C" w:rsidRPr="004C3C3C">
        <w:rPr>
          <w:i/>
        </w:rPr>
        <w:t>g</w:t>
      </w:r>
      <w:r w:rsidR="004C3C3C">
        <w:t>(</w:t>
      </w:r>
      <w:r w:rsidR="004C3C3C" w:rsidRPr="004C3C3C">
        <w:rPr>
          <w:i/>
        </w:rPr>
        <w:t>m</w:t>
      </w:r>
      <w:r w:rsidR="004C3C3C">
        <w:t>)| in ten months of the year (Mar – Dec), but also</w:t>
      </w:r>
      <w:r w:rsidR="002D7DAE">
        <w:t xml:space="preserve"> because</w:t>
      </w:r>
      <w:r w:rsidR="004C3C3C">
        <w:t xml:space="preserve"> </w:t>
      </w:r>
      <w:proofErr w:type="spellStart"/>
      <w:r w:rsidR="004C3C3C">
        <w:t>NSCR</w:t>
      </w:r>
      <w:proofErr w:type="spellEnd"/>
      <w:r w:rsidR="004C3C3C">
        <w:t xml:space="preserve"> has an extra term </w:t>
      </w:r>
      <m:oMath>
        <m:sSub>
          <m:sSubPr>
            <m:ctrlPr>
              <w:rPr>
                <w:rFonts w:ascii="Cambria Math" w:hAnsi="Cambria Math"/>
              </w:rPr>
            </m:ctrlPr>
          </m:sSubPr>
          <m:e>
            <m:r>
              <w:rPr>
                <w:rFonts w:ascii="Cambria Math" w:hAnsi="Cambria Math"/>
              </w:rPr>
              <m:t>ε</m:t>
            </m:r>
          </m:e>
          <m:sub>
            <m:r>
              <w:rPr>
                <w:rFonts w:ascii="Cambria Math" w:hAnsi="Cambria Math"/>
              </w:rPr>
              <m:t>t</m:t>
            </m:r>
          </m:sub>
        </m:sSub>
      </m:oMath>
      <w:r w:rsidR="004C3C3C">
        <w:t xml:space="preserve"> which varies every year.</w:t>
      </w:r>
    </w:p>
    <w:p w14:paraId="0ECD175F" w14:textId="77777777" w:rsidR="004C3C3C" w:rsidRDefault="004C3C3C" w:rsidP="00243D95">
      <w:pPr>
        <w:spacing w:before="120" w:after="120"/>
      </w:pPr>
    </w:p>
    <w:p w14:paraId="2C4B00D4" w14:textId="47EF8725" w:rsidR="00AE7C3B" w:rsidRDefault="0076218B" w:rsidP="00243D95">
      <w:pPr>
        <w:spacing w:before="120"/>
      </w:pPr>
      <w:r w:rsidRPr="0076218B">
        <w:drawing>
          <wp:inline distT="0" distB="0" distL="0" distR="0" wp14:anchorId="4B206112" wp14:editId="7D2BFD73">
            <wp:extent cx="5254283" cy="791513"/>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4474"/>
                    <a:stretch/>
                  </pic:blipFill>
                  <pic:spPr bwMode="auto">
                    <a:xfrm>
                      <a:off x="0" y="0"/>
                      <a:ext cx="5737688" cy="864334"/>
                    </a:xfrm>
                    <a:prstGeom prst="rect">
                      <a:avLst/>
                    </a:prstGeom>
                    <a:ln>
                      <a:noFill/>
                    </a:ln>
                    <a:extLst>
                      <a:ext uri="{53640926-AAD7-44D8-BBD7-CCE9431645EC}">
                        <a14:shadowObscured xmlns:a14="http://schemas.microsoft.com/office/drawing/2010/main"/>
                      </a:ext>
                    </a:extLst>
                  </pic:spPr>
                </pic:pic>
              </a:graphicData>
            </a:graphic>
          </wp:inline>
        </w:drawing>
      </w:r>
    </w:p>
    <w:p w14:paraId="2524C944" w14:textId="45E5964F" w:rsidR="00AE7C3B" w:rsidRDefault="00AE7C3B" w:rsidP="00243D95">
      <w:pPr>
        <w:spacing w:after="120"/>
        <w:jc w:val="center"/>
        <w:rPr>
          <w:b/>
          <w:sz w:val="20"/>
        </w:rPr>
      </w:pPr>
      <w:r w:rsidRPr="00AE7C3B">
        <w:rPr>
          <w:b/>
          <w:sz w:val="20"/>
        </w:rPr>
        <w:t>Table 2</w:t>
      </w:r>
    </w:p>
    <w:p w14:paraId="7DFC5F9D" w14:textId="77777777" w:rsidR="0055401D" w:rsidRDefault="0055401D" w:rsidP="00243D95">
      <w:pPr>
        <w:spacing w:before="120" w:after="120"/>
      </w:pPr>
    </w:p>
    <w:p w14:paraId="39FB7E4E" w14:textId="66EAC382" w:rsidR="00243D95" w:rsidRDefault="00243D95" w:rsidP="00243D95">
      <w:pPr>
        <w:spacing w:before="120" w:after="120"/>
      </w:pPr>
      <w:r>
        <w:t xml:space="preserve">In Table 2, </w:t>
      </w:r>
      <w:proofErr w:type="spellStart"/>
      <w:r w:rsidRPr="00243D95">
        <w:rPr>
          <w:rFonts w:ascii="Consolas" w:hAnsi="Consolas"/>
          <w:sz w:val="22"/>
        </w:rPr>
        <w:t>Low_</w:t>
      </w:r>
      <w:r>
        <w:rPr>
          <w:rFonts w:ascii="Consolas" w:hAnsi="Consolas"/>
          <w:sz w:val="22"/>
        </w:rPr>
        <w:t>Mid</w:t>
      </w:r>
      <w:proofErr w:type="spellEnd"/>
      <w:r w:rsidR="00AD09FE">
        <w:t xml:space="preserve">, for example, </w:t>
      </w:r>
      <w:r>
        <w:t>means the situation with a low degree of deterministic seasonal component</w:t>
      </w:r>
      <w:r w:rsidR="00AD09FE">
        <w:t xml:space="preserve"> (DSC)</w:t>
      </w:r>
      <w:r>
        <w:t xml:space="preserve"> and a middle degree of stochastic seasonal component</w:t>
      </w:r>
      <w:r w:rsidR="00AD09FE">
        <w:t xml:space="preserve"> (SSC)</w:t>
      </w:r>
      <w:r>
        <w:t>.</w:t>
      </w:r>
      <w:r w:rsidR="00AD09FE">
        <w:t xml:space="preserve"> So, in terms of notation, the first three letters always refer to DSC.</w:t>
      </w:r>
    </w:p>
    <w:p w14:paraId="13C4257A" w14:textId="751FBE5D" w:rsidR="00243D95" w:rsidRDefault="00243D95" w:rsidP="00243D95">
      <w:pPr>
        <w:spacing w:before="120" w:after="120"/>
      </w:pPr>
      <w:r w:rsidRPr="00243D95">
        <w:t>A couple of discussions regarding Table 2:</w:t>
      </w:r>
    </w:p>
    <w:p w14:paraId="428CDC9F" w14:textId="63E24603" w:rsidR="00AE7C3B" w:rsidRPr="00A715A9" w:rsidRDefault="00AD09FE" w:rsidP="00243D95">
      <w:pPr>
        <w:spacing w:before="120" w:after="120"/>
      </w:pPr>
      <w:r>
        <w:t>First, the welfare gains of removing the seasonal component (i.e., both DSC and SSC) seem to be largely dominated by SSC instead of by DSC. When we keep all the other conditions the same, we see th</w:t>
      </w:r>
      <w:r w:rsidR="00A715A9">
        <w:t xml:space="preserve">at such gains have the following order: </w:t>
      </w:r>
      <w:proofErr w:type="spellStart"/>
      <w:r w:rsidRPr="00602415">
        <w:rPr>
          <w:rFonts w:ascii="Consolas" w:hAnsi="Consolas"/>
          <w:sz w:val="22"/>
        </w:rPr>
        <w:t>Low_Low</w:t>
      </w:r>
      <w:proofErr w:type="spellEnd"/>
      <w:r w:rsidR="00A715A9">
        <w:t xml:space="preserve"> &lt; </w:t>
      </w:r>
      <w:proofErr w:type="spellStart"/>
      <w:r w:rsidR="00A715A9" w:rsidRPr="00602415">
        <w:rPr>
          <w:rFonts w:ascii="Consolas" w:hAnsi="Consolas"/>
          <w:sz w:val="22"/>
        </w:rPr>
        <w:t>Mid_Low</w:t>
      </w:r>
      <w:proofErr w:type="spellEnd"/>
      <w:r w:rsidR="00A715A9">
        <w:t xml:space="preserve"> &lt;</w:t>
      </w:r>
      <w:r w:rsidR="00A715A9">
        <w:t xml:space="preserve"> </w:t>
      </w:r>
      <w:proofErr w:type="spellStart"/>
      <w:r w:rsidR="00A715A9" w:rsidRPr="00602415">
        <w:rPr>
          <w:rFonts w:ascii="Consolas" w:hAnsi="Consolas"/>
          <w:sz w:val="22"/>
        </w:rPr>
        <w:t>High_Low</w:t>
      </w:r>
      <w:proofErr w:type="spellEnd"/>
      <w:r w:rsidR="00A715A9">
        <w:t xml:space="preserve"> &lt; </w:t>
      </w:r>
      <w:proofErr w:type="spellStart"/>
      <w:r w:rsidR="00A715A9">
        <w:rPr>
          <w:rFonts w:ascii="Consolas" w:hAnsi="Consolas"/>
          <w:sz w:val="22"/>
        </w:rPr>
        <w:t>Low</w:t>
      </w:r>
      <w:r w:rsidR="00A715A9" w:rsidRPr="00602415">
        <w:rPr>
          <w:rFonts w:ascii="Consolas" w:hAnsi="Consolas"/>
          <w:sz w:val="22"/>
        </w:rPr>
        <w:t>_</w:t>
      </w:r>
      <w:r w:rsidR="00A715A9">
        <w:rPr>
          <w:rFonts w:ascii="Consolas" w:hAnsi="Consolas"/>
          <w:sz w:val="22"/>
        </w:rPr>
        <w:t>Mid</w:t>
      </w:r>
      <w:proofErr w:type="spellEnd"/>
      <w:r w:rsidR="00A715A9">
        <w:t xml:space="preserve"> &lt; </w:t>
      </w:r>
      <w:proofErr w:type="spellStart"/>
      <w:r w:rsidR="00A715A9" w:rsidRPr="00602415">
        <w:rPr>
          <w:rFonts w:ascii="Consolas" w:hAnsi="Consolas"/>
          <w:sz w:val="22"/>
        </w:rPr>
        <w:t>Mid_</w:t>
      </w:r>
      <w:r w:rsidR="00A715A9">
        <w:rPr>
          <w:rFonts w:ascii="Consolas" w:hAnsi="Consolas"/>
          <w:sz w:val="22"/>
        </w:rPr>
        <w:t>Mid</w:t>
      </w:r>
      <w:proofErr w:type="spellEnd"/>
      <w:r w:rsidR="00A715A9">
        <w:t xml:space="preserve"> &lt; </w:t>
      </w:r>
      <w:proofErr w:type="spellStart"/>
      <w:r w:rsidR="00A715A9">
        <w:rPr>
          <w:rFonts w:ascii="Consolas" w:hAnsi="Consolas"/>
          <w:sz w:val="22"/>
        </w:rPr>
        <w:t>High</w:t>
      </w:r>
      <w:r w:rsidR="00A715A9" w:rsidRPr="00602415">
        <w:rPr>
          <w:rFonts w:ascii="Consolas" w:hAnsi="Consolas"/>
          <w:sz w:val="22"/>
        </w:rPr>
        <w:t>_</w:t>
      </w:r>
      <w:r w:rsidR="00A715A9">
        <w:rPr>
          <w:rFonts w:ascii="Consolas" w:hAnsi="Consolas"/>
          <w:sz w:val="22"/>
        </w:rPr>
        <w:t>Mid</w:t>
      </w:r>
      <w:proofErr w:type="spellEnd"/>
      <w:r w:rsidR="00A715A9">
        <w:t xml:space="preserve"> &lt; </w:t>
      </w:r>
      <w:proofErr w:type="spellStart"/>
      <w:r w:rsidR="00A715A9">
        <w:rPr>
          <w:rFonts w:ascii="Consolas" w:hAnsi="Consolas"/>
          <w:sz w:val="22"/>
        </w:rPr>
        <w:t>Low</w:t>
      </w:r>
      <w:r w:rsidR="00A715A9" w:rsidRPr="00602415">
        <w:rPr>
          <w:rFonts w:ascii="Consolas" w:hAnsi="Consolas"/>
          <w:sz w:val="22"/>
        </w:rPr>
        <w:t>_</w:t>
      </w:r>
      <w:r w:rsidR="00A715A9">
        <w:rPr>
          <w:rFonts w:ascii="Consolas" w:hAnsi="Consolas"/>
          <w:sz w:val="22"/>
        </w:rPr>
        <w:t>High</w:t>
      </w:r>
      <w:proofErr w:type="spellEnd"/>
      <w:r w:rsidR="00A715A9">
        <w:t xml:space="preserve"> &lt; </w:t>
      </w:r>
      <w:proofErr w:type="spellStart"/>
      <w:r w:rsidR="00A715A9">
        <w:rPr>
          <w:rFonts w:ascii="Consolas" w:hAnsi="Consolas"/>
          <w:sz w:val="22"/>
        </w:rPr>
        <w:t>Mid</w:t>
      </w:r>
      <w:r w:rsidR="00A715A9" w:rsidRPr="00602415">
        <w:rPr>
          <w:rFonts w:ascii="Consolas" w:hAnsi="Consolas"/>
          <w:sz w:val="22"/>
        </w:rPr>
        <w:t>_</w:t>
      </w:r>
      <w:r w:rsidR="00A715A9">
        <w:rPr>
          <w:rFonts w:ascii="Consolas" w:hAnsi="Consolas"/>
          <w:sz w:val="22"/>
        </w:rPr>
        <w:t>High</w:t>
      </w:r>
      <w:proofErr w:type="spellEnd"/>
      <w:r w:rsidR="00A715A9">
        <w:t xml:space="preserve"> &lt; </w:t>
      </w:r>
      <w:proofErr w:type="spellStart"/>
      <w:r w:rsidR="00A715A9" w:rsidRPr="00602415">
        <w:rPr>
          <w:rFonts w:ascii="Consolas" w:hAnsi="Consolas"/>
          <w:sz w:val="22"/>
        </w:rPr>
        <w:t>High_</w:t>
      </w:r>
      <w:r w:rsidR="00A715A9">
        <w:rPr>
          <w:rFonts w:ascii="Consolas" w:hAnsi="Consolas"/>
          <w:sz w:val="22"/>
        </w:rPr>
        <w:t>High</w:t>
      </w:r>
      <w:proofErr w:type="spellEnd"/>
      <w:r w:rsidR="00A715A9">
        <w:rPr>
          <w:rFonts w:hint="eastAsia"/>
        </w:rPr>
        <w:t>,</w:t>
      </w:r>
      <w:r w:rsidR="00A715A9">
        <w:t xml:space="preserve"> except when </w:t>
      </w:r>
      <w:r w:rsidR="00A715A9" w:rsidRPr="00A715A9">
        <w:rPr>
          <w:rFonts w:ascii="Consolas" w:hAnsi="Consolas"/>
          <w:sz w:val="22"/>
        </w:rPr>
        <w:t>Eta</w:t>
      </w:r>
      <w:r w:rsidR="00A715A9">
        <w:t xml:space="preserve"> = 4, where we observe </w:t>
      </w:r>
      <w:proofErr w:type="spellStart"/>
      <w:r w:rsidR="00A715A9">
        <w:rPr>
          <w:rFonts w:ascii="Consolas" w:hAnsi="Consolas"/>
          <w:sz w:val="22"/>
        </w:rPr>
        <w:t>Low</w:t>
      </w:r>
      <w:r w:rsidR="00A715A9" w:rsidRPr="00602415">
        <w:rPr>
          <w:rFonts w:ascii="Consolas" w:hAnsi="Consolas"/>
          <w:sz w:val="22"/>
        </w:rPr>
        <w:t>_</w:t>
      </w:r>
      <w:r w:rsidR="00A715A9">
        <w:rPr>
          <w:rFonts w:ascii="Consolas" w:hAnsi="Consolas"/>
          <w:sz w:val="22"/>
        </w:rPr>
        <w:t>Mid</w:t>
      </w:r>
      <w:proofErr w:type="spellEnd"/>
      <w:r w:rsidR="00A715A9">
        <w:t xml:space="preserve"> </w:t>
      </w:r>
      <w:r w:rsidR="00A715A9">
        <w:t>&gt;</w:t>
      </w:r>
      <w:r w:rsidR="00A715A9">
        <w:t xml:space="preserve"> </w:t>
      </w:r>
      <w:proofErr w:type="spellStart"/>
      <w:r w:rsidR="00A715A9" w:rsidRPr="00602415">
        <w:rPr>
          <w:rFonts w:ascii="Consolas" w:hAnsi="Consolas"/>
          <w:sz w:val="22"/>
        </w:rPr>
        <w:t>Mid_</w:t>
      </w:r>
      <w:r w:rsidR="00A715A9">
        <w:rPr>
          <w:rFonts w:ascii="Consolas" w:hAnsi="Consolas"/>
          <w:sz w:val="22"/>
        </w:rPr>
        <w:t>Mid</w:t>
      </w:r>
      <w:proofErr w:type="spellEnd"/>
      <w:r w:rsidR="00A715A9" w:rsidRPr="00A715A9">
        <w:t xml:space="preserve"> and</w:t>
      </w:r>
      <w:r w:rsidR="00A715A9">
        <w:t xml:space="preserve"> </w:t>
      </w:r>
      <w:proofErr w:type="spellStart"/>
      <w:r w:rsidR="00A715A9">
        <w:rPr>
          <w:rFonts w:ascii="Consolas" w:hAnsi="Consolas"/>
          <w:sz w:val="22"/>
        </w:rPr>
        <w:t>Low</w:t>
      </w:r>
      <w:r w:rsidR="00A715A9" w:rsidRPr="00602415">
        <w:rPr>
          <w:rFonts w:ascii="Consolas" w:hAnsi="Consolas"/>
          <w:sz w:val="22"/>
        </w:rPr>
        <w:t>_</w:t>
      </w:r>
      <w:r w:rsidR="00A715A9">
        <w:rPr>
          <w:rFonts w:ascii="Consolas" w:hAnsi="Consolas"/>
          <w:sz w:val="22"/>
        </w:rPr>
        <w:t>High</w:t>
      </w:r>
      <w:proofErr w:type="spellEnd"/>
      <w:r w:rsidR="00A715A9">
        <w:t xml:space="preserve"> </w:t>
      </w:r>
      <w:r w:rsidR="00A715A9">
        <w:t>&gt;</w:t>
      </w:r>
      <w:r w:rsidR="00A715A9">
        <w:t xml:space="preserve"> </w:t>
      </w:r>
      <w:proofErr w:type="spellStart"/>
      <w:r w:rsidR="00A715A9">
        <w:rPr>
          <w:rFonts w:ascii="Consolas" w:hAnsi="Consolas"/>
          <w:sz w:val="22"/>
        </w:rPr>
        <w:t>Mid</w:t>
      </w:r>
      <w:r w:rsidR="00A715A9" w:rsidRPr="00602415">
        <w:rPr>
          <w:rFonts w:ascii="Consolas" w:hAnsi="Consolas"/>
          <w:sz w:val="22"/>
        </w:rPr>
        <w:t>_</w:t>
      </w:r>
      <w:r w:rsidR="00A715A9">
        <w:rPr>
          <w:rFonts w:ascii="Consolas" w:hAnsi="Consolas"/>
          <w:sz w:val="22"/>
        </w:rPr>
        <w:t>High</w:t>
      </w:r>
      <w:proofErr w:type="spellEnd"/>
      <w:r w:rsidR="00A715A9">
        <w:t xml:space="preserve"> </w:t>
      </w:r>
      <w:r w:rsidR="00A715A9">
        <w:t>&gt;</w:t>
      </w:r>
      <w:r w:rsidR="00A715A9">
        <w:t xml:space="preserve"> </w:t>
      </w:r>
      <w:proofErr w:type="spellStart"/>
      <w:r w:rsidR="00A715A9" w:rsidRPr="00602415">
        <w:rPr>
          <w:rFonts w:ascii="Consolas" w:hAnsi="Consolas"/>
          <w:sz w:val="22"/>
        </w:rPr>
        <w:t>High_</w:t>
      </w:r>
      <w:r w:rsidR="00A715A9">
        <w:rPr>
          <w:rFonts w:ascii="Consolas" w:hAnsi="Consolas"/>
          <w:sz w:val="22"/>
        </w:rPr>
        <w:t>High</w:t>
      </w:r>
      <w:proofErr w:type="spellEnd"/>
      <w:r w:rsidR="00A715A9" w:rsidRPr="00A715A9">
        <w:t>.</w:t>
      </w:r>
      <w:r w:rsidR="004959C8">
        <w:t xml:space="preserve"> The explana</w:t>
      </w:r>
      <w:r w:rsidR="005F0569">
        <w:t>tion of this point is similar to that of the fourth point in my discussions of regarding Table 1.</w:t>
      </w:r>
    </w:p>
    <w:p w14:paraId="481E3F84" w14:textId="71F8939B" w:rsidR="00A715A9" w:rsidRDefault="00A715A9" w:rsidP="00243D95">
      <w:pPr>
        <w:spacing w:before="120" w:after="120"/>
      </w:pPr>
      <w:r w:rsidRPr="00A715A9">
        <w:t xml:space="preserve">Second, when </w:t>
      </w:r>
      <w:r w:rsidRPr="00A715A9">
        <w:rPr>
          <w:rFonts w:ascii="Consolas" w:hAnsi="Consolas"/>
          <w:sz w:val="22"/>
        </w:rPr>
        <w:t>Eta</w:t>
      </w:r>
      <w:r w:rsidRPr="00A715A9">
        <w:t xml:space="preserve"> = 1, </w:t>
      </w:r>
      <w:r>
        <w:t>removing the nonseasonal consumption risk (</w:t>
      </w:r>
      <w:proofErr w:type="spellStart"/>
      <w:r>
        <w:t>NSCR</w:t>
      </w:r>
      <w:proofErr w:type="spellEnd"/>
      <w:r>
        <w:t xml:space="preserve">) </w:t>
      </w:r>
      <w:r>
        <w:rPr>
          <w:rFonts w:hint="eastAsia"/>
        </w:rPr>
        <w:t>always</w:t>
      </w:r>
      <w:r>
        <w:t xml:space="preserve"> yields the same welfare gains, whatever the seasonality is</w:t>
      </w:r>
      <w:r>
        <w:rPr>
          <w:rFonts w:hint="eastAsia"/>
        </w:rPr>
        <w:t>,</w:t>
      </w:r>
      <w:r>
        <w:t xml:space="preserve"> but this does not hold when </w:t>
      </w:r>
      <w:r w:rsidRPr="00A715A9">
        <w:rPr>
          <w:rFonts w:ascii="Consolas" w:hAnsi="Consolas"/>
          <w:sz w:val="22"/>
        </w:rPr>
        <w:t>Eta</w:t>
      </w:r>
      <w:r w:rsidRPr="00A715A9">
        <w:t xml:space="preserve"> = </w:t>
      </w:r>
      <w:r>
        <w:t>2 or 4.</w:t>
      </w:r>
      <w:r w:rsidR="0007090C">
        <w:t xml:space="preserve"> Regarding this, I do not</w:t>
      </w:r>
      <w:r w:rsidR="00C713DE">
        <w:t xml:space="preserve"> </w:t>
      </w:r>
      <w:r w:rsidR="0007090C">
        <w:t>know why</w:t>
      </w:r>
      <w:r w:rsidR="00CE6F10">
        <w:t xml:space="preserve"> exactly</w:t>
      </w:r>
      <w:r w:rsidR="0007090C">
        <w:t>.</w:t>
      </w:r>
    </w:p>
    <w:p w14:paraId="46301930" w14:textId="09F23E7A" w:rsidR="00A715A9" w:rsidRDefault="00A715A9" w:rsidP="00A715A9">
      <w:pPr>
        <w:spacing w:before="120" w:after="120"/>
      </w:pPr>
      <w:r>
        <w:t xml:space="preserve">Third, the welfare gains strictly increase with </w:t>
      </w:r>
      <w:r w:rsidRPr="00E07404">
        <w:rPr>
          <w:rFonts w:ascii="Consolas" w:hAnsi="Consolas"/>
          <w:sz w:val="22"/>
        </w:rPr>
        <w:t>Eta</w:t>
      </w:r>
      <w:r>
        <w:t>, when all the other conditions are the same.</w:t>
      </w:r>
      <w:r w:rsidR="005042AA">
        <w:t xml:space="preserve"> </w:t>
      </w:r>
      <w:r w:rsidR="004959C8">
        <w:t>The explanation is</w:t>
      </w:r>
      <w:r w:rsidR="005042AA">
        <w:t xml:space="preserve"> given </w:t>
      </w:r>
      <w:r w:rsidR="004959C8">
        <w:t>in my discussions regarding Table 1</w:t>
      </w:r>
      <w:r w:rsidR="005042AA">
        <w:t>.</w:t>
      </w:r>
    </w:p>
    <w:p w14:paraId="1FACA935" w14:textId="3CF92D3C" w:rsidR="00552E3A" w:rsidRDefault="00552E3A" w:rsidP="00552E3A">
      <w:pPr>
        <w:spacing w:before="120" w:after="120"/>
      </w:pPr>
      <w:r>
        <w:rPr>
          <w:rFonts w:hint="eastAsia"/>
        </w:rPr>
        <w:t>Fourth,</w:t>
      </w:r>
      <w:r>
        <w:t xml:space="preserve"> when the seasonality is </w:t>
      </w:r>
      <w:proofErr w:type="spellStart"/>
      <w:r w:rsidRPr="00602415">
        <w:rPr>
          <w:rFonts w:ascii="Consolas" w:hAnsi="Consolas"/>
          <w:sz w:val="22"/>
        </w:rPr>
        <w:t>Low_Low</w:t>
      </w:r>
      <w:proofErr w:type="spellEnd"/>
      <w:r>
        <w:t>,</w:t>
      </w:r>
      <w:r>
        <w:t xml:space="preserve"> </w:t>
      </w:r>
      <w:proofErr w:type="spellStart"/>
      <w:r w:rsidRPr="00602415">
        <w:rPr>
          <w:rFonts w:ascii="Consolas" w:hAnsi="Consolas"/>
          <w:sz w:val="22"/>
        </w:rPr>
        <w:t>Mid_Low</w:t>
      </w:r>
      <w:proofErr w:type="spellEnd"/>
      <w:r>
        <w:t xml:space="preserve"> or</w:t>
      </w:r>
      <w:r>
        <w:t xml:space="preserve"> </w:t>
      </w:r>
      <w:proofErr w:type="spellStart"/>
      <w:r w:rsidRPr="00602415">
        <w:rPr>
          <w:rFonts w:ascii="Consolas" w:hAnsi="Consolas"/>
          <w:sz w:val="22"/>
        </w:rPr>
        <w:t>High_Low</w:t>
      </w:r>
      <w:proofErr w:type="spellEnd"/>
      <w:r w:rsidRPr="00552E3A">
        <w:t xml:space="preserve"> and</w:t>
      </w:r>
      <w:r>
        <w:t xml:space="preserve"> all the other conditions are the same, </w:t>
      </w:r>
      <w:r>
        <w:t xml:space="preserve">the welfare gains of removing </w:t>
      </w:r>
      <w:proofErr w:type="spellStart"/>
      <w:r>
        <w:t>NSCR</w:t>
      </w:r>
      <w:proofErr w:type="spellEnd"/>
      <w:r>
        <w:t xml:space="preserve"> are greater than those of removing the seasonal component.</w:t>
      </w:r>
      <w:r w:rsidR="00126C07">
        <w:t xml:space="preserve"> </w:t>
      </w:r>
      <w:r w:rsidR="00E449A3">
        <w:t>T</w:t>
      </w:r>
      <w:r w:rsidR="00126C07">
        <w:t xml:space="preserve">his maybe relate to the changes of the relative magnitudes of the </w:t>
      </w:r>
      <w:r w:rsidR="00BB4568">
        <w:t>component</w:t>
      </w:r>
      <w:r w:rsidR="00126C07">
        <w:t xml:space="preserve">s’ influences when we change </w:t>
      </w:r>
      <w:r w:rsidR="00BB4568">
        <w:t>the components themselves</w:t>
      </w:r>
      <w:r w:rsidR="00126C07">
        <w:t xml:space="preserve">. </w:t>
      </w:r>
    </w:p>
    <w:p w14:paraId="3EBC0414" w14:textId="4DF5459D" w:rsidR="00552E3A" w:rsidRDefault="00552E3A" w:rsidP="00585821">
      <w:pPr>
        <w:spacing w:before="120" w:after="120"/>
      </w:pPr>
    </w:p>
    <w:p w14:paraId="6A52F474" w14:textId="2EBD958E" w:rsidR="00585821" w:rsidRDefault="00552E3A" w:rsidP="00585821">
      <w:pPr>
        <w:autoSpaceDE w:val="0"/>
        <w:autoSpaceDN w:val="0"/>
        <w:adjustRightInd w:val="0"/>
        <w:spacing w:before="120" w:after="120"/>
      </w:pPr>
      <w:proofErr w:type="spellStart"/>
      <w:r w:rsidRPr="00552E3A">
        <w:rPr>
          <w:rFonts w:ascii="Consolas" w:hAnsi="Consolas"/>
          <w:sz w:val="22"/>
        </w:rPr>
        <w:t>q2.m</w:t>
      </w:r>
      <w:proofErr w:type="spellEnd"/>
      <w:r>
        <w:t xml:space="preserve"> delivers the two tables below, Table 3 and Table 4. Table 3 corresponds to Part (a) where we </w:t>
      </w:r>
      <w:r w:rsidRPr="00552E3A">
        <w:t>a</w:t>
      </w:r>
      <w:r w:rsidRPr="00552E3A">
        <w:t xml:space="preserve">ssume a </w:t>
      </w:r>
      <w:r w:rsidR="00776F99">
        <w:t xml:space="preserve">DSC </w:t>
      </w:r>
      <w:r w:rsidRPr="00552E3A">
        <w:t>and a</w:t>
      </w:r>
      <w:r w:rsidR="00776F99">
        <w:t>n</w:t>
      </w:r>
      <w:r w:rsidRPr="00552E3A">
        <w:t xml:space="preserve"> </w:t>
      </w:r>
      <w:r w:rsidR="00776F99">
        <w:t>SSC</w:t>
      </w:r>
      <w:r w:rsidRPr="00552E3A">
        <w:t xml:space="preserve"> for</w:t>
      </w:r>
      <w:r w:rsidRPr="00552E3A">
        <w:t xml:space="preserve"> </w:t>
      </w:r>
      <w:r w:rsidRPr="00552E3A">
        <w:t>labor supply both of which are highly positively correlated with their consumption counterparts</w:t>
      </w:r>
      <w:r>
        <w:t xml:space="preserve">, </w:t>
      </w:r>
      <w:r>
        <w:rPr>
          <w:rFonts w:hint="eastAsia"/>
        </w:rPr>
        <w:t>and</w:t>
      </w:r>
      <w:r>
        <w:t xml:space="preserve"> Table 4 to Part (b) where we assume the opposite. The effects are isolated for consumption and labor. </w:t>
      </w:r>
      <w:r w:rsidR="00776F99">
        <w:t>When I implement the positively correlated DSC, I simply let it equal for labor and consumption; when implementing the negatively correlated DSC, I let it opposite for labor and consumption. When I implement the positively correlated SSC, I use a covariance of .03</w:t>
      </w:r>
      <w:r w:rsidR="00580F25">
        <w:t xml:space="preserve"> </w:t>
      </w:r>
      <w:r w:rsidR="00776F99">
        <w:t xml:space="preserve">between </w:t>
      </w:r>
      <m:oMath>
        <m:func>
          <m:funcPr>
            <m:ctrlPr>
              <w:rPr>
                <w:rFonts w:ascii="Cambria Math" w:hAnsi="Cambria Math"/>
              </w:rPr>
            </m:ctrlPr>
          </m:funcPr>
          <m:fName>
            <m:r>
              <m:rPr>
                <m:sty m:val="p"/>
              </m:rPr>
              <w:rPr>
                <w:rFonts w:ascii="Cambria Math" w:hAnsi="Cambria Math"/>
              </w:rPr>
              <m:t>ln</m:t>
            </m:r>
          </m:fName>
          <m:e>
            <m:sSubSup>
              <m:sSubSupPr>
                <m:ctrlPr>
                  <w:rPr>
                    <w:rFonts w:ascii="Cambria Math" w:hAnsi="Cambria Math"/>
                  </w:rPr>
                </m:ctrlPr>
              </m:sSubSupPr>
              <m:e>
                <m:r>
                  <w:rPr>
                    <w:rFonts w:ascii="Cambria Math" w:hAnsi="Cambria Math"/>
                  </w:rPr>
                  <m:t>ε</m:t>
                </m:r>
              </m:e>
              <m:sub>
                <m:r>
                  <w:rPr>
                    <w:rFonts w:ascii="Cambria Math" w:hAnsi="Cambria Math" w:hint="eastAsia"/>
                  </w:rPr>
                  <m:t>m</m:t>
                </m:r>
              </m:sub>
              <m:sup>
                <m:r>
                  <w:rPr>
                    <w:rFonts w:ascii="Cambria Math" w:hAnsi="Cambria Math" w:hint="eastAsia"/>
                  </w:rPr>
                  <m:t>labor</m:t>
                </m:r>
              </m:sup>
            </m:sSubSup>
          </m:e>
        </m:func>
      </m:oMath>
      <w:r w:rsidR="00776F99">
        <w:t xml:space="preserve"> and </w:t>
      </w:r>
      <m:oMath>
        <m:func>
          <m:funcPr>
            <m:ctrlPr>
              <w:rPr>
                <w:rFonts w:ascii="Cambria Math" w:hAnsi="Cambria Math"/>
              </w:rPr>
            </m:ctrlPr>
          </m:funcPr>
          <m:fName>
            <m:r>
              <m:rPr>
                <m:sty m:val="p"/>
              </m:rPr>
              <w:rPr>
                <w:rFonts w:ascii="Cambria Math" w:hAnsi="Cambria Math"/>
              </w:rPr>
              <m:t>ln</m:t>
            </m:r>
          </m:fName>
          <m:e>
            <m:sSubSup>
              <m:sSubSupPr>
                <m:ctrlPr>
                  <w:rPr>
                    <w:rFonts w:ascii="Cambria Math" w:hAnsi="Cambria Math"/>
                  </w:rPr>
                </m:ctrlPr>
              </m:sSubSupPr>
              <m:e>
                <m:r>
                  <w:rPr>
                    <w:rFonts w:ascii="Cambria Math" w:hAnsi="Cambria Math"/>
                  </w:rPr>
                  <m:t>ε</m:t>
                </m:r>
              </m:e>
              <m:sub>
                <m:r>
                  <w:rPr>
                    <w:rFonts w:ascii="Cambria Math" w:hAnsi="Cambria Math" w:hint="eastAsia"/>
                  </w:rPr>
                  <m:t>m</m:t>
                </m:r>
              </m:sub>
              <m:sup>
                <m:r>
                  <w:rPr>
                    <w:rFonts w:ascii="Cambria Math" w:hAnsi="Cambria Math"/>
                  </w:rPr>
                  <m:t>consumption</m:t>
                </m:r>
              </m:sup>
            </m:sSubSup>
          </m:e>
        </m:func>
      </m:oMath>
      <w:r w:rsidR="00776F99">
        <w:t xml:space="preserve"> </w:t>
      </w:r>
      <w:r w:rsidR="007B030A">
        <w:t>(to make sure that the variance-covariance matrix is always positive definite</w:t>
      </w:r>
      <w:r w:rsidR="007B030A">
        <w:t xml:space="preserve">) </w:t>
      </w:r>
      <w:r w:rsidR="00776F99">
        <w:t>to generate consumption SSC and labor SSC; sim</w:t>
      </w:r>
      <w:r w:rsidR="005A7D89">
        <w:t>ilarly</w:t>
      </w:r>
      <w:r w:rsidR="00776F99">
        <w:t xml:space="preserve">, when </w:t>
      </w:r>
      <w:r w:rsidR="00776F99">
        <w:t xml:space="preserve">implementing the negatively correlated </w:t>
      </w:r>
      <w:r w:rsidR="00776F99">
        <w:t>S</w:t>
      </w:r>
      <w:r w:rsidR="00776F99">
        <w:t>SC</w:t>
      </w:r>
      <w:r w:rsidR="00776F99">
        <w:t xml:space="preserve">, the covariance changes to -.03. </w:t>
      </w:r>
      <w:r w:rsidR="007B030A">
        <w:t>So there are two scenarios in Table 4. O</w:t>
      </w:r>
      <w:r w:rsidR="007B030A">
        <w:t xml:space="preserve">ne is when the </w:t>
      </w:r>
      <w:r w:rsidR="00734BB5">
        <w:t xml:space="preserve">DSC </w:t>
      </w:r>
      <w:r w:rsidR="007B030A">
        <w:lastRenderedPageBreak/>
        <w:t xml:space="preserve">of consumption is as original and that of labor is the </w:t>
      </w:r>
      <w:r w:rsidR="00734BB5">
        <w:t>opposite</w:t>
      </w:r>
      <w:r w:rsidR="00A26683">
        <w:t xml:space="preserve"> (labeled as 1)</w:t>
      </w:r>
      <w:r w:rsidR="007B030A">
        <w:t>; the other scenario is the opposite situation</w:t>
      </w:r>
      <w:r w:rsidR="00A26683">
        <w:t xml:space="preserve"> (labeled as 2)</w:t>
      </w:r>
      <w:r w:rsidR="00734BB5">
        <w:t>.</w:t>
      </w:r>
    </w:p>
    <w:p w14:paraId="3A1F358A" w14:textId="77777777" w:rsidR="00585821" w:rsidRDefault="00585821" w:rsidP="00585821">
      <w:pPr>
        <w:autoSpaceDE w:val="0"/>
        <w:autoSpaceDN w:val="0"/>
        <w:adjustRightInd w:val="0"/>
        <w:spacing w:before="120" w:after="120"/>
      </w:pPr>
    </w:p>
    <w:p w14:paraId="4035C937" w14:textId="3038E81D" w:rsidR="00552E3A" w:rsidRDefault="00552E3A" w:rsidP="00585821">
      <w:pPr>
        <w:spacing w:before="120" w:after="120"/>
        <w:jc w:val="center"/>
      </w:pPr>
      <w:r w:rsidRPr="00552E3A">
        <w:rPr>
          <w:noProof/>
        </w:rPr>
        <w:drawing>
          <wp:inline distT="0" distB="0" distL="0" distR="0" wp14:anchorId="5DB36533" wp14:editId="3BF6ABFB">
            <wp:extent cx="5417741" cy="1187450"/>
            <wp:effectExtent l="0" t="0" r="0" b="0"/>
            <wp:docPr id="6" name="图片 6" descr="C:\Users\JUNHUI~1\AppData\Local\Temp\WeChat Files\66552b5f0a8e16f9528e3761e4a39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NHUI~1\AppData\Local\Temp\WeChat Files\66552b5f0a8e16f9528e3761e4a39a0.png"/>
                    <pic:cNvPicPr>
                      <a:picLocks noChangeAspect="1" noChangeArrowheads="1"/>
                    </pic:cNvPicPr>
                  </pic:nvPicPr>
                  <pic:blipFill rotWithShape="1">
                    <a:blip r:embed="rId8">
                      <a:extLst>
                        <a:ext uri="{28A0092B-C50C-407E-A947-70E740481C1C}">
                          <a14:useLocalDpi xmlns:a14="http://schemas.microsoft.com/office/drawing/2010/main" val="0"/>
                        </a:ext>
                      </a:extLst>
                    </a:blip>
                    <a:srcRect r="38478" b="69391"/>
                    <a:stretch/>
                  </pic:blipFill>
                  <pic:spPr bwMode="auto">
                    <a:xfrm>
                      <a:off x="0" y="0"/>
                      <a:ext cx="5443172" cy="1193024"/>
                    </a:xfrm>
                    <a:prstGeom prst="rect">
                      <a:avLst/>
                    </a:prstGeom>
                    <a:noFill/>
                    <a:ln>
                      <a:noFill/>
                    </a:ln>
                    <a:extLst>
                      <a:ext uri="{53640926-AAD7-44D8-BBD7-CCE9431645EC}">
                        <a14:shadowObscured xmlns:a14="http://schemas.microsoft.com/office/drawing/2010/main"/>
                      </a:ext>
                    </a:extLst>
                  </pic:spPr>
                </pic:pic>
              </a:graphicData>
            </a:graphic>
          </wp:inline>
        </w:drawing>
      </w:r>
    </w:p>
    <w:p w14:paraId="38690405" w14:textId="256E0844" w:rsidR="00585821" w:rsidRDefault="00552E3A" w:rsidP="00585821">
      <w:pPr>
        <w:spacing w:before="120" w:after="120"/>
        <w:jc w:val="center"/>
        <w:rPr>
          <w:b/>
          <w:sz w:val="20"/>
        </w:rPr>
      </w:pPr>
      <w:r w:rsidRPr="00552E3A">
        <w:rPr>
          <w:b/>
          <w:sz w:val="20"/>
        </w:rPr>
        <w:t>Table 3</w:t>
      </w:r>
    </w:p>
    <w:p w14:paraId="093FCCDB" w14:textId="3B536A61" w:rsidR="00585821" w:rsidRPr="00585821" w:rsidRDefault="00585821" w:rsidP="00585821">
      <w:pPr>
        <w:autoSpaceDE w:val="0"/>
        <w:autoSpaceDN w:val="0"/>
        <w:adjustRightInd w:val="0"/>
        <w:spacing w:before="120" w:after="120"/>
        <w:rPr>
          <w:b/>
        </w:rPr>
      </w:pPr>
    </w:p>
    <w:p w14:paraId="65D53320" w14:textId="378A2737" w:rsidR="00552E3A" w:rsidRDefault="00552E3A" w:rsidP="00585821">
      <w:pPr>
        <w:spacing w:before="120" w:after="120"/>
      </w:pPr>
      <w:r w:rsidRPr="00552E3A">
        <w:rPr>
          <w:noProof/>
        </w:rPr>
        <w:drawing>
          <wp:inline distT="0" distB="0" distL="0" distR="0" wp14:anchorId="19624857" wp14:editId="361DCC71">
            <wp:extent cx="5274310" cy="735965"/>
            <wp:effectExtent l="0" t="0" r="2540" b="6985"/>
            <wp:docPr id="8" name="图片 8" descr="C:\Users\JUNHUI~1\AppData\Local\Temp\WeChat Files\66552b5f0a8e16f9528e3761e4a39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NHUI~1\AppData\Local\Temp\WeChat Files\66552b5f0a8e16f9528e3761e4a39a0.png"/>
                    <pic:cNvPicPr>
                      <a:picLocks noChangeAspect="1" noChangeArrowheads="1"/>
                    </pic:cNvPicPr>
                  </pic:nvPicPr>
                  <pic:blipFill rotWithShape="1">
                    <a:blip r:embed="rId8">
                      <a:extLst>
                        <a:ext uri="{28A0092B-C50C-407E-A947-70E740481C1C}">
                          <a14:useLocalDpi xmlns:a14="http://schemas.microsoft.com/office/drawing/2010/main" val="0"/>
                        </a:ext>
                      </a:extLst>
                    </a:blip>
                    <a:srcRect t="68325"/>
                    <a:stretch/>
                  </pic:blipFill>
                  <pic:spPr bwMode="auto">
                    <a:xfrm>
                      <a:off x="0" y="0"/>
                      <a:ext cx="5274310" cy="735965"/>
                    </a:xfrm>
                    <a:prstGeom prst="rect">
                      <a:avLst/>
                    </a:prstGeom>
                    <a:noFill/>
                    <a:ln>
                      <a:noFill/>
                    </a:ln>
                    <a:extLst>
                      <a:ext uri="{53640926-AAD7-44D8-BBD7-CCE9431645EC}">
                        <a14:shadowObscured xmlns:a14="http://schemas.microsoft.com/office/drawing/2010/main"/>
                      </a:ext>
                    </a:extLst>
                  </pic:spPr>
                </pic:pic>
              </a:graphicData>
            </a:graphic>
          </wp:inline>
        </w:drawing>
      </w:r>
    </w:p>
    <w:p w14:paraId="6E853D82" w14:textId="2FCBFA40" w:rsidR="00552E3A" w:rsidRDefault="00552E3A" w:rsidP="00585821">
      <w:pPr>
        <w:spacing w:before="120" w:after="120"/>
        <w:jc w:val="center"/>
        <w:rPr>
          <w:b/>
          <w:sz w:val="20"/>
        </w:rPr>
      </w:pPr>
      <w:r w:rsidRPr="00552E3A">
        <w:rPr>
          <w:b/>
          <w:sz w:val="20"/>
        </w:rPr>
        <w:t>Table 4</w:t>
      </w:r>
    </w:p>
    <w:p w14:paraId="442D252C" w14:textId="77777777" w:rsidR="00585821" w:rsidRDefault="00585821" w:rsidP="00585821">
      <w:pPr>
        <w:autoSpaceDE w:val="0"/>
        <w:autoSpaceDN w:val="0"/>
        <w:adjustRightInd w:val="0"/>
        <w:spacing w:before="120" w:after="120"/>
        <w:jc w:val="left"/>
        <w:rPr>
          <w:b/>
          <w:sz w:val="20"/>
        </w:rPr>
      </w:pPr>
    </w:p>
    <w:p w14:paraId="7B179B5D" w14:textId="48E57FEC" w:rsidR="00585821" w:rsidRPr="006B5B90" w:rsidRDefault="00585821" w:rsidP="00585821">
      <w:pPr>
        <w:autoSpaceDE w:val="0"/>
        <w:autoSpaceDN w:val="0"/>
        <w:adjustRightInd w:val="0"/>
        <w:spacing w:before="120" w:after="120"/>
        <w:rPr>
          <w:b/>
        </w:rPr>
      </w:pPr>
      <w:r w:rsidRPr="006B5B90">
        <w:rPr>
          <w:b/>
        </w:rPr>
        <w:t xml:space="preserve">How do </w:t>
      </w:r>
      <w:r w:rsidRPr="006B5B90">
        <w:rPr>
          <w:b/>
        </w:rPr>
        <w:t>my</w:t>
      </w:r>
      <w:r w:rsidRPr="006B5B90">
        <w:rPr>
          <w:b/>
        </w:rPr>
        <w:t xml:space="preserve"> answers to (a) and (b) change if the nonseasonal stochastic component</w:t>
      </w:r>
      <w:r w:rsidRPr="006B5B90">
        <w:rPr>
          <w:b/>
        </w:rPr>
        <w:t xml:space="preserve"> </w:t>
      </w:r>
      <w:r w:rsidRPr="006B5B90">
        <w:rPr>
          <w:b/>
        </w:rPr>
        <w:t>of consumption and leisure are correlated?</w:t>
      </w:r>
    </w:p>
    <w:p w14:paraId="2ECA2605" w14:textId="2AE9598C" w:rsidR="00A715A9" w:rsidRDefault="006B5B90" w:rsidP="00776F99">
      <w:pPr>
        <w:spacing w:before="120" w:after="120"/>
      </w:pPr>
      <w:r>
        <w:t xml:space="preserve">I have not done this, but this can be easily </w:t>
      </w:r>
      <w:r w:rsidR="0036402D">
        <w:t>implemented in the program. When the nonseasonal stochastic component of consumption and leisure are correlated, the effects in the tables should be larger, because</w:t>
      </w:r>
      <w:r w:rsidR="007538B0">
        <w:t xml:space="preserve"> changes of</w:t>
      </w:r>
      <w:r w:rsidR="0036402D">
        <w:t xml:space="preserve"> consumption </w:t>
      </w:r>
      <w:r w:rsidR="00B74A94">
        <w:t>or</w:t>
      </w:r>
      <w:r w:rsidR="0036402D">
        <w:t xml:space="preserve"> labor </w:t>
      </w:r>
      <w:r w:rsidR="00F31A81">
        <w:t xml:space="preserve">are associated </w:t>
      </w:r>
      <w:r w:rsidR="007538B0">
        <w:t>with changes of other components, bringing</w:t>
      </w:r>
      <w:r w:rsidR="00CD701E">
        <w:t xml:space="preserve"> about</w:t>
      </w:r>
      <w:bookmarkStart w:id="0" w:name="_GoBack"/>
      <w:bookmarkEnd w:id="0"/>
      <w:r w:rsidR="007538B0">
        <w:t xml:space="preserve"> more influences</w:t>
      </w:r>
      <w:r w:rsidR="00F31A81">
        <w:t>.</w:t>
      </w:r>
    </w:p>
    <w:p w14:paraId="47113B08" w14:textId="77777777" w:rsidR="00A715A9" w:rsidRDefault="00A715A9" w:rsidP="00776F99">
      <w:pPr>
        <w:spacing w:before="120" w:after="120"/>
      </w:pPr>
    </w:p>
    <w:p w14:paraId="37B90AD3" w14:textId="77777777" w:rsidR="00A715A9" w:rsidRPr="00A715A9" w:rsidRDefault="00A715A9" w:rsidP="00776F99">
      <w:pPr>
        <w:spacing w:before="120" w:after="120"/>
        <w:rPr>
          <w:rFonts w:hint="eastAsia"/>
          <w:sz w:val="28"/>
        </w:rPr>
      </w:pPr>
    </w:p>
    <w:sectPr w:rsidR="00A715A9" w:rsidRPr="00A715A9" w:rsidSect="00087C39">
      <w:headerReference w:type="default" r:id="rId9"/>
      <w:footerReference w:type="default" r:id="rId1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9F8DB" w14:textId="77777777" w:rsidR="00452DE8" w:rsidRDefault="00452DE8" w:rsidP="00AD09FE">
      <w:r>
        <w:separator/>
      </w:r>
    </w:p>
  </w:endnote>
  <w:endnote w:type="continuationSeparator" w:id="0">
    <w:p w14:paraId="346A798B" w14:textId="77777777" w:rsidR="00452DE8" w:rsidRDefault="00452DE8" w:rsidP="00AD0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12751"/>
      <w:docPartObj>
        <w:docPartGallery w:val="Page Numbers (Bottom of Page)"/>
        <w:docPartUnique/>
      </w:docPartObj>
    </w:sdtPr>
    <w:sdtContent>
      <w:p w14:paraId="204F49BF" w14:textId="49419C8E" w:rsidR="00AD09FE" w:rsidRDefault="00AD09FE" w:rsidP="00AD09FE">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6B1B6" w14:textId="77777777" w:rsidR="00452DE8" w:rsidRDefault="00452DE8" w:rsidP="00AD09FE">
      <w:r>
        <w:separator/>
      </w:r>
    </w:p>
  </w:footnote>
  <w:footnote w:type="continuationSeparator" w:id="0">
    <w:p w14:paraId="7F986997" w14:textId="77777777" w:rsidR="00452DE8" w:rsidRDefault="00452DE8" w:rsidP="00AD0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14839" w14:textId="28CF9364" w:rsidR="00AD09FE" w:rsidRDefault="00AD09FE">
    <w:pPr>
      <w:pStyle w:val="a3"/>
      <w:jc w:val="center"/>
    </w:pPr>
  </w:p>
  <w:p w14:paraId="38DC8724" w14:textId="77777777" w:rsidR="00AD09FE" w:rsidRDefault="00AD09F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9C"/>
    <w:rsid w:val="000312B6"/>
    <w:rsid w:val="00065D7D"/>
    <w:rsid w:val="0007090C"/>
    <w:rsid w:val="00087C39"/>
    <w:rsid w:val="000B38AF"/>
    <w:rsid w:val="000C4E5C"/>
    <w:rsid w:val="00126C07"/>
    <w:rsid w:val="0015513D"/>
    <w:rsid w:val="001D676E"/>
    <w:rsid w:val="00242BB4"/>
    <w:rsid w:val="00243D95"/>
    <w:rsid w:val="0027249C"/>
    <w:rsid w:val="002728AC"/>
    <w:rsid w:val="002D7DAE"/>
    <w:rsid w:val="00337524"/>
    <w:rsid w:val="0036402D"/>
    <w:rsid w:val="00385E89"/>
    <w:rsid w:val="003932E6"/>
    <w:rsid w:val="00422933"/>
    <w:rsid w:val="00427764"/>
    <w:rsid w:val="00441FF4"/>
    <w:rsid w:val="00452DE8"/>
    <w:rsid w:val="00476AFB"/>
    <w:rsid w:val="00485237"/>
    <w:rsid w:val="004959C8"/>
    <w:rsid w:val="004C3C3C"/>
    <w:rsid w:val="005042AA"/>
    <w:rsid w:val="00552E3A"/>
    <w:rsid w:val="0055401D"/>
    <w:rsid w:val="00580F25"/>
    <w:rsid w:val="00585821"/>
    <w:rsid w:val="005A7D89"/>
    <w:rsid w:val="005C08BD"/>
    <w:rsid w:val="005C27EB"/>
    <w:rsid w:val="005F0569"/>
    <w:rsid w:val="005F1267"/>
    <w:rsid w:val="00602415"/>
    <w:rsid w:val="00635836"/>
    <w:rsid w:val="006B5B90"/>
    <w:rsid w:val="00734BB5"/>
    <w:rsid w:val="007538B0"/>
    <w:rsid w:val="007556AF"/>
    <w:rsid w:val="0076218B"/>
    <w:rsid w:val="00776F99"/>
    <w:rsid w:val="0078168F"/>
    <w:rsid w:val="00782528"/>
    <w:rsid w:val="007B030A"/>
    <w:rsid w:val="007B4280"/>
    <w:rsid w:val="007C46F8"/>
    <w:rsid w:val="008B7E5F"/>
    <w:rsid w:val="008C5583"/>
    <w:rsid w:val="00942B52"/>
    <w:rsid w:val="009876CF"/>
    <w:rsid w:val="00A26683"/>
    <w:rsid w:val="00A715A9"/>
    <w:rsid w:val="00A7790A"/>
    <w:rsid w:val="00A95A27"/>
    <w:rsid w:val="00AA72D7"/>
    <w:rsid w:val="00AD09FE"/>
    <w:rsid w:val="00AE7C3B"/>
    <w:rsid w:val="00B74A94"/>
    <w:rsid w:val="00BB4568"/>
    <w:rsid w:val="00C42E2A"/>
    <w:rsid w:val="00C713DE"/>
    <w:rsid w:val="00CD701E"/>
    <w:rsid w:val="00CE6F10"/>
    <w:rsid w:val="00D510AB"/>
    <w:rsid w:val="00E07404"/>
    <w:rsid w:val="00E322A0"/>
    <w:rsid w:val="00E449A3"/>
    <w:rsid w:val="00F13E35"/>
    <w:rsid w:val="00F31A81"/>
    <w:rsid w:val="00F62412"/>
    <w:rsid w:val="00FC2D8B"/>
    <w:rsid w:val="00FD21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6BDE"/>
  <w15:chartTrackingRefBased/>
  <w15:docId w15:val="{E8122D25-F81D-499F-AE05-A0EAF230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iCs/>
        <w:sz w:val="24"/>
        <w:szCs w:val="24"/>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09FE"/>
    <w:pPr>
      <w:tabs>
        <w:tab w:val="center" w:pos="4320"/>
        <w:tab w:val="right" w:pos="8640"/>
      </w:tabs>
    </w:pPr>
  </w:style>
  <w:style w:type="character" w:customStyle="1" w:styleId="a4">
    <w:name w:val="页眉 字符"/>
    <w:basedOn w:val="a0"/>
    <w:link w:val="a3"/>
    <w:uiPriority w:val="99"/>
    <w:rsid w:val="00AD09FE"/>
  </w:style>
  <w:style w:type="paragraph" w:styleId="a5">
    <w:name w:val="footer"/>
    <w:basedOn w:val="a"/>
    <w:link w:val="a6"/>
    <w:uiPriority w:val="99"/>
    <w:unhideWhenUsed/>
    <w:rsid w:val="00AD09FE"/>
    <w:pPr>
      <w:tabs>
        <w:tab w:val="center" w:pos="4320"/>
        <w:tab w:val="right" w:pos="8640"/>
      </w:tabs>
    </w:pPr>
  </w:style>
  <w:style w:type="character" w:customStyle="1" w:styleId="a6">
    <w:name w:val="页脚 字符"/>
    <w:basedOn w:val="a0"/>
    <w:link w:val="a5"/>
    <w:uiPriority w:val="99"/>
    <w:rsid w:val="00AD09FE"/>
  </w:style>
  <w:style w:type="character" w:styleId="a7">
    <w:name w:val="Placeholder Text"/>
    <w:basedOn w:val="a0"/>
    <w:uiPriority w:val="99"/>
    <w:semiHidden/>
    <w:rsid w:val="00776F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Junhui Yang</dc:creator>
  <cp:keywords/>
  <dc:description/>
  <cp:lastModifiedBy>Junhui Yang</cp:lastModifiedBy>
  <cp:revision>56</cp:revision>
  <dcterms:created xsi:type="dcterms:W3CDTF">2019-02-08T01:53:00Z</dcterms:created>
  <dcterms:modified xsi:type="dcterms:W3CDTF">2019-02-08T11:59:00Z</dcterms:modified>
</cp:coreProperties>
</file>