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 Sentinel 中文零基础操作手册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626D79"/>
          <w:sz w:val="24"/>
        </w:rPr>
        <w:t>面向日常扫描与事件复核人员</w:t>
      </w:r>
    </w:p>
    <w:p>
      <w:pPr>
        <w:spacing w:before="240" w:after="300"/>
        <w:jc w:val="center"/>
      </w:pPr>
      <w:r>
        <w:rPr>
          <w:rFonts w:ascii="Microsoft YaHei" w:hAnsi="Microsoft YaHei" w:eastAsia="Microsoft YaHei" w:cs="Microsoft YaHei"/>
          <w:b/>
          <w:color w:val="174A7E"/>
          <w:sz w:val="26"/>
        </w:rPr>
        <w:t>日常操作只需浏览器，不需要懂 Python 或数据库。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这本手册说明怎样打开软件、扫描 Z 盘中的 JJK 数据、复核事件、阅读图件和理解事件特征。普通用户按页面按钮操作即可；服务恢复、部署和模型发布由管理员负责。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机器标签是系统给出的建议。人工复核结果会单独保存，不会覆盖机器标签。判断事件时，应同时查看图件、检测证据、机器判断和现场背景。</w:t>
      </w:r>
    </w:p>
    <w:p>
      <w:pPr>
        <w:pStyle w:val="Heading1"/>
      </w:pPr>
      <w:r>
        <w:t>阅读顺序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第一次使用，先看开机后怎么用和十分钟快速上手。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开始复核前，看各页面操作和事件图件与距离预览。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需要解释数值时，查事件特征参数和当前规则判断。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遇到异常时，按故障处理查找同名现象。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安全事项适用于所有人；最后一章只供管理员核对部署边界。</w:t>
      </w:r>
    </w:p>
    <w:p>
      <w:pPr>
        <w:pStyle w:val="Heading1"/>
      </w:pPr>
      <w:r>
        <w:t>先记住的操作边界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访问地址：</w:t>
      </w:r>
      <w:r>
        <w:rPr>
          <w:rFonts w:ascii="Microsoft YaHei" w:hAnsi="Microsoft YaHei" w:eastAsia="Microsoft YaHei" w:cs="Microsoft YaHei"/>
          <w:color w:val="222222"/>
          <w:sz w:val="21"/>
        </w:rPr>
        <w:t>在这台电脑的浏览器中打开 http://127.0.0.1:18000。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账号密码：</w:t>
      </w:r>
      <w:r>
        <w:rPr>
          <w:rFonts w:ascii="Microsoft YaHei" w:hAnsi="Microsoft YaHei" w:eastAsia="Microsoft YaHei" w:cs="Microsoft YaHei"/>
          <w:color w:val="222222"/>
          <w:sz w:val="21"/>
        </w:rPr>
        <w:t>由管理员单独提供。手册不记录密码，也不要把密码写进事件备注或截图。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原始数据：</w:t>
      </w:r>
      <w:r>
        <w:rPr>
          <w:rFonts w:ascii="Microsoft YaHei" w:hAnsi="Microsoft YaHei" w:eastAsia="Microsoft YaHei" w:cs="Microsoft YaHei"/>
          <w:color w:val="222222"/>
          <w:sz w:val="21"/>
        </w:rPr>
        <w:t>Z 盘 JJK/HDF5 文件只读使用。不要移动、重命名、覆盖或删除。</w:t>
      </w:r>
    </w:p>
    <w:p>
      <w:r>
        <w:br w:type="page"/>
      </w:r>
    </w:p>
    <w:p>
      <w:pPr>
        <w:pStyle w:val="Heading1"/>
      </w:pPr>
      <w:r>
        <w:t>1 软件用途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DAS Sentinel 从 DAS 原始采集文件中发现可能的地震、爆破、车辆或噪声事件，生成证据图件，并保存人工复核结果。系统也可能把证据不足的事件标为待定。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一次日常工作通常包含四件事：核对站点、发起扫描、查看任务状态、复核事件。数据库、后台进程、模型发布和部署配置不属于普通用户操作。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机器判断可能来自规则、相似事件、已发布模型或融合判断。页面中的检测得分和置信值是辅助证据，不能替代人工复核，也不能只凭一个参数确定类别。</w:t>
      </w:r>
    </w:p>
    <w:p>
      <w:pPr>
        <w:pStyle w:val="Heading1"/>
      </w:pPr>
      <w:r>
        <w:t>2 开机后怎么用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确认 Z 盘在资源管理器中可见。只检查是否可见，不改动其中的 JJK/HDF5 文件。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打开浏览器，在地址栏输入 http://127.0.0.1:18000 并按回车。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出现登录页后，输入管理员提供的用户名和密码，再点击登录。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登录后先看运行总览。页面能正常显示计数和导航时，即可继续日常操作。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当前本机说明：</w:t>
      </w:r>
      <w:r>
        <w:rPr>
          <w:rFonts w:ascii="Microsoft YaHei" w:hAnsi="Microsoft YaHei" w:eastAsia="Microsoft YaHei" w:cs="Microsoft YaHei"/>
          <w:color w:val="222222"/>
          <w:sz w:val="21"/>
        </w:rPr>
        <w:t>这个地址当前对应本机 Python 服务。页面打不开时，普通用户只检查地址、Z 盘和浏览器，然后记录画面与时间联系管理员。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不要把启动 Docker Desktop 当作当前服务的恢复方法。当前 Docker Compose 没有可直接使用的 .env；不要自行结束进程、修改环境变量、改容器或改原始数据路径。</w:t>
      </w:r>
    </w:p>
    <w:p>
      <w:pPr>
        <w:pStyle w:val="Heading1"/>
      </w:pPr>
      <w:r>
        <w:t>3 十分钟快速上手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第一次操作可以按以下顺序完成一次从扫描到人工复核的流程。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打开 http://127.0.0.1:18000。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输入账号信息并点击“登录”。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进入“站点”，确认已有站点的名称、数据路径、时区、光缆类型和状态；当前 JJK 示例应为启用状态、时区为 Asia/Shanghai（即北京时间），数据路径由管理员预先映射到 Z 盘 JJK 数据目录。若信息有误，记录问题联系管理员。首次配置新站点仅由获授权人员使用“新建站点”和“保存”。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只核对站点数据路径是否指向已挂载的原始 DAS 数据。Z 盘 JJK/HDF5 原始文件必须只读：普通用户不得移动、重命名、覆盖或删除它们。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进入“任务”，在目标站点旁点击“扫描 {站点名}”。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等待任务状态变化；任务表实际列为“任务 ID、状态、进度、尝试次数、错误、操作”。请用发起扫描时点击的站点名和任务 ID 对照；若出现失败，先阅读错误信息并按本手册的故障处理操作。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进入“事件复核”，在左侧事件队列按“机器标签”和“复核状态”筛选，再选择一个事件。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查看事件时间、机器标签、人工复核、检测证据、机器判断、事件特征和图件。可切换“瀑布图”“滤波瀑布图”“波形”“PSD”“STFT”等实际可用图件，使用“下载”保存图件或“全屏查看”放大。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如需查看特定距离段，在“瀑布图距离范围”输入处于可用范围内的起始距离和结束距离（起始必须小于结束），点击“生成临时预览”；需要回到自动范围时点击“重置临时预览”。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在“人工标签”选择地震、爆破、车辆或噪声，可在“备注”补充判定依据，点击“保存复核”，看到“已保存”后完成。</w:t>
      </w:r>
    </w:p>
    <w:p>
      <w:pPr>
        <w:pStyle w:val="Heading1"/>
      </w:pPr>
      <w:r>
        <w:t>4 各页面操作</w:t>
      </w:r>
    </w:p>
    <w:p>
      <w:pPr>
        <w:pStyle w:val="Heading2"/>
      </w:pPr>
      <w:r>
        <w:t>4 1 登录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打开固定地址后，输入管理员提供的用户名和密码，点击登录。本文没有登录页截图，也不记录任何密码。若登录后又回到登录页，先重新输入账号信息；仍无法登录时联系管理员。</w:t>
      </w:r>
    </w:p>
    <w:p>
      <w:pPr>
        <w:pStyle w:val="Heading2"/>
      </w:pPr>
      <w:r>
        <w:t>4 2 运行总览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运行总览显示排队任务、运行中任务、失败任务、今日事件和机器分类分布。先用这里判断系统是否有待处理任务或异常，再进入具体页面。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08350"/>
            <wp:docPr id="1" name="Picture 1" descr="DAS Sentinel 运行总览页面，显示排队任务、运行中任务、失败任务、今日事件和机器分类分布" title="DAS Sentinel 运行总览页面，显示排队任务、运行中任务、失败任务、今日事件和机器分类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运行总览.png" descr="DAS Sentinel 运行总览页面，显示排队任务、运行中任务、失败任务、今日事件和机器分类分布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0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1 运行总览用于查看任务与事件概况</w:t>
      </w:r>
    </w:p>
    <w:p>
      <w:pPr>
        <w:pStyle w:val="Heading2"/>
      </w:pPr>
      <w:r>
        <w:t>4 3 站点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在站点页面核对名称、数据路径、时区、光缆类型和状态。JJK 示例站点应处于启用状态，时区为 Asia/Shanghai，即北京时间。截图为保护原始数据位置，已经隐藏数据路径。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普通用户只核对信息。新建站点、保存配置、停用站点或改变数据路径仅由获授权人员操作。若站点信息与实际情况不符，记录画面并联系管理员。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08350"/>
            <wp:docPr id="2" name="Picture 2" descr="DAS Sentinel 站点页面，显示 JJK NAS Archive 站点、隐藏的数据路径、Asia Shanghai 时区、井下光缆类型和启用状态" title="DAS Sentinel 站点页面，显示 JJK NAS Archive 站点、隐藏的数据路径、Asia Shanghai 时区、井下光缆类型和启用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站点.png" descr="DAS Sentinel 站点页面，显示 JJK NAS Archive 站点、隐藏的数据路径、Asia Shanghai 时区、井下光缆类型和启用状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0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2 站点页面用于核对配置和只读数据路径</w:t>
      </w:r>
    </w:p>
    <w:p>
      <w:pPr>
        <w:pStyle w:val="Heading2"/>
      </w:pPr>
      <w:r>
        <w:t>4 4 任务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在任务页面点击目标站点的扫描按钮。发起后记录站点名和任务 ID，并观察状态、进度、尝试次数和错误。状态含义如下。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98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页面状态</w:t>
            </w:r>
          </w:p>
        </w:tc>
        <w:tc>
          <w:tcPr>
            <w:tcW w:type="dxa" w:w="2835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通俗解释</w:t>
            </w:r>
          </w:p>
        </w:tc>
        <w:tc>
          <w:tcPr>
            <w:tcW w:type="dxa" w:w="4479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普通用户操作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queued（排队）</w:t>
            </w:r>
          </w:p>
        </w:tc>
        <w:tc>
          <w:tcPr>
            <w:tcW w:type="dxa" w:w="283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任务在等待处理。</w:t>
            </w:r>
          </w:p>
        </w:tc>
        <w:tc>
          <w:tcPr>
            <w:tcW w:type="dxa" w:w="4479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刷新页面并等待。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running（运行中）</w:t>
            </w:r>
          </w:p>
        </w:tc>
        <w:tc>
          <w:tcPr>
            <w:tcW w:type="dxa" w:w="283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系统正在处理。</w:t>
            </w:r>
          </w:p>
        </w:tc>
        <w:tc>
          <w:tcPr>
            <w:tcW w:type="dxa" w:w="4479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等待完成，不要连续重复扫描。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succeeded（成功）</w:t>
            </w:r>
          </w:p>
        </w:tc>
        <w:tc>
          <w:tcPr>
            <w:tcW w:type="dxa" w:w="283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处理已经完成。</w:t>
            </w:r>
          </w:p>
        </w:tc>
        <w:tc>
          <w:tcPr>
            <w:tcW w:type="dxa" w:w="4479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进入事件复核查看结果。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failed（失败）</w:t>
            </w:r>
          </w:p>
        </w:tc>
        <w:tc>
          <w:tcPr>
            <w:tcW w:type="dxa" w:w="283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处理遇到错误。</w:t>
            </w:r>
          </w:p>
        </w:tc>
        <w:tc>
          <w:tcPr>
            <w:tcW w:type="dxa" w:w="4479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阅读错误；仅在页面允许且属于可重试错误时重试。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cancelled（已取消）</w:t>
            </w:r>
          </w:p>
        </w:tc>
        <w:tc>
          <w:tcPr>
            <w:tcW w:type="dxa" w:w="283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任务已经取消。</w:t>
            </w:r>
          </w:p>
        </w:tc>
        <w:tc>
          <w:tcPr>
            <w:tcW w:type="dxa" w:w="4479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根据需要重新发起扫描。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源文件会按文件大小、修改时间和 SHA-256 指纹去重。若入队后源文件发生改动，任务可能出现 invalid_claim，原任务不可重试，应在文件稳定后重新扫描。若出现 invalid_model，应等待管理员修复并发布有效模型，再重新扫描或重新入队。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08350"/>
            <wp:docPr id="3" name="Picture 3" descr="DAS Sentinel 任务页面，显示扫描按钮、任务编号、成功状态、进度、尝试次数、错误和操作列" title="DAS Sentinel 任务页面，显示扫描按钮、任务编号、成功状态、进度、尝试次数、错误和操作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任务.png" descr="DAS Sentinel 任务页面，显示扫描按钮、任务编号、成功状态、进度、尝试次数、错误和操作列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0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3 任务页面用于发起扫描并查看处理状态</w:t>
      </w:r>
    </w:p>
    <w:p>
      <w:pPr>
        <w:pStyle w:val="Heading2"/>
      </w:pPr>
      <w:r>
        <w:t>4 5 事件复核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事件队列可按机器标签和复核状态筛选。选择事件后，右侧会显示事件时间、机器标签、人工复核、检测证据、机器判断、事件特征和图件。带勾的队列条目表示已有最近一次人工复核。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图 4 的示例时间为 2024-05-27 15:28:50。站点时区显示为 Asia/Shanghai，因此这是北京时间。示例可用距离为 0–3324 m，滤波瀑布图频段为 2–40 Hz，主检测器为 STA/LTA。每个事件都应以当前页面显示为准。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4847040"/>
            <wp:docPr id="4" name="Picture 4" descr="DAS Sentinel 事件详情页面，示例时间为二零二四年五月二十七日十五时二十八分五十秒，显示距离预览输入、检测证据、规则判断、事件特征和频谱图" title="DAS Sentinel 事件详情页面，示例时间为二零二四年五月二十七日十五时二十八分五十秒，显示距离预览输入、检测证据、规则判断、事件特征和频谱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事件详情.png" descr="DAS Sentinel 事件详情页面，示例时间为二零二四年五月二十七日十五时二十八分五十秒，显示距离预览输入、检测证据、规则判断、事件特征和频谱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84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4 事件详情集中显示时间、判断、证据、特征和图件</w:t>
      </w:r>
    </w:p>
    <w:p>
      <w:pPr>
        <w:pStyle w:val="Heading2"/>
      </w:pPr>
      <w:r>
        <w:t>4 6 保存人工复核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先看事件时间、检测证据、机器判断和全部可用图件。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在人工标签中选择地震、爆破、车辆或噪声。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需要时在备注中写明图件或现场依据，不要写密码、令牌、密钥或完整文件指纹。</w:t>
      </w:r>
    </w:p>
    <w:p>
      <w:pPr>
        <w:pStyle w:val="ListNumber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点击保存复核，等待页面显示已保存后再切换事件。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人工复核会另行保存，不会覆盖机器标签。机器建议与人工结论不一致时，应保留人工复核并在备注中写清依据。</w:t>
      </w:r>
    </w:p>
    <w:p>
      <w:pPr>
        <w:pStyle w:val="Heading1"/>
      </w:pPr>
      <w:r>
        <w:t>5 事件图件与距离预览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图件共同说明事件在时间、距离和频率上的表现。不要只看一张图，也不要把滤波图当作原始信号。图件加载失败时点击重试图件；若页面提示完整性校验失败，应停止使用该图作判断并联系管理员。</w:t>
      </w:r>
    </w:p>
    <w:p>
      <w:pPr>
        <w:pStyle w:val="Heading2"/>
      </w:pPr>
      <w:r>
        <w:t>5 1 五类图件怎样看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图件</w:t>
            </w:r>
          </w:p>
        </w:tc>
        <w:tc>
          <w:tcPr>
            <w:tcW w:type="dxa" w:w="3458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它显示什么</w:t>
            </w:r>
          </w:p>
        </w:tc>
        <w:tc>
          <w:tcPr>
            <w:tcW w:type="dxa" w:w="4139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常用观察点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波形</w:t>
            </w:r>
          </w:p>
        </w:tc>
        <w:tc>
          <w:tcPr>
            <w:tcW w:type="dxa" w:w="34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振幅随时间的变化。</w:t>
            </w:r>
          </w:p>
        </w:tc>
        <w:tc>
          <w:tcPr>
            <w:tcW w:type="dxa" w:w="4139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起振、持续时间、尖峰和重复脉冲。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原始瀑布图</w:t>
            </w:r>
          </w:p>
        </w:tc>
        <w:tc>
          <w:tcPr>
            <w:tcW w:type="dxa" w:w="3458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原始信号在时间和距离上的分布。</w:t>
            </w:r>
          </w:p>
        </w:tc>
        <w:tc>
          <w:tcPr>
            <w:tcW w:type="dxa" w:w="4139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空间连续结构、传播轨迹和受影响距离。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滤波瀑布图</w:t>
            </w:r>
          </w:p>
        </w:tc>
        <w:tc>
          <w:tcPr>
            <w:tcW w:type="dxa" w:w="34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页面所示频段内的信号在时间和距离上的分布。</w:t>
            </w:r>
          </w:p>
        </w:tc>
        <w:tc>
          <w:tcPr>
            <w:tcW w:type="dxa" w:w="4139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目标频段中的连续结构；同时核对标题中的滤波频段。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PSD</w:t>
            </w:r>
          </w:p>
        </w:tc>
        <w:tc>
          <w:tcPr>
            <w:tcW w:type="dxa" w:w="3458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各频率上的功率谱密度。</w:t>
            </w:r>
          </w:p>
        </w:tc>
        <w:tc>
          <w:tcPr>
            <w:tcW w:type="dxa" w:w="4139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能量集中频率、主频和频谱分布。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STFT</w:t>
            </w:r>
          </w:p>
        </w:tc>
        <w:tc>
          <w:tcPr>
            <w:tcW w:type="dxa" w:w="34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频率成分随时间的变化。</w:t>
            </w:r>
          </w:p>
        </w:tc>
        <w:tc>
          <w:tcPr>
            <w:tcW w:type="dxa" w:w="4139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频率何时出现、持续多久、是否发生变化。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滤波频段会直接显示在页面标签或图件标题中。当前 JJK 示例为 2–40 Hz，这只说明当前图件的显示频段，并不是所有事件固定使用的范围。实际判断时以页面显示为准。</w:t>
      </w:r>
    </w:p>
    <w:p>
      <w:pPr>
        <w:pStyle w:val="Heading2"/>
      </w:pPr>
      <w:r>
        <w:t>5 2 距离范围怎样选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自动范围：</w:t>
      </w:r>
      <w:r>
        <w:rPr>
          <w:rFonts w:ascii="Microsoft YaHei" w:hAnsi="Microsoft YaHei" w:eastAsia="Microsoft YaHei" w:cs="Microsoft YaHei"/>
          <w:color w:val="222222"/>
          <w:sz w:val="21"/>
        </w:rPr>
        <w:t>系统为事件预先填入的建议距离段。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可用范围：</w:t>
      </w:r>
      <w:r>
        <w:rPr>
          <w:rFonts w:ascii="Microsoft YaHei" w:hAnsi="Microsoft YaHei" w:eastAsia="Microsoft YaHei" w:cs="Microsoft YaHei"/>
          <w:color w:val="222222"/>
          <w:sz w:val="21"/>
        </w:rPr>
        <w:t>当前事件允许输入的最小和最大边界。人工输入必须落在这里。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人工范围：</w:t>
      </w:r>
      <w:r>
        <w:rPr>
          <w:rFonts w:ascii="Microsoft YaHei" w:hAnsi="Microsoft YaHei" w:eastAsia="Microsoft YaHei" w:cs="Microsoft YaHei"/>
          <w:color w:val="222222"/>
          <w:sz w:val="21"/>
        </w:rPr>
        <w:t>操作人员为当前查看填写的起始和结束距离。它只生成临时预览，不替代已经保存的正式图件。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有效输入必须同时满足三个条件：起始和结束都是数字；起始距离小于结束距离；两端都在页面给出的可用范围内。生成过程中应等待“正在生成临时预览”结束，不要连续点击。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图 5 使用 300 m 至 600 m 作为人工预览示例，可用范围为 0–3324 m。点击生成临时预览后，两类瀑布图会显示该距离段；点击重置临时预览可回到自动范围。其他事件的边界可能不同，必须以页面为准。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4847040"/>
            <wp:docPr id="5" name="Picture 5" descr="事件详情中的人工距离预览示例，起始距离三百米、结束距离六百米，可用范围零至三千三百二十四米，滤波频段二至四十赫兹" title="事件详情中的人工距离预览示例，起始距离三百米、结束距离六百米，可用范围零至三千三百二十四米，滤波频段二至四十赫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300至600米预览控制.png" descr="事件详情中的人工距离预览示例，起始距离三百米、结束距离六百米，可用范围零至三千三百二十四米，滤波频段二至四十赫兹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84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5 在可用范围内输入 300 m 至 600 m 并生成临时预览</w:t>
      </w:r>
    </w:p>
    <w:p>
      <w:pPr>
        <w:pStyle w:val="Heading2"/>
      </w:pPr>
      <w:r>
        <w:t>5 3 全屏查看滤波瀑布图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点击滤波瀑布图，再点击全屏查看。横轴表示时间，纵轴表示沿光缆的距离，颜色表示振幅。图 6 的标题同时给出 2–40 Hz 带通频段、主检测器和 300–600 m 人工距离范围。查看完毕后使用关闭全屏返回。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43025"/>
            <wp:docPr id="6" name="Picture 6" descr="全屏滤波瀑布图，横轴为时间，纵轴为三百米至六百米距离，色标表示振幅，标题标明二至四十赫兹带通频段" title="全屏滤波瀑布图，横轴为时间，纵轴为三百米至六百米距离，色标表示振幅，标题标明二至四十赫兹带通频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滤波瀑布图全屏.png" descr="全屏滤波瀑布图，横轴为时间，纵轴为三百米至六百米距离，色标表示振幅，标题标明二至四十赫兹带通频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3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6 全屏滤波瀑布图显示 300 m 至 600 m 范围和 2–40 Hz 频段</w:t>
      </w:r>
    </w:p>
    <w:p>
      <w:pPr>
        <w:pStyle w:val="Heading2"/>
      </w:pPr>
      <w:r>
        <w:t>5 4 全屏查看 PSD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PSD 横轴是频率，纵轴是功率谱密度。曲线表示能量在不同频率上的分布，红色竖线标出主频。PSD 适合比较频率结构，但不能单独判断地震、爆破、车辆或噪声。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13907"/>
            <wp:docPr id="7" name="Picture 7" descr="全屏功率谱密度图，横轴为频率，纵轴为功率谱密度，红色竖线标示主频" title="全屏功率谱密度图，横轴为频率，纵轴为功率谱密度，红色竖线标示主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SD全屏.png" descr="全屏功率谱密度图，横轴为频率，纵轴为功率谱密度，红色竖线标示主频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1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7 全屏 PSD 用于查看主频和各频率的能量分布</w:t>
      </w:r>
    </w:p>
    <w:p>
      <w:pPr>
        <w:pStyle w:val="Heading1"/>
      </w:pPr>
      <w:r>
        <w:t>6 模型页面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模型页面用于查看站点级模型和验证报告。报告可能显示宏平均 F1、规则基线 F1、各类别复核样本数、召回率、精确率和混淆矩阵。截图中的站点当前没有模型，页面提示需要先积累复核样本并训练。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普通复核人员的工作是保存可靠的人工复核。训练、发布候选模型和回滚都需要显式确认，属于管理员操作；新任务会绑定当时已经发布的模型。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08350"/>
            <wp:docPr id="8" name="Picture 8" descr="DAS Sentinel 模型页面，显示站点选择、训练新模型按钮以及模型版本、状态、宏平均指标、创建时间和操作列" title="DAS Sentinel 模型页面，显示站点选择、训练新模型按钮以及模型版本、状态、宏平均指标、创建时间和操作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模型.png" descr="DAS Sentinel 模型页面，显示站点选择、训练新模型按钮以及模型版本、状态、宏平均指标、创建时间和操作列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0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rFonts w:ascii="Microsoft YaHei" w:hAnsi="Microsoft YaHei" w:eastAsia="Microsoft YaHei" w:cs="Microsoft YaHei"/>
          <w:color w:val="626D79"/>
          <w:sz w:val="18"/>
        </w:rPr>
        <w:t>图 8 模型页面用于查看站点模型和验证结果</w:t>
      </w:r>
    </w:p>
    <w:p>
      <w:r>
        <w:br w:type="page"/>
      </w:r>
    </w:p>
    <w:p>
      <w:pPr>
        <w:pStyle w:val="Heading1"/>
      </w:pPr>
      <w:r>
        <w:t>7 事件特征参数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事件特征把波形、频谱、空间分布、传播和处理上下文压缩为便于比较的数值或文字。它们用于支持判断，不是最终结论。下面列出系统当前生成的全部 28 项特征；每项只在本章表格中给出一次英文名称，便于与页面逐项对照。</w:t>
      </w:r>
    </w:p>
    <w:p>
      <w:pPr>
        <w:pStyle w:val="Heading2"/>
      </w:pPr>
      <w:r>
        <w:t>7 1 时间与节律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参数及单位</w:t>
            </w:r>
          </w:p>
        </w:tc>
        <w:tc>
          <w:tcPr>
            <w:tcW w:type="dxa" w:w="2891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它表示什么</w:t>
            </w:r>
          </w:p>
        </w:tc>
        <w:tc>
          <w:tcPr>
            <w:tcW w:type="dxa" w:w="4025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怎样看数值以及要注意什么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持续时间</w:t>
              <w:br/>
              <w:t>duration_s</w:t>
              <w:br/>
              <w:t>单位或范围：s，非负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事件起止样本换算得到的时长。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较长表示信号持续更久；较短表示更瞬时。 规则中不超过 5.0 s 可支持爆破，至少 15.0 s 可支持地震。 注意：由事件边界和采样率决定，不单独代表类别。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上升时间</w:t>
              <w:br/>
              <w:t>rise_time_s</w:t>
              <w:br/>
              <w:t>单位或范围：s，非负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包络从峰值约 10% 首次升至约 90% 所需时间。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较小表示起振更陡；较大表示起振更缓。 可辅助比较脉冲性，但当前规则未直接使用。 注意：低信噪比或边界截断会影响数值。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脉冲次数</w:t>
              <w:br/>
              <w:t>pulse_count</w:t>
              <w:br/>
              <w:t>单位或范围：计数，非负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包络向上穿越峰值约 50% 的次数。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较高表示窗口内出现更多明显脉冲。 可与重复率一起观察节律。 注意：阈值穿越受噪声和事件切窗影响。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平均脉冲间隔</w:t>
              <w:br/>
              <w:t>pulse_interval_s</w:t>
              <w:br/>
              <w:t>单位或范围：s，非负；少于两个脉冲为 0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相邻半峰值上穿时刻的平均间隔。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较小表示脉冲更密集；较大表示更稀疏。 可辅助分析重复性。 注意：仅在检测到多个脉冲时有解释价值。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发生时刻（站点本地小时）</w:t>
              <w:br/>
              <w:t>time_of_day_hours</w:t>
              <w:br/>
              <w:t>单位或范围：小时，通常 0–&lt;24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事件开始时间换算到站点时区后的小时、小数分钟和秒。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数值是一天中的时刻，不表示强弱。 可用于发现时段性模式。 注意：依赖站点时区和开始时间；不是因果证据。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重复率</w:t>
              <w:br/>
              <w:t>repetition_rate_hz</w:t>
              <w:br/>
              <w:t>单位或范围：Hz，非负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半峰值上穿次数除以事件持续时间。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较高表示单位时间内明显脉冲更多。 可辅助识别重复性节律。 注意：持续时间为零时为 0，受事件切窗和阈值影响。</w:t>
            </w:r>
          </w:p>
        </w:tc>
      </w:tr>
    </w:tbl>
    <w:p>
      <w:pPr>
        <w:spacing w:after="20"/>
      </w:pPr>
    </w:p>
    <w:p>
      <w:pPr>
        <w:pStyle w:val="Heading2"/>
      </w:pPr>
      <w:r>
        <w:t>7 2 频谱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参数及单位</w:t>
            </w:r>
          </w:p>
        </w:tc>
        <w:tc>
          <w:tcPr>
            <w:tcW w:type="dxa" w:w="2891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它表示什么</w:t>
            </w:r>
          </w:p>
        </w:tc>
        <w:tc>
          <w:tcPr>
            <w:tcW w:type="dxa" w:w="4025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怎样看数值以及要注意什么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主频</w:t>
              <w:br/>
              <w:t>dominant_frequency_hz</w:t>
              <w:br/>
              <w:t>单位或范围：Hz，非负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平均功率谱中能量最大的频率。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较高表示主导振动更快；较低表示主导振动更慢。 可与带宽、频谱质心一起比较频谱形状。 注意：受采样率、窗口和滤波影响，当前规则未直接使用。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频带宽度</w:t>
              <w:br/>
              <w:t>bandwidth_hz</w:t>
              <w:br/>
              <w:t>单位或范围：Hz，非负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按功率加权的频率离散程度。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较高表示频谱分布更宽；较低表示能量更集中。 可辅助区分窄带与宽带信号。 注意：不是界面滤波频段，也不是分类阈值。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低频/中频能量比</w:t>
              <w:br/>
              <w:t>band_energy_ratio_low_mid</w:t>
              <w:br/>
              <w:t>单位或范围：比值，非负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0.5–5 Hz 能量除以 5–20 Hz 能量。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较高表示相对更偏低频；较低表示相对更偏中频。 可用于频带成分比较。 注意：分母很小时比值可能很大，需同时看原始图件。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中频/高频能量比</w:t>
              <w:br/>
              <w:t>band_energy_ratio_mid_high</w:t>
              <w:br/>
              <w:t>单位或范围：比值，非负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5–20 Hz 能量除以 20 Hz 及以上能量。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较高表示相对更偏中频；较低表示相对更偏高频。 可用于频带成分比较。 注意：分母很小时比值可能很大，当前规则未直接使用。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频谱质心</w:t>
              <w:br/>
              <w:t>spectral_centroid_hz</w:t>
              <w:br/>
              <w:t>单位或范围：Hz，非负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按功率加权的平均频率。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较高通常表示整体频谱重心偏高频；较低偏低频。 可与主频、带宽联合观察。 注意：是统计摘要，不等于单一物理频率。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频谱熵</w:t>
              <w:br/>
              <w:t>spectral_entropy</w:t>
              <w:br/>
              <w:t>单位或范围：通常 0–1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功率在频率点间分散程度的归一化度量。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较高表示频谱更分散；较低表示能量更集中。 可辅助识别频谱是否集中。 注意：只在存在有效频谱功率时计算，当前规则未直接使用。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7 3 空间分布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参数及单位</w:t>
            </w:r>
          </w:p>
        </w:tc>
        <w:tc>
          <w:tcPr>
            <w:tcW w:type="dxa" w:w="2891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它表示什么</w:t>
            </w:r>
          </w:p>
        </w:tc>
        <w:tc>
          <w:tcPr>
            <w:tcW w:type="dxa" w:w="4025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怎样看数值以及要注意什么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距离覆盖范围</w:t>
              <w:br/>
              <w:t>distance_extent_m</w:t>
              <w:br/>
              <w:t>单位或范围：m，非负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参与事件的有效通道距离最大值减最小值。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较高表示覆盖的光缆距离更长。 可与连续度、能量质心共同查看空间分布。 注意：依赖通道距离标定和坏道剔除。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能量距离质心</w:t>
              <w:br/>
              <w:t>energy_centroid_m</w:t>
              <w:br/>
              <w:t>单位或范围：m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按通道能量加权的平均距离位置。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数值高低表示能量中心位于距离坐标较大或较小处。 可辅助定位事件能量主要落点。 注意：不是震源定位；解释必须结合站点距离坐标。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近端/远端能量比</w:t>
              <w:br/>
              <w:t>shallow_deep_energy_ratio</w:t>
              <w:br/>
              <w:t>单位或范围：比值，非负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以参与通道距离中位数分组，较小距离一半的能量除以较大距离一半的能量。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较高表示较小距离一侧能量相对更多；较低相反。 可描述空间能量不对称。 注意：“近端/远端”只是距离坐标两半，不必然对应真实深浅。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空间连续度</w:t>
              <w:br/>
              <w:t>continuity</w:t>
              <w:br/>
              <w:t>单位或范围：0–1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能量不低于最大通道能量 20% 的通道占比。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较高表示更多参与通道保持明显能量。 规则中不低于 0.50 可为车辆增加 0.25。 注意：只反映当前窗口的通道占比，不能单独确认车辆。</w:t>
            </w:r>
          </w:p>
        </w:tc>
      </w:tr>
    </w:tbl>
    <w:p>
      <w:pPr>
        <w:spacing w:after="20"/>
      </w:pPr>
    </w:p>
    <w:p>
      <w:pPr>
        <w:pStyle w:val="Heading2"/>
      </w:pPr>
      <w:r>
        <w:t>7 4 传播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参数及单位</w:t>
            </w:r>
          </w:p>
        </w:tc>
        <w:tc>
          <w:tcPr>
            <w:tcW w:type="dxa" w:w="2891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它表示什么</w:t>
            </w:r>
          </w:p>
        </w:tc>
        <w:tc>
          <w:tcPr>
            <w:tcW w:type="dxa" w:w="4025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怎样看数值以及要注意什么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最佳慢度</w:t>
              <w:br/>
              <w:t>best_slowness_s_per_m</w:t>
              <w:br/>
              <w:t>单位或范围：s/m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证据中得分最高且有效的 slowness_s_per_m；未获得时为 0。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绝对值越大通常表示沿距离坐标的表观传播越慢。 用于派生零慢度标志，并与表观速度一起解释。 注意：符号和坐标约定依站点而定；0 也可能表示未获得有效慢度。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表观速度</w:t>
              <w:br/>
              <w:t>apparent_velocity_mps</w:t>
              <w:br/>
              <w:t>单位或范围：m/s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检测证据提供的沿光缆距离坐标的表观传播速度。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数值较高表示沿该坐标传播更快。 规则中处于站点车辆速度范围（默认 2–60 m/s）且大于 0 时为车辆增加 0.50。 注意：是表观量，不等于真实介质速度或车辆实测速度。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传播方向</w:t>
              <w:br/>
              <w:t>direction</w:t>
              <w:br/>
              <w:t>单位或范围：-1、0 或 +1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沿距离坐标的传播方向编码。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-1 与 +1 仅表示沿距离坐标的相反方向；0 表示未检测到可靠传播方向。 可与慢度和表观速度联合查看。 注意：不要把 -1/+1 直接解释为东/西、进/出或物理方位。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相干性</w:t>
              <w:br/>
              <w:t>coherence</w:t>
              <w:br/>
              <w:t>单位或范围：通常 0–1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证据中的 semblance，若无则采用 另一相干性字段，表示跨通道一致的传播程度。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较高表示跨通道更一致。 规则中不低于 0.50 可为车辆增加 0.25；不低于 0.60 且非零慢度可为地震增加 0.50。 注意：相干高不等于类别确定，需排除共模或同步噪声。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零慢度标志</w:t>
              <w:br/>
              <w:t>zero_slowness_flag</w:t>
              <w:br/>
              <w:t>单位或范围：0 或 1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1 是疑似共模或同步噪声标志；当有效慢度恰为零或证据质量标志含 zero_slowness 时置为 1。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1 表示触发标志；0 表示未触发。 规则中为 1 时噪声分数直接设为 1.0，并阻止地震的相干性加分。 注意：这是疑似标志，仍应查看多通道图件和现场情况。</w:t>
            </w:r>
          </w:p>
        </w:tc>
      </w:tr>
    </w:tbl>
    <w:p>
      <w:pPr>
        <w:spacing w:after="20"/>
      </w:pPr>
    </w:p>
    <w:p>
      <w:pPr>
        <w:pStyle w:val="Heading2"/>
      </w:pPr>
      <w:r>
        <w:t>7 5 幅值与统计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9F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参数及单位</w:t>
            </w:r>
          </w:p>
        </w:tc>
        <w:tc>
          <w:tcPr>
            <w:tcW w:type="dxa" w:w="2891"/>
            <w:vAlign w:val="center"/>
            <w:shd w:fill="DCE9F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它表示什么</w:t>
            </w:r>
          </w:p>
        </w:tc>
        <w:tc>
          <w:tcPr>
            <w:tcW w:type="dxa" w:w="4025"/>
            <w:vAlign w:val="center"/>
            <w:shd w:fill="DCE9F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怎样看数值以及要注意什么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均方根幅度</w:t>
              <w:br/>
              <w:t>rms</w:t>
              <w:br/>
              <w:t>单位或范围：与输入振幅相同的单位，非负</w:t>
            </w:r>
          </w:p>
        </w:tc>
        <w:tc>
          <w:tcPr>
            <w:tcW w:type="dxa" w:w="2891"/>
            <w:vAlign w:val="center"/>
            <w:shd w:fill="FFFFFF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事件窗口内所有有效样本和通道振幅的均方根。</w:t>
            </w:r>
          </w:p>
        </w:tc>
        <w:tc>
          <w:tcPr>
            <w:tcW w:type="dxa" w:w="4025"/>
            <w:vAlign w:val="center"/>
            <w:shd w:fill="FFFFFF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较高表示整体振幅更大。 可用于比较同一标定条件下的相对强弱。 注意：受仪器增益、预处理和单位影响，不能跨站点直接比较。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峰度</w:t>
              <w:br/>
              <w:t>kurtosis</w:t>
              <w:br/>
              <w:t>单位或范围：无单位，非负或 0</w:t>
            </w:r>
          </w:p>
        </w:tc>
        <w:tc>
          <w:tcPr>
            <w:tcW w:type="dxa" w:w="2891"/>
            <w:vAlign w:val="center"/>
            <w:shd w:fill="F4F8FC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去均值数据的四阶矩与方差平方之比。</w:t>
            </w:r>
          </w:p>
        </w:tc>
        <w:tc>
          <w:tcPr>
            <w:tcW w:type="dxa" w:w="4025"/>
            <w:vAlign w:val="center"/>
            <w:shd w:fill="F4F8FC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较高通常表示分布更尖、极端样本更突出。 可辅助评估脉冲性。 注意：方差接近零时设为 0，当前规则未直接使用。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峰值/平均绝对幅度比</w:t>
              <w:br/>
              <w:t>peak_median_ratio</w:t>
              <w:br/>
              <w:t>单位或范围：比值，非负</w:t>
            </w:r>
          </w:p>
        </w:tc>
        <w:tc>
          <w:tcPr>
            <w:tcW w:type="dxa" w:w="2891"/>
            <w:vAlign w:val="center"/>
            <w:shd w:fill="FFFFFF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包络峰值除以全部数据的平均绝对振幅。</w:t>
            </w:r>
          </w:p>
        </w:tc>
        <w:tc>
          <w:tcPr>
            <w:tcW w:type="dxa" w:w="4025"/>
            <w:vAlign w:val="center"/>
            <w:shd w:fill="FFFFFF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较高表示尖峰相对背景更突出。 规则中不低于 5.0 可为爆破增加 0.50。 注意：代码使用平均绝对幅度作为分母，字段名称中的 median 不应理解为统计中位数。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跨通道相关性</w:t>
              <w:br/>
              <w:t>cross_channel_correlation</w:t>
              <w:br/>
              <w:t>单位或范围：通常 -1–1</w:t>
            </w:r>
          </w:p>
        </w:tc>
        <w:tc>
          <w:tcPr>
            <w:tcW w:type="dxa" w:w="2891"/>
            <w:vAlign w:val="center"/>
            <w:shd w:fill="F4F8FC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有效通道两两相关系数上三角部分的平均值。</w:t>
            </w:r>
          </w:p>
        </w:tc>
        <w:tc>
          <w:tcPr>
            <w:tcW w:type="dxa" w:w="4025"/>
            <w:vAlign w:val="center"/>
            <w:shd w:fill="F4F8FC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7"/>
              </w:rPr>
              <w:t>较高表示通道波形更相似；较低或负值表示一致性较弱或反向。 可与相干性和零慢度标志交叉查看。 注意：所有通道标准差有效时才计算；不是当前规则阈值。</w:t>
            </w:r>
          </w:p>
        </w:tc>
      </w:tr>
    </w:tbl>
    <w:p>
      <w:pPr>
        <w:spacing w:after="20"/>
      </w:pPr>
    </w:p>
    <w:p>
      <w:pPr>
        <w:pStyle w:val="Heading2"/>
      </w:pPr>
      <w:r>
        <w:t>7 6 站点与设备上下文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参数及单位</w:t>
            </w:r>
          </w:p>
        </w:tc>
        <w:tc>
          <w:tcPr>
            <w:tcW w:type="dxa" w:w="2891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它表示什么</w:t>
            </w:r>
          </w:p>
        </w:tc>
        <w:tc>
          <w:tcPr>
            <w:tcW w:type="dxa" w:w="4025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怎样看数值以及要注意什么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站点标识</w:t>
              <w:br/>
              <w:t>site_id</w:t>
              <w:br/>
              <w:t>单位或范围：文本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处理上下文中的站点 ID；缺失时为 unknown。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不适用。 用于将事件与站点配置、时区和模型关联。 注意：是上下文标识，不是从波形计算出的物理特征。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光缆类型</w:t>
              <w:br/>
              <w:t>cable_type</w:t>
              <w:br/>
              <w:t>单位或范围：文本，例如 downhole、urban、subsea；缺失时 unknown</w:t>
            </w:r>
          </w:p>
        </w:tc>
        <w:tc>
          <w:tcPr>
            <w:tcW w:type="dxa" w:w="289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处理上下文中的光缆类型。</w:t>
            </w:r>
          </w:p>
        </w:tc>
        <w:tc>
          <w:tcPr>
            <w:tcW w:type="dxa" w:w="4025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不适用。 可帮助按井下光缆、城市光缆或海底光缆理解背景。 注意：是站点上下文，不是波形测量值。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设备配置</w:t>
              <w:br/>
              <w:t>device_config</w:t>
              <w:br/>
              <w:t>单位或范围：文本；缺失时 unknown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处理上下文中的设备配置标识。</w:t>
            </w:r>
          </w:p>
        </w:tc>
        <w:tc>
          <w:tcPr>
            <w:tcW w:type="dxa" w:w="4025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不适用。 可用于追溯相同或不同采集配置下的事件。 注意：是上下文标识，不代表事件类别。</w:t>
            </w:r>
          </w:p>
        </w:tc>
      </w:tr>
    </w:tbl>
    <w:p>
      <w:pPr>
        <w:spacing w:after="20"/>
      </w:pPr>
    </w:p>
    <w:p>
      <w:pPr>
        <w:pStyle w:val="Heading2"/>
      </w:pPr>
      <w:r>
        <w:t>7 7 当前规则判断怎样读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下面的分值是当前软件规则满足条件后累加的证据分。它们不是类别概率，也不是适用于所有站点的通用物理标准。最终机器标签还可能结合相似事件、已发布模型或融合判断，人工复核始终单独保存。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6633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当前规则条件</w:t>
            </w:r>
          </w:p>
        </w:tc>
        <w:tc>
          <w:tcPr>
            <w:tcW w:type="dxa" w:w="1361"/>
            <w:vAlign w:val="center"/>
            <w:shd w:fill="DCE9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证据分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车辆</w:t>
            </w:r>
          </w:p>
        </w:tc>
        <w:tc>
          <w:tcPr>
            <w:tcW w:type="dxa" w:w="6633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表观速度大于 0 且位于站点配置范围内，默认 2–60 m/s。</w:t>
            </w:r>
          </w:p>
        </w:tc>
        <w:tc>
          <w:tcPr>
            <w:tcW w:type="dxa" w:w="136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+0.50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车辆</w:t>
            </w:r>
          </w:p>
        </w:tc>
        <w:tc>
          <w:tcPr>
            <w:tcW w:type="dxa" w:w="6633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空间连续度不低于 0.50。</w:t>
            </w:r>
          </w:p>
        </w:tc>
        <w:tc>
          <w:tcPr>
            <w:tcW w:type="dxa" w:w="136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+0.25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车辆</w:t>
            </w:r>
          </w:p>
        </w:tc>
        <w:tc>
          <w:tcPr>
            <w:tcW w:type="dxa" w:w="6633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相干性不低于 0.50。</w:t>
            </w:r>
          </w:p>
        </w:tc>
        <w:tc>
          <w:tcPr>
            <w:tcW w:type="dxa" w:w="136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+0.25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爆破</w:t>
            </w:r>
          </w:p>
        </w:tc>
        <w:tc>
          <w:tcPr>
            <w:tcW w:type="dxa" w:w="6633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持续时间大于 0 且不超过 5.0 s。</w:t>
            </w:r>
          </w:p>
        </w:tc>
        <w:tc>
          <w:tcPr>
            <w:tcW w:type="dxa" w:w="136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+0.50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爆破</w:t>
            </w:r>
          </w:p>
        </w:tc>
        <w:tc>
          <w:tcPr>
            <w:tcW w:type="dxa" w:w="6633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峰值与平均绝对幅度之比不低于 5.0。</w:t>
            </w:r>
          </w:p>
        </w:tc>
        <w:tc>
          <w:tcPr>
            <w:tcW w:type="dxa" w:w="136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+0.50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地震</w:t>
            </w:r>
          </w:p>
        </w:tc>
        <w:tc>
          <w:tcPr>
            <w:tcW w:type="dxa" w:w="6633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持续时间不低于 15.0 s。</w:t>
            </w:r>
          </w:p>
        </w:tc>
        <w:tc>
          <w:tcPr>
            <w:tcW w:type="dxa" w:w="136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+0.50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地震</w:t>
            </w:r>
          </w:p>
        </w:tc>
        <w:tc>
          <w:tcPr>
            <w:tcW w:type="dxa" w:w="6633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相干性不低于 0.60，且未触发零慢度标志。</w:t>
            </w:r>
          </w:p>
        </w:tc>
        <w:tc>
          <w:tcPr>
            <w:tcW w:type="dxa" w:w="1361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+0.50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噪声</w:t>
            </w:r>
          </w:p>
        </w:tc>
        <w:tc>
          <w:tcPr>
            <w:tcW w:type="dxa" w:w="6633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零慢度标志为真，理由显示 zero_slowness_common_mode。</w:t>
            </w:r>
          </w:p>
        </w:tc>
        <w:tc>
          <w:tcPr>
            <w:tcW w:type="dxa" w:w="1361"/>
            <w:vAlign w:val="center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Microsoft YaHei" w:hAnsi="Microsoft YaHei" w:eastAsia="Microsoft YaHei" w:cs="Microsoft YaHei"/>
                <w:color w:val="222222"/>
                <w:sz w:val="18"/>
              </w:rPr>
              <w:t>设为 1.0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缺少某项证据时，规则不会凭空增加相应类别分。规则证据只说明哪些条件被触发；人工复核仍需检查图件、数据质量和现场背景。</w:t>
      </w:r>
    </w:p>
    <w:p>
      <w:r>
        <w:br w:type="page"/>
      </w:r>
    </w:p>
    <w:p>
      <w:pPr>
        <w:pStyle w:val="Heading1"/>
      </w:pPr>
      <w:r>
        <w:t>8 故障处理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先在下面找到与页面最接近的现象，再按顺序操作。普通用户不需要执行后台命令。联系管理员时，提供出现时间、站点、任务 ID 或事件 ID、完整提示和不含敏感信息的截图。</w:t>
      </w:r>
    </w:p>
    <w:p>
      <w:pPr>
        <w:pStyle w:val="Heading2"/>
      </w:pPr>
      <w:r>
        <w:t>页面打不开或显示无法访问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地址输入错误；本机 Python 服务未提供页面；浏览器或网络暂时异常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确认地址固定为 http://127.0.0.1:18000。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刷新浏览器或重新打开该地址。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记录出现时间、浏览器提示和截图；不要结束进程、修改环境变量或尝试改动容器。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刷新后仍无法访问，或多人在同一电脑上均无法打开时，联系管理员。</w:t>
      </w:r>
    </w:p>
    <w:p>
      <w:pPr>
        <w:pStyle w:val="Heading2"/>
      </w:pPr>
      <w:r>
        <w:t>无法登录或登录后又回到登录页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账号或密码不正确；会话已过期；服务不可用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确认地址为管理员提供的地址，例如部署网关可使用 http://127.0.0.1:18000。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重新输入账号信息并点击“登录”。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刷新页面后重试；不要在工单或备注中发送密码。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多次确认账号后仍无法登录，或多人同时无法访问时，联系管理员。</w:t>
      </w:r>
    </w:p>
    <w:p>
      <w:pPr>
        <w:pStyle w:val="Heading2"/>
      </w:pPr>
      <w:r>
        <w:t>Z 盘不可用或站点数据路径无法访问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网络盘暂时未连接；权限或网络异常；管理员配置的路径不可达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只检查资源管理器中 Z 盘是否可见，并记录提示或截图。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在“站点”页核对显示的数据路径，不修改该路径。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等待管理员恢复网络盘或配置后再扫描。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Z 盘持续不可见、路径显示异常或影响扫描时，联系管理员。</w:t>
      </w:r>
    </w:p>
    <w:p>
      <w:pPr>
        <w:pStyle w:val="Heading2"/>
      </w:pPr>
      <w:r>
        <w:t>点击扫描后未发现文件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站点数据路径下没有符合条件的采集文件；Z 盘或路径暂时不可访问；文件尚未到达或不在该站点目录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确认目标站点处于启用状态，并记录点击的“扫描 {站点名}”和任务 ID。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核对 Z 盘是否可见及站点页面显示的路径，不移动、重命名、覆盖或删除 JJK/HDF5 文件。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等待管理员确认目录映射、文件到达状态和扫描结果。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已确认文件存在但扫描仍未发现文件，或连续扫描均异常时，联系管理员。</w:t>
      </w:r>
    </w:p>
    <w:p>
      <w:pPr>
        <w:pStyle w:val="Heading2"/>
      </w:pPr>
      <w:r>
        <w:t>任务一直排队或运行中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worker 未运行或负载较高；原始数据文件较多；API 或存储异常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在“任务”页刷新并记录任务 ID、站点和当前状态。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在“运行总览”查看排队、运行中和失败任务数量。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等待管理员确认 worker 与服务健康状态。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状态长时间无变化、失败任务增加，或影响紧急业务时，携带任务 ID 联系管理员。</w:t>
      </w:r>
    </w:p>
    <w:p>
      <w:pPr>
        <w:pStyle w:val="Heading2"/>
      </w:pPr>
      <w:r>
        <w:t>任务失败或无法重试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源文件入队后被修改，导致 invalid_claim；绑定模型无效，导致 invalid_model；不可重试的数据完整性错误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在任务页查看错误信息和是否可重试。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若为可重试的瞬时错误，点击“重试”。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若为 invalid_claim，不要重试原任务；在确认源文件稳定后重新扫描。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4. 若为 invalid_model，等待管理员修复并发布有效模型后重新扫描或重新入队。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错误信息不明确、重复失败，或需要处理 invalid_model 时，联系管理员。</w:t>
      </w:r>
    </w:p>
    <w:p>
      <w:pPr>
        <w:pStyle w:val="Heading2"/>
      </w:pPr>
      <w:r>
        <w:t>没有事件或事件队列为空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扫描尚未完成；筛选条件过严；数据中没有检测到事件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确认目标扫描任务已完成。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将“机器标签”和“复核状态”都改为“全部”。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点击“重试”重新加载事件列表；必要时使用“加载更多”。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扫描完成后多个站点均无事件且与现场预期明显不符时，联系管理员。</w:t>
      </w:r>
    </w:p>
    <w:p>
      <w:pPr>
        <w:pStyle w:val="Heading2"/>
      </w:pPr>
      <w:r>
        <w:t>图件无法加载或提示完整性校验失败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网络或会话问题；图件加载暂时失败；图件完整性校验失败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点击“重试图件”。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如会话失效，重新登录后返回事件。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若显示“图件完整性校验失败，请联系管理员”，停止以该图件作出判定并记录事件 ID。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重试仍失败，或出现完整性校验失败时，立即联系管理员。</w:t>
      </w:r>
    </w:p>
    <w:p>
      <w:pPr>
        <w:pStyle w:val="Heading2"/>
      </w:pPr>
      <w:r>
        <w:t>图件显示被遮挡、过矮或看不全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浏览器窗口过小；页面缩放比例不合适；图件区域尚未加载完成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等待图件加载完成后刷新页面。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适当放大浏览器窗口，使用浏览器缩放让图件区域完整可见。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点击“全屏查看”检查完整图件，使用“关闭全屏”返回。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4. 记录事件 ID、图件类型和遮挡画面；不要修改图件文件。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全屏查看仍有内容遮挡、图像裁切或关闭按钮异常时，联系管理员。</w:t>
      </w:r>
    </w:p>
    <w:p>
      <w:pPr>
        <w:pStyle w:val="Heading2"/>
      </w:pPr>
      <w:r>
        <w:t>无法生成距离预览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起始或结束距离不是有效数字；起始距离不小于结束距离；距离超出可用范围；预览生成正在进行或失败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参照“可用”提示填写距离。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确保起始距离小于结束距离。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点击“生成临时预览”；如需恢复自动范围，点击“重置临时预览”。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4. 等待“正在生成临时预览…”结束后再操作。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填写有效范围后仍无法生成，且错误提示持续出现时，记录事件 ID 与提示内容联系管理员。</w:t>
      </w:r>
    </w:p>
    <w:p>
      <w:pPr>
        <w:pStyle w:val="Heading2"/>
      </w:pPr>
      <w:r>
        <w:t>人工复核没有显示已保存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可能原因：</w:t>
      </w:r>
      <w:r>
        <w:rPr>
          <w:rFonts w:ascii="Microsoft YaHei" w:hAnsi="Microsoft YaHei" w:eastAsia="Microsoft YaHei" w:cs="Microsoft YaHei"/>
          <w:color w:val="222222"/>
          <w:sz w:val="21"/>
        </w:rPr>
        <w:t>未选择人工标签；网络请求失败；保存过程中切换了事件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怎么做：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1. 选择人工标签，必要时填写备注后点击“保存复核”。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2. 等待按钮操作完成并确认出现“已保存”。</w:t>
      </w:r>
    </w:p>
    <w:p>
      <w:pPr>
        <w:ind w:left="425" w:hanging="312"/>
      </w:pPr>
      <w:r>
        <w:rPr>
          <w:rFonts w:ascii="Microsoft YaHei" w:hAnsi="Microsoft YaHei" w:eastAsia="Microsoft YaHei" w:cs="Microsoft YaHei"/>
          <w:color w:val="222222"/>
          <w:sz w:val="21"/>
        </w:rPr>
        <w:t>3. 失败时根据提示重试；不要连续快速提交。</w:t>
      </w:r>
    </w:p>
    <w:p>
      <w:pPr>
        <w:keepNext w:val="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何时联系管理员：</w:t>
      </w:r>
      <w:r>
        <w:rPr>
          <w:rFonts w:ascii="Microsoft YaHei" w:hAnsi="Microsoft YaHei" w:eastAsia="Microsoft YaHei" w:cs="Microsoft YaHei"/>
          <w:color w:val="222222"/>
          <w:sz w:val="21"/>
        </w:rPr>
        <w:t>同一事件反复无法保存，或保存结果与选择不一致时，联系管理员并提供事件 ID、标签和时间。</w:t>
      </w:r>
    </w:p>
    <w:p>
      <w:r>
        <w:br w:type="page"/>
      </w:r>
    </w:p>
    <w:p>
      <w:pPr>
        <w:pStyle w:val="Heading1"/>
      </w:pPr>
      <w:r>
        <w:t>9 安全事项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Z 盘 JJK/HDF5 是原始采集数据，只读使用。不要移动、重命名、覆盖或删除任何原始文件。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不要自行改变站点数据路径、设备配置、环境变量、后台服务或容器。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不要在事件备注、聊天、工单或截图中写入密码、令牌、密钥或完整文件指纹。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图件完整性校验失败时，不要使用该图件作事件判定。记录事件 ID 并联系管理员。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系统数据库、图件和模型与原始数据分开保存。普通用户只通过网页完成扫描、查看与复核。</w:t>
      </w:r>
    </w:p>
    <w:p>
      <w:pPr>
        <w:pStyle w:val="Heading1"/>
      </w:pPr>
      <w:r>
        <w:t>10 仅管理员附录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本章只说明当前部署边界和恢复前的核对项，不提供未经确认的启动命令。普通用户遇到服务、网络盘或扫描异常时，应按故障处理上报，不执行本章操作。</w:t>
      </w:r>
    </w:p>
    <w:p>
      <w:pPr>
        <w:pStyle w:val="Heading2"/>
      </w:pPr>
      <w:r>
        <w:t>10 1 当前本机服务边界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当前 http://127.0.0.1:18000 对应本机 Python 服务。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当前 Docker Compose 没有可直接使用的 .env。仅启动 Docker Desktop 不能视为恢复当前服务。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恢复前应核对实际配置、服务进程、后台工作进程和应用数据位置，不应猜测启动命令。</w:t>
      </w:r>
    </w:p>
    <w:p>
      <w:pPr>
        <w:pStyle w:val="Heading2"/>
      </w:pPr>
      <w:r>
        <w:t>10 2 Docker 与 NAS 核对项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确认原始 DAS 数据以只读方式挂载，并保持 Z 盘 JJK/HDF5 文件不被应用改写。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部署约定中，原始数据目录为 /data 且只读；数据库、图件和模型等应用数据位于 /app-data。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确认数据库、图件和模型写入应用数据位置，不写入原始数据目录。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确认环境配置和密钥来源真实可用，再启动或恢复容器与工作进程。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确认站点路径、时区、光缆类型、设备配置和已发布模型与现场一致。</w:t>
      </w:r>
    </w:p>
    <w:p>
      <w:pPr>
        <w:pStyle w:val="ListBullet"/>
        <w:ind w:left="312" w:hanging="170"/>
      </w:pPr>
      <w:r>
        <w:rPr>
          <w:rFonts w:ascii="Microsoft YaHei" w:hAnsi="Microsoft YaHei" w:eastAsia="Microsoft YaHei" w:cs="Microsoft YaHei"/>
          <w:color w:val="222222"/>
          <w:sz w:val="21"/>
        </w:rPr>
        <w:t>恢复后从浏览器核对运行总览、站点、任务、事件图件和模型页面，再交还普通用户。</w:t>
      </w:r>
    </w:p>
    <w:p>
      <w:pPr>
        <w:pStyle w:val="Heading2"/>
      </w:pPr>
      <w:r>
        <w:t>10 3 普通用户上报信息</w:t>
      </w:r>
    </w:p>
    <w:p>
      <w:pPr>
        <w:keepNext w:val="0"/>
      </w:pPr>
      <w:r>
        <w:rPr>
          <w:rFonts w:ascii="Microsoft YaHei" w:hAnsi="Microsoft YaHei" w:eastAsia="Microsoft YaHei" w:cs="Microsoft YaHei"/>
          <w:color w:val="222222"/>
          <w:sz w:val="21"/>
        </w:rPr>
        <w:t>上报时收集出现时间、站点名、任务 ID、事件 ID、页面错误文字和不含敏感信息的截图。不要要求普通用户提供密码，也不要让普通用户改动原始数据或后台配置。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26D7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</w:pPr>
    <w:rPr>
      <w:rFonts w:ascii="Microsoft YaHei" w:hAnsi="Microsoft YaHei" w:eastAsia="Microsoft YaHei" w:cs="Microsoft Ya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44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  <w:jc w:val="center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626D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 w:cs="Microsoft YaHei"/>
      <w:b w:val="0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 w:cs="Microsoft YaHei"/>
      <w:b w:val="0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Sentinel 中文零基础操作手册</dc:title>
  <dc:subject>DAS Sentinel 日常使用和事件复核</dc:subject>
  <dc:creator>DAS Sentinel</dc:creator>
  <cp:keywords>DAS, 事件复核,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