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7BA8">
      <w:pPr>
        <w:keepNext w:val="0"/>
        <w:keepLines w:val="0"/>
        <w:widowControl/>
        <w:suppressLineNumbers w:val="0"/>
        <w:spacing w:after="0"/>
        <w:jc w:val="center"/>
        <w:rPr>
          <w:rFonts w:hint="eastAsia" w:ascii="方正小标宋简体" w:hAnsi="方正小标宋简体" w:eastAsia="方正小标宋简体" w:cs="方正小标宋简体"/>
          <w:color w:val="000000"/>
          <w:kern w:val="2"/>
          <w:sz w:val="44"/>
          <w:szCs w:val="44"/>
          <w:lang w:val="en-US" w:eastAsia="zh-CN" w:bidi="ar"/>
        </w:rPr>
      </w:pPr>
      <w:bookmarkStart w:id="0" w:name="公文审核修改单"/>
      <w:r>
        <w:rPr>
          <w:rFonts w:hint="eastAsia" w:ascii="方正小标宋简体" w:hAnsi="方正小标宋简体" w:eastAsia="方正小标宋简体" w:cs="方正小标宋简体"/>
          <w:color w:val="000000"/>
          <w:kern w:val="2"/>
          <w:sz w:val="44"/>
          <w:szCs w:val="44"/>
          <w:lang w:val="en-US" w:eastAsia="zh-CN" w:bidi="ar"/>
        </w:rPr>
        <w:t>公文审核修改单</w:t>
      </w:r>
    </w:p>
    <w:p w14:paraId="18EF9E22">
      <w:pPr>
        <w:pStyle w:val="4"/>
      </w:pPr>
      <w:bookmarkStart w:id="1" w:name="基本信息"/>
      <w:r>
        <w:rPr>
          <w:rFonts w:hint="eastAsia"/>
        </w:rPr>
        <w:t>基本信息</w:t>
      </w:r>
    </w:p>
    <w:p w14:paraId="38DAF9D1">
      <w:pPr>
        <w:pStyle w:val="23"/>
      </w:pPr>
      <w:r>
        <w:rPr>
          <w:rFonts w:hint="eastAsia"/>
        </w:rPr>
        <w:t>本次审核文稿标题为《2026年发电目标分解说明报告》，审核类别为公文规范性审核。经综合研判，审核结论建议修改后印发。</w:t>
      </w:r>
    </w:p>
    <w:bookmarkEnd w:id="1"/>
    <w:p w14:paraId="51DEE1A6">
      <w:pPr>
        <w:pStyle w:val="4"/>
      </w:pPr>
      <w:bookmarkStart w:id="2" w:name="具体审核意见"/>
      <w:r>
        <w:rPr>
          <w:rFonts w:hint="eastAsia"/>
        </w:rPr>
        <w:t>具体审核意见</w:t>
      </w:r>
    </w:p>
    <w:p w14:paraId="5585383E">
      <w:pPr>
        <w:pStyle w:val="23"/>
      </w:pPr>
      <w:r>
        <w:rPr>
          <w:rFonts w:hint="eastAsia"/>
        </w:rPr>
        <w:t>本次审核重点关注了标题、行文及逻辑等方面。在标题规范性上，由于原标题未完整涵盖事由与文种等要素，拟按标准格式调整。行文方面，修正了部分口语化表述，并统一了附件引用格式。在逻辑层面，针对合理性评估部分的杂糅内容进行了拆分处理，确保数据现状与差异分析条理清晰。同时，补充了体现集控中心专业定位的战略术语，并优化了关键指标的排版。</w:t>
      </w:r>
    </w:p>
    <w:tbl>
      <w:tblPr>
        <w:tblStyle w:val="41"/>
        <w:tblW w:w="5000" w:type="pct"/>
        <w:tblInd w:w="0" w:type="dxa"/>
        <w:tblLayout w:type="fixed"/>
        <w:tblCellMar>
          <w:top w:w="0" w:type="dxa"/>
          <w:left w:w="108" w:type="dxa"/>
          <w:bottom w:w="0" w:type="dxa"/>
          <w:right w:w="108" w:type="dxa"/>
        </w:tblCellMar>
      </w:tblPr>
      <w:tblGrid>
        <w:gridCol w:w="1084"/>
        <w:gridCol w:w="3615"/>
        <w:gridCol w:w="4157"/>
      </w:tblGrid>
      <w:tr w14:paraId="1B766CD8">
        <w:trPr>
          <w:tblHeader/>
        </w:trPr>
        <w:tc>
          <w:p w14:paraId="34ABC6B2">
            <w:pPr>
              <w:pStyle w:val="24"/>
              <w:jc w:val="left"/>
            </w:pPr>
            <w:r>
              <w:rPr>
                <w:rFonts w:hint="eastAsia"/>
              </w:rPr>
              <w:t>审核维度</w:t>
            </w:r>
          </w:p>
        </w:tc>
        <w:tc>
          <w:p w14:paraId="4B3A7A8A">
            <w:pPr>
              <w:pStyle w:val="24"/>
              <w:jc w:val="left"/>
            </w:pPr>
            <w:r>
              <w:rPr>
                <w:rFonts w:hint="eastAsia"/>
              </w:rPr>
              <w:t>问题描述</w:t>
            </w:r>
          </w:p>
        </w:tc>
        <w:tc>
          <w:p w14:paraId="7776D40C">
            <w:pPr>
              <w:pStyle w:val="24"/>
              <w:jc w:val="left"/>
            </w:pPr>
            <w:r>
              <w:rPr>
                <w:rFonts w:hint="eastAsia"/>
              </w:rPr>
              <w:t>修改建议</w:t>
            </w:r>
          </w:p>
        </w:tc>
      </w:tr>
      <w:tr w14:paraId="3B8A012A">
        <w:tc>
          <w:p w14:paraId="2F3F81D9">
            <w:pPr>
              <w:pStyle w:val="24"/>
              <w:jc w:val="left"/>
            </w:pPr>
            <w:r>
              <w:rPr>
                <w:rFonts w:hint="eastAsia"/>
                <w:b/>
                <w:bCs/>
              </w:rPr>
              <w:t>标题规范</w:t>
            </w:r>
          </w:p>
        </w:tc>
        <w:tc>
          <w:p w14:paraId="5D339CB1">
            <w:pPr>
              <w:pStyle w:val="24"/>
              <w:jc w:val="left"/>
            </w:pPr>
            <w:r>
              <w:rPr>
                <w:rFonts w:hint="eastAsia"/>
              </w:rPr>
              <w:t>原标题不符合公文标题三要素要求。</w:t>
            </w:r>
          </w:p>
        </w:tc>
        <w:tc>
          <w:p w14:paraId="3A868E64">
            <w:pPr>
              <w:pStyle w:val="24"/>
              <w:jc w:val="left"/>
            </w:pPr>
            <w:r>
              <w:rPr>
                <w:rFonts w:hint="eastAsia"/>
              </w:rPr>
              <w:t>拟修改为：</w:t>
            </w:r>
            <w:r>
              <w:rPr>
                <w:rFonts w:hint="eastAsia"/>
                <w:b/>
                <w:bCs/>
              </w:rPr>
              <w:t>关于2026年发电目标分解情况的报告</w:t>
            </w:r>
          </w:p>
        </w:tc>
      </w:tr>
      <w:tr w14:paraId="2914F651">
        <w:tc>
          <w:p w14:paraId="60E65DE8">
            <w:pPr>
              <w:pStyle w:val="24"/>
              <w:jc w:val="left"/>
            </w:pPr>
            <w:r>
              <w:rPr>
                <w:rFonts w:hint="eastAsia"/>
                <w:b/>
                <w:bCs/>
              </w:rPr>
              <w:t>行文语体</w:t>
            </w:r>
          </w:p>
        </w:tc>
        <w:tc>
          <w:p w14:paraId="49C11552">
            <w:pPr>
              <w:pStyle w:val="24"/>
              <w:jc w:val="left"/>
            </w:pPr>
            <w:r>
              <w:rPr>
                <w:rFonts w:hint="eastAsia"/>
              </w:rPr>
              <w:t>开头表述较为口语化；附件引用格式不统一。</w:t>
            </w:r>
          </w:p>
        </w:tc>
        <w:tc>
          <w:p w14:paraId="64879EEC">
            <w:pPr>
              <w:pStyle w:val="24"/>
              <w:jc w:val="left"/>
            </w:pPr>
            <w:r>
              <w:rPr>
                <w:rFonts w:hint="eastAsia"/>
              </w:rPr>
              <w:t>建议增加政治站位，规范引用格式。</w:t>
            </w:r>
          </w:p>
        </w:tc>
      </w:tr>
      <w:tr w14:paraId="57783519">
        <w:tc>
          <w:p w14:paraId="102407F1">
            <w:pPr>
              <w:pStyle w:val="24"/>
              <w:jc w:val="left"/>
            </w:pPr>
            <w:r>
              <w:rPr>
                <w:rFonts w:hint="eastAsia"/>
                <w:b/>
                <w:bCs/>
              </w:rPr>
              <w:t>逻辑结构</w:t>
            </w:r>
          </w:p>
        </w:tc>
        <w:tc>
          <w:p w14:paraId="44CC1A7F">
            <w:pPr>
              <w:pStyle w:val="24"/>
              <w:jc w:val="left"/>
            </w:pPr>
            <w:r>
              <w:rPr>
                <w:rFonts w:hint="eastAsia"/>
              </w:rPr>
              <w:t>“合理性评估”部分逻辑杂糅。</w:t>
            </w:r>
          </w:p>
        </w:tc>
        <w:tc>
          <w:p w14:paraId="3834B637">
            <w:pPr>
              <w:pStyle w:val="24"/>
              <w:jc w:val="left"/>
            </w:pPr>
            <w:r>
              <w:rPr>
                <w:rFonts w:hint="eastAsia"/>
              </w:rPr>
              <w:t>建议拆分为“现状数据”与“差异分析”，条理更清晰。</w:t>
            </w:r>
          </w:p>
        </w:tc>
      </w:tr>
      <w:tr w14:paraId="0BD9435C">
        <w:tc>
          <w:p w14:paraId="18218DE7">
            <w:pPr>
              <w:pStyle w:val="24"/>
              <w:jc w:val="left"/>
            </w:pPr>
            <w:r>
              <w:rPr>
                <w:rFonts w:hint="eastAsia"/>
                <w:b/>
                <w:bCs/>
              </w:rPr>
              <w:t>专业术语</w:t>
            </w:r>
          </w:p>
        </w:tc>
        <w:tc>
          <w:p w14:paraId="30FFE058">
            <w:pPr>
              <w:pStyle w:val="24"/>
              <w:jc w:val="left"/>
            </w:pPr>
            <w:r>
              <w:rPr>
                <w:rFonts w:hint="eastAsia"/>
              </w:rPr>
              <w:t>未体现集控中心专业定位。</w:t>
            </w:r>
          </w:p>
        </w:tc>
        <w:tc>
          <w:p w14:paraId="49A4D4F3">
            <w:pPr>
              <w:pStyle w:val="24"/>
              <w:jc w:val="left"/>
            </w:pPr>
            <w:r>
              <w:rPr>
                <w:rFonts w:hint="eastAsia"/>
              </w:rPr>
              <w:t>补充“本质安全”、“精细化管理”等专业术语。</w:t>
            </w:r>
          </w:p>
        </w:tc>
      </w:tr>
      <w:tr w14:paraId="40A59749">
        <w:tc>
          <w:p w14:paraId="34524AE4">
            <w:pPr>
              <w:pStyle w:val="24"/>
              <w:jc w:val="left"/>
            </w:pPr>
            <w:r>
              <w:rPr>
                <w:rFonts w:hint="eastAsia"/>
                <w:b/>
                <w:bCs/>
              </w:rPr>
              <w:t>排版格式</w:t>
            </w:r>
          </w:p>
        </w:tc>
        <w:tc>
          <w:p w14:paraId="2833359F">
            <w:pPr>
              <w:pStyle w:val="24"/>
              <w:jc w:val="left"/>
            </w:pPr>
            <w:r>
              <w:rPr>
                <w:rFonts w:hint="eastAsia"/>
              </w:rPr>
              <w:t>关键指标未突出，公式展示不直观。</w:t>
            </w:r>
          </w:p>
        </w:tc>
        <w:tc>
          <w:p w14:paraId="02851225">
            <w:pPr>
              <w:pStyle w:val="24"/>
              <w:jc w:val="left"/>
            </w:pPr>
            <w:r>
              <w:rPr>
                <w:rFonts w:hint="eastAsia"/>
              </w:rPr>
              <w:t>调整公式排版，对关键指标加粗强调。</w:t>
            </w:r>
          </w:p>
        </w:tc>
      </w:tr>
    </w:tbl>
    <w:p w14:paraId="35168EF9">
      <w:r>
        <w:pict>
          <v:rect id="_x0000_i1025" o:spt="1" style="height:1.5pt;width:0pt;" coordsize="21600,21600" o:hr="t" o:hrstd="t" o:hralign="center">
            <v:path/>
            <v:fill focussize="0,0"/>
            <v:stroke/>
            <v:imagedata o:title=""/>
            <o:lock v:ext="edit"/>
            <w10:wrap type="none"/>
            <w10:anchorlock/>
          </v:rect>
        </w:pict>
      </w:r>
    </w:p>
    <w:bookmarkEnd w:id="0"/>
    <w:bookmarkEnd w:id="2"/>
    <w:p w14:paraId="7A1B406C">
      <w:pPr>
        <w:keepNext w:val="0"/>
        <w:keepLines w:val="0"/>
        <w:widowControl/>
        <w:suppressLineNumbers w:val="0"/>
        <w:spacing w:after="0"/>
        <w:jc w:val="center"/>
        <w:rPr>
          <w:rFonts w:hint="eastAsia" w:ascii="方正小标宋简体" w:hAnsi="方正小标宋简体" w:eastAsia="方正小标宋简体" w:cs="方正小标宋简体"/>
          <w:color w:val="000000"/>
          <w:kern w:val="2"/>
          <w:sz w:val="44"/>
          <w:szCs w:val="44"/>
          <w:lang w:val="en-US" w:eastAsia="zh-CN" w:bidi="ar"/>
        </w:rPr>
      </w:pPr>
      <w:bookmarkStart w:id="3" w:name="关于2026年发电目标分解情况的报告"/>
      <w:r>
        <w:rPr>
          <w:rFonts w:hint="eastAsia" w:ascii="方正小标宋简体" w:hAnsi="方正小标宋简体" w:eastAsia="方正小标宋简体" w:cs="方正小标宋简体"/>
          <w:color w:val="000000"/>
          <w:kern w:val="2"/>
          <w:sz w:val="44"/>
          <w:szCs w:val="44"/>
          <w:lang w:val="en-US" w:eastAsia="zh-CN" w:bidi="ar"/>
        </w:rPr>
        <w:t>关于2026年发电目标分解情况的报告</w:t>
      </w:r>
    </w:p>
    <w:p w14:paraId="3267246A">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根据公司2026年度经营发展战略及全年 24.47亿千瓦时 上网电量总目标要求（见附件1），集控中心结合区域消纳形势与设备运行实况，坚持“科学预测、合理分解、压实责任”原则，制定了年度发电目标分解方案。方案已将总量逐级分解至各项目公司及所属场站，形成月度可跟踪、季度可考核的执行体系。现将有关情况报告如下：</w:t>
      </w:r>
    </w:p>
    <w:p w14:paraId="34C7E0C1">
      <w:pPr>
        <w:keepNext w:val="0"/>
        <w:keepLines w:val="0"/>
        <w:widowControl w:val="0"/>
        <w:suppressLineNumbers w:val="0"/>
        <w:autoSpaceDE w:val="0"/>
        <w:autoSpaceDN/>
        <w:spacing w:before="0" w:beforeAutospacing="0" w:after="0" w:afterAutospacing="0" w:line="560" w:lineRule="exact"/>
        <w:ind w:left="0" w:leftChars="0" w:right="0" w:firstLine="640" w:firstLineChars="200"/>
        <w:jc w:val="both"/>
        <w:outlineLvl w:val="0"/>
        <w:rPr>
          <w:rFonts w:hint="eastAsia" w:ascii="黑体" w:hAnsi="宋体" w:eastAsia="黑体" w:cs="黑体"/>
          <w:color w:val="000000"/>
          <w:kern w:val="2"/>
          <w:sz w:val="32"/>
          <w:szCs w:val="32"/>
          <w:lang w:val="en-US" w:eastAsia="zh-CN" w:bidi="ar"/>
        </w:rPr>
      </w:pPr>
      <w:bookmarkStart w:id="4" w:name="一-目标制定原则"/>
      <w:r>
        <w:rPr>
          <w:rFonts w:hint="eastAsia" w:ascii="黑体" w:hAnsi="宋体" w:eastAsia="黑体" w:cs="黑体"/>
          <w:color w:val="000000"/>
          <w:kern w:val="2"/>
          <w:sz w:val="32"/>
          <w:szCs w:val="32"/>
          <w:lang w:val="en-US" w:eastAsia="zh-CN" w:bidi="ar"/>
        </w:rPr>
        <w:t>一、 目标制定原则</w:t>
      </w:r>
    </w:p>
    <w:p w14:paraId="65F5CE58">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5" w:name="一-坚持实绩导向摒弃理论估算"/>
      <w:r>
        <w:rPr>
          <w:rFonts w:hint="eastAsia" w:ascii="楷体" w:hAnsi="楷体" w:eastAsia="楷体" w:cs="楷体"/>
          <w:b w:val="0"/>
          <w:bCs w:val="0"/>
          <w:color w:val="000000"/>
          <w:kern w:val="2"/>
          <w:sz w:val="32"/>
          <w:szCs w:val="32"/>
          <w:lang w:val="en-US" w:eastAsia="zh-CN" w:bidi="ar"/>
        </w:rPr>
        <w:t>（一） 坚持实绩导向，摒弃理论估算</w:t>
      </w:r>
    </w:p>
    <w:p w14:paraId="7CDAA2E5">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测算基准全面采用“历史平均利用小时数”，该数据已涵盖微观气象、设备衰减及区域光资源波动等实际因素，比可研理论值更具指导意义。</w:t>
      </w:r>
    </w:p>
    <w:p w14:paraId="3FE8F1CF">
      <w:pPr>
        <w:pStyle w:val="24"/>
        <w:keepNext w:val="0"/>
        <w:keepLines w:val="0"/>
        <w:pageBreakBefore w:val="0"/>
        <w:widowControl/>
        <w:numPr>
          <w:ilvl w:val="0"/>
          <w:numId w:val="1"/>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针对2025年及以前投产的</w:t>
      </w:r>
      <w:r>
        <w:rPr>
          <w:rFonts w:hint="eastAsia" w:ascii="仿宋" w:hAnsi="仿宋" w:eastAsia="仿宋" w:cs="仿宋"/>
          <w:b/>
          <w:bCs/>
          <w:sz w:val="32"/>
          <w:szCs w:val="32"/>
        </w:rPr>
        <w:t>存量项目</w:t>
      </w:r>
      <w:r>
        <w:rPr>
          <w:rFonts w:hint="eastAsia" w:ascii="仿宋" w:hAnsi="仿宋" w:eastAsia="仿宋" w:cs="仿宋"/>
          <w:sz w:val="32"/>
          <w:szCs w:val="32"/>
        </w:rPr>
        <w:t>，严格锚定历史同期实际运行数据。</w:t>
      </w:r>
    </w:p>
    <w:p w14:paraId="61AB587D">
      <w:pPr>
        <w:pStyle w:val="24"/>
        <w:keepNext w:val="0"/>
        <w:keepLines w:val="0"/>
        <w:pageBreakBefore w:val="0"/>
        <w:widowControl/>
        <w:numPr>
          <w:ilvl w:val="0"/>
          <w:numId w:val="1"/>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针对那楠、樟木、垌心等2026年新投产的</w:t>
      </w:r>
      <w:r>
        <w:rPr>
          <w:rFonts w:hint="eastAsia" w:ascii="仿宋" w:hAnsi="仿宋" w:eastAsia="仿宋" w:cs="仿宋"/>
          <w:b/>
          <w:bCs/>
          <w:sz w:val="32"/>
          <w:szCs w:val="32"/>
        </w:rPr>
        <w:t>增量项目</w:t>
      </w:r>
      <w:r>
        <w:rPr>
          <w:rFonts w:hint="eastAsia" w:ascii="仿宋" w:hAnsi="仿宋" w:eastAsia="仿宋" w:cs="仿宋"/>
          <w:sz w:val="32"/>
          <w:szCs w:val="32"/>
        </w:rPr>
        <w:t>，严格依据工程里程碑计划动态核算容量基数，确保电量释放与建设进度同步（见附件2）。</w:t>
      </w:r>
    </w:p>
    <w:bookmarkEnd w:id="5"/>
    <w:p w14:paraId="0F49D72F">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6" w:name="二-分类施策精准测算"/>
      <w:r>
        <w:rPr>
          <w:rFonts w:hint="eastAsia" w:ascii="楷体" w:hAnsi="楷体" w:eastAsia="楷体" w:cs="楷体"/>
          <w:b w:val="0"/>
          <w:bCs w:val="0"/>
          <w:color w:val="000000"/>
          <w:kern w:val="2"/>
          <w:sz w:val="32"/>
          <w:szCs w:val="32"/>
          <w:lang w:val="en-US" w:eastAsia="zh-CN" w:bidi="ar"/>
        </w:rPr>
        <w:t>（二） 分类施策，精准测算</w:t>
      </w:r>
    </w:p>
    <w:p w14:paraId="6FE26E55">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综合考虑资源特性与设备状态，差异化制定测算模型：</w:t>
      </w:r>
    </w:p>
    <w:p w14:paraId="5F15ED9F">
      <w:pPr>
        <w:pStyle w:val="24"/>
        <w:keepNext w:val="0"/>
        <w:keepLines w:val="0"/>
        <w:pageBreakBefore w:val="0"/>
        <w:widowControl/>
        <w:numPr>
          <w:ilvl w:val="0"/>
          <w:numId w:val="2"/>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集中式光伏项目采用“80%历史实绩+20%理论修正”加权模型，修正设备可利用率、站用电率及区域限电率影响。</w:t>
      </w:r>
    </w:p>
    <w:p w14:paraId="0684CB6F">
      <w:pPr>
        <w:pStyle w:val="24"/>
        <w:keepNext w:val="0"/>
        <w:keepLines w:val="0"/>
        <w:pageBreakBefore w:val="0"/>
        <w:widowControl/>
        <w:numPr>
          <w:ilvl w:val="0"/>
          <w:numId w:val="2"/>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集中式风电项目采用同权加权测算，重点考量风资源季节性波动对限电率的动态影响。</w:t>
      </w:r>
    </w:p>
    <w:p w14:paraId="44F84209">
      <w:pPr>
        <w:pStyle w:val="24"/>
        <w:keepNext w:val="0"/>
        <w:keepLines w:val="0"/>
        <w:pageBreakBefore w:val="0"/>
        <w:widowControl/>
        <w:numPr>
          <w:ilvl w:val="0"/>
          <w:numId w:val="2"/>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分布式光伏项目以可研小时数为基数，结合实际装机容量与设备运行效率据实测算。</w:t>
      </w:r>
    </w:p>
    <w:bookmarkEnd w:id="4"/>
    <w:bookmarkEnd w:id="6"/>
    <w:p w14:paraId="57FBB228">
      <w:pPr>
        <w:keepNext w:val="0"/>
        <w:keepLines w:val="0"/>
        <w:widowControl w:val="0"/>
        <w:suppressLineNumbers w:val="0"/>
        <w:autoSpaceDE w:val="0"/>
        <w:autoSpaceDN/>
        <w:spacing w:before="0" w:beforeAutospacing="0" w:after="0" w:afterAutospacing="0" w:line="560" w:lineRule="exact"/>
        <w:ind w:left="0" w:leftChars="0" w:right="0" w:firstLine="640" w:firstLineChars="200"/>
        <w:jc w:val="both"/>
        <w:outlineLvl w:val="0"/>
        <w:rPr>
          <w:rFonts w:hint="eastAsia" w:ascii="黑体" w:hAnsi="宋体" w:eastAsia="黑体" w:cs="黑体"/>
          <w:color w:val="000000"/>
          <w:kern w:val="2"/>
          <w:sz w:val="32"/>
          <w:szCs w:val="32"/>
          <w:lang w:val="en-US" w:eastAsia="zh-CN" w:bidi="ar"/>
        </w:rPr>
      </w:pPr>
      <w:bookmarkStart w:id="7" w:name="二-目标合理性与对标分析"/>
      <w:r>
        <w:rPr>
          <w:rFonts w:hint="eastAsia" w:ascii="黑体" w:hAnsi="宋体" w:eastAsia="黑体" w:cs="黑体"/>
          <w:color w:val="000000"/>
          <w:kern w:val="2"/>
          <w:sz w:val="32"/>
          <w:szCs w:val="32"/>
          <w:lang w:val="en-US" w:eastAsia="zh-CN" w:bidi="ar"/>
        </w:rPr>
        <w:t>二、 目标合理性与对标分析</w:t>
      </w:r>
    </w:p>
    <w:p w14:paraId="768095CA">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8" w:name="一-区域消纳形势对标"/>
      <w:r>
        <w:rPr>
          <w:rFonts w:hint="eastAsia" w:ascii="楷体" w:hAnsi="楷体" w:eastAsia="楷体" w:cs="楷体"/>
          <w:b w:val="0"/>
          <w:bCs w:val="0"/>
          <w:color w:val="000000"/>
          <w:kern w:val="2"/>
          <w:sz w:val="32"/>
          <w:szCs w:val="32"/>
          <w:lang w:val="en-US" w:eastAsia="zh-CN" w:bidi="ar"/>
        </w:rPr>
        <w:t>（一） 区域消纳形势对标</w:t>
      </w:r>
    </w:p>
    <w:p w14:paraId="38F0BA2F">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依据2025年广西电网公示数据：</w:t>
      </w:r>
    </w:p>
    <w:p w14:paraId="5E8807BC">
      <w:pPr>
        <w:pStyle w:val="24"/>
        <w:keepNext w:val="0"/>
        <w:keepLines w:val="0"/>
        <w:pageBreakBefore w:val="0"/>
        <w:widowControl/>
        <w:numPr>
          <w:ilvl w:val="0"/>
          <w:numId w:val="3"/>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从全区水平看，广西区域全年平均限电率16.46%。其中光伏（装机占比36.9%）限电率22.57%；风电（装机占比63.1%）限电率14.26%。</w:t>
      </w:r>
    </w:p>
    <w:p w14:paraId="35AD6E6C">
      <w:pPr>
        <w:pStyle w:val="24"/>
        <w:keepNext w:val="0"/>
        <w:keepLines w:val="0"/>
        <w:pageBreakBefore w:val="0"/>
        <w:widowControl/>
        <w:numPr>
          <w:ilvl w:val="0"/>
          <w:numId w:val="3"/>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从公司实绩看，2025年公司综合限电率22.90%。其中光伏限电率24.28%，高于市场平均1.71个百分点；风电限电率12.50%，优于市场平均1.76个百分点。</w:t>
      </w:r>
    </w:p>
    <w:p w14:paraId="0AB1248D">
      <w:pPr>
        <w:pStyle w:val="24"/>
        <w:keepNext w:val="0"/>
        <w:keepLines w:val="0"/>
        <w:pageBreakBefore w:val="0"/>
        <w:widowControl/>
        <w:numPr>
          <w:ilvl w:val="0"/>
          <w:numId w:val="3"/>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经差异分析，光伏限电率偏高主要受崇左区域断面受限及火电投产顶峰等客观因素影响（剔除后仅高于市场0.1个百分点），整体处于可控区间（见附件3）。</w:t>
      </w:r>
    </w:p>
    <w:bookmarkEnd w:id="8"/>
    <w:p w14:paraId="27B377E5">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9" w:name="二-2026年指标预测"/>
      <w:r>
        <w:rPr>
          <w:rFonts w:hint="eastAsia" w:ascii="楷体" w:hAnsi="楷体" w:eastAsia="楷体" w:cs="楷体"/>
          <w:b w:val="0"/>
          <w:bCs w:val="0"/>
          <w:color w:val="000000"/>
          <w:kern w:val="2"/>
          <w:sz w:val="32"/>
          <w:szCs w:val="32"/>
          <w:lang w:val="en-US" w:eastAsia="zh-CN" w:bidi="ar"/>
        </w:rPr>
        <w:t>（二） 2026年指标预测</w:t>
      </w:r>
    </w:p>
    <w:p w14:paraId="2A6C2BC9">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综合装机结构优化及电力交易策略调整，2026年核心指标测算如下：</w:t>
      </w:r>
    </w:p>
    <w:p w14:paraId="185C4176">
      <w:pPr>
        <w:pStyle w:val="24"/>
        <w:keepNext w:val="0"/>
        <w:keepLines w:val="0"/>
        <w:pageBreakBefore w:val="0"/>
        <w:widowControl/>
        <w:numPr>
          <w:ilvl w:val="0"/>
          <w:numId w:val="4"/>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预计光伏限电率控制在 23.25% 以内，较上年压降1.03个百分点。</w:t>
      </w:r>
    </w:p>
    <w:p w14:paraId="4FD0A3F8">
      <w:pPr>
        <w:pStyle w:val="24"/>
        <w:keepNext w:val="0"/>
        <w:keepLines w:val="0"/>
        <w:pageBreakBefore w:val="0"/>
        <w:widowControl/>
        <w:numPr>
          <w:ilvl w:val="0"/>
          <w:numId w:val="4"/>
        </w:numPr>
        <w:kinsoku/>
        <w:wordWrap/>
        <w:overflowPunct/>
        <w:topLinePunct w:val="0"/>
        <w:autoSpaceDE/>
        <w:autoSpaceDN/>
        <w:bidi w:val="0"/>
        <w:adjustRightInd/>
        <w:snapToGrid/>
        <w:ind w:lef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预计风电限电率</w:t>
      </w:r>
      <w:bookmarkStart w:id="15" w:name="_GoBack"/>
      <w:bookmarkEnd w:id="15"/>
      <w:r>
        <w:rPr>
          <w:rFonts w:hint="eastAsia" w:ascii="仿宋" w:hAnsi="仿宋" w:eastAsia="仿宋" w:cs="仿宋"/>
          <w:sz w:val="32"/>
          <w:szCs w:val="32"/>
        </w:rPr>
        <w:t>控制在 12.50% 以内，继续保持优于区域平均水平。</w:t>
      </w:r>
    </w:p>
    <w:bookmarkEnd w:id="7"/>
    <w:bookmarkEnd w:id="9"/>
    <w:p w14:paraId="1D28A1EE">
      <w:pPr>
        <w:keepNext w:val="0"/>
        <w:keepLines w:val="0"/>
        <w:widowControl w:val="0"/>
        <w:suppressLineNumbers w:val="0"/>
        <w:autoSpaceDE w:val="0"/>
        <w:autoSpaceDN/>
        <w:spacing w:before="0" w:beforeAutospacing="0" w:after="0" w:afterAutospacing="0" w:line="560" w:lineRule="exact"/>
        <w:ind w:left="0" w:leftChars="0" w:right="0" w:firstLine="640" w:firstLineChars="200"/>
        <w:jc w:val="both"/>
        <w:outlineLvl w:val="0"/>
        <w:rPr>
          <w:rFonts w:hint="eastAsia" w:ascii="黑体" w:hAnsi="宋体" w:eastAsia="黑体" w:cs="黑体"/>
          <w:color w:val="000000"/>
          <w:kern w:val="2"/>
          <w:sz w:val="32"/>
          <w:szCs w:val="32"/>
          <w:lang w:val="en-US" w:eastAsia="zh-CN" w:bidi="ar"/>
        </w:rPr>
      </w:pPr>
      <w:bookmarkStart w:id="10" w:name="三-关键管控措施"/>
      <w:r>
        <w:rPr>
          <w:rFonts w:hint="eastAsia" w:ascii="黑体" w:hAnsi="宋体" w:eastAsia="黑体" w:cs="黑体"/>
          <w:color w:val="000000"/>
          <w:kern w:val="2"/>
          <w:sz w:val="32"/>
          <w:szCs w:val="32"/>
          <w:lang w:val="en-US" w:eastAsia="zh-CN" w:bidi="ar"/>
        </w:rPr>
        <w:t>三、 关键管控措施</w:t>
      </w:r>
    </w:p>
    <w:p w14:paraId="19F5FE93">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为确保年度目标落地，重点强化三项举措：</w:t>
      </w:r>
    </w:p>
    <w:p w14:paraId="24DF08FF">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11" w:name="一-优化运行策略压降限电损失"/>
      <w:r>
        <w:rPr>
          <w:rFonts w:hint="eastAsia" w:ascii="楷体" w:hAnsi="楷体" w:eastAsia="楷体" w:cs="楷体"/>
          <w:b w:val="0"/>
          <w:bCs w:val="0"/>
          <w:color w:val="000000"/>
          <w:kern w:val="2"/>
          <w:sz w:val="32"/>
          <w:szCs w:val="32"/>
          <w:lang w:val="en-US" w:eastAsia="zh-CN" w:bidi="ar"/>
        </w:rPr>
        <w:t>（一） 优化运行策略，压降限电损失</w:t>
      </w:r>
    </w:p>
    <w:p w14:paraId="44F9DD53">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发挥集控中心集中管理优势，优化功率预测模型，提升短临预测准确率；深化与电网调度协同，动态调整电力交易策略，实现“量价双优”。确保光伏、风电限电率严格控制在目标范围内。</w:t>
      </w:r>
    </w:p>
    <w:bookmarkEnd w:id="11"/>
    <w:p w14:paraId="41D9EA9D">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12" w:name="二-挂图作战确保增量归仓"/>
      <w:r>
        <w:rPr>
          <w:rFonts w:hint="eastAsia" w:ascii="楷体" w:hAnsi="楷体" w:eastAsia="楷体" w:cs="楷体"/>
          <w:b w:val="0"/>
          <w:bCs w:val="0"/>
          <w:color w:val="000000"/>
          <w:kern w:val="2"/>
          <w:sz w:val="32"/>
          <w:szCs w:val="32"/>
          <w:lang w:val="en-US" w:eastAsia="zh-CN" w:bidi="ar"/>
        </w:rPr>
        <w:t>（二） 挂图作战，确保增量归仓</w:t>
      </w:r>
    </w:p>
    <w:p w14:paraId="03E8A241">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成立并网攻坚专班，全过程跟踪266.37MW新增风电容量建设进度（那楠、樟木、垌心），确保约2.19亿千瓦时增量电量如期并网，严防工期滞后影响全年目标。</w:t>
      </w:r>
    </w:p>
    <w:bookmarkEnd w:id="12"/>
    <w:p w14:paraId="77255C2B">
      <w:pPr>
        <w:keepNext w:val="0"/>
        <w:keepLines w:val="0"/>
        <w:widowControl w:val="0"/>
        <w:numPr>
          <w:ilvl w:val="0"/>
          <w:numId w:val="0"/>
        </w:numPr>
        <w:suppressLineNumbers w:val="0"/>
        <w:autoSpaceDE w:val="0"/>
        <w:autoSpaceDN/>
        <w:spacing w:before="0" w:beforeAutospacing="0" w:after="0" w:afterAutospacing="0" w:line="560" w:lineRule="exact"/>
        <w:ind w:right="0" w:rightChars="0" w:firstLine="320" w:firstLineChars="100"/>
        <w:jc w:val="both"/>
        <w:outlineLvl w:val="0"/>
        <w:rPr>
          <w:rFonts w:hint="eastAsia" w:ascii="楷体" w:hAnsi="楷体" w:eastAsia="楷体" w:cs="楷体"/>
          <w:b w:val="0"/>
          <w:bCs w:val="0"/>
          <w:color w:val="000000"/>
          <w:kern w:val="2"/>
          <w:sz w:val="32"/>
          <w:szCs w:val="32"/>
          <w:lang w:val="en-US" w:eastAsia="zh-CN" w:bidi="ar"/>
        </w:rPr>
      </w:pPr>
      <w:bookmarkStart w:id="13" w:name="三-夯实基础提升设备可靠性"/>
      <w:r>
        <w:rPr>
          <w:rFonts w:hint="eastAsia" w:ascii="楷体" w:hAnsi="楷体" w:eastAsia="楷体" w:cs="楷体"/>
          <w:b w:val="0"/>
          <w:bCs w:val="0"/>
          <w:color w:val="000000"/>
          <w:kern w:val="2"/>
          <w:sz w:val="32"/>
          <w:szCs w:val="32"/>
          <w:lang w:val="en-US" w:eastAsia="zh-CN" w:bidi="ar"/>
        </w:rPr>
        <w:t>（三） 夯实基础，提升设备可靠性</w:t>
      </w:r>
    </w:p>
    <w:p w14:paraId="74B7BFD4">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深入践行“本质安全”理念，通过预防性维护与技改消缺，确保设备可利用率长期稳定在99%以上；同步开展站用电率专项诊断，严控内部损耗，提升系统综合效益。</w:t>
      </w:r>
    </w:p>
    <w:bookmarkEnd w:id="10"/>
    <w:bookmarkEnd w:id="13"/>
    <w:p w14:paraId="268854E6">
      <w:pPr>
        <w:keepNext w:val="0"/>
        <w:keepLines w:val="0"/>
        <w:widowControl w:val="0"/>
        <w:suppressLineNumbers w:val="0"/>
        <w:autoSpaceDE w:val="0"/>
        <w:autoSpaceDN/>
        <w:spacing w:before="0" w:beforeAutospacing="0" w:after="0" w:afterAutospacing="0" w:line="560" w:lineRule="exact"/>
        <w:ind w:left="0" w:leftChars="0" w:right="0" w:firstLine="640" w:firstLineChars="200"/>
        <w:jc w:val="both"/>
        <w:outlineLvl w:val="0"/>
        <w:rPr>
          <w:rFonts w:hint="eastAsia" w:ascii="黑体" w:hAnsi="宋体" w:eastAsia="黑体" w:cs="黑体"/>
          <w:color w:val="000000"/>
          <w:kern w:val="2"/>
          <w:sz w:val="32"/>
          <w:szCs w:val="32"/>
          <w:lang w:val="en-US" w:eastAsia="zh-CN" w:bidi="ar"/>
        </w:rPr>
      </w:pPr>
      <w:bookmarkStart w:id="14" w:name="四-结论"/>
      <w:r>
        <w:rPr>
          <w:rFonts w:hint="eastAsia" w:ascii="黑体" w:hAnsi="宋体" w:eastAsia="黑体" w:cs="黑体"/>
          <w:color w:val="000000"/>
          <w:kern w:val="2"/>
          <w:sz w:val="32"/>
          <w:szCs w:val="32"/>
          <w:lang w:val="en-US" w:eastAsia="zh-CN" w:bidi="ar"/>
        </w:rPr>
        <w:t>四、 结论</w:t>
      </w:r>
    </w:p>
    <w:p w14:paraId="04B6D93B">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综上，2026年电量管理工作将紧扣“紧盯增量、严控限电、保障可靠”三大主线，通过全过程精细化管控，全力确保年度经营目标顺利实现。</w:t>
      </w:r>
    </w:p>
    <w:p w14:paraId="28CE7B8E">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特此报告。</w:t>
      </w:r>
    </w:p>
    <w:p w14:paraId="02A41D52">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p>
    <w:p w14:paraId="2D37EB0E">
      <w:pPr>
        <w:keepNext w:val="0"/>
        <w:keepLines w:val="0"/>
        <w:widowControl/>
        <w:suppressLineNumbers w:val="0"/>
        <w:spacing w:after="0"/>
        <w:ind w:firstLine="640" w:firstLineChars="200"/>
        <w:jc w:val="left"/>
        <w:rPr>
          <w:rFonts w:hint="eastAsia" w:ascii="Times New Roman" w:hAnsi="Times New Roman" w:eastAsia="仿宋" w:cs="仿宋"/>
          <w:b w:val="0"/>
          <w:bCs w:val="0"/>
          <w:color w:val="000000"/>
          <w:kern w:val="2"/>
          <w:sz w:val="32"/>
          <w:szCs w:val="32"/>
          <w:lang w:val="en-US" w:eastAsia="zh-CN" w:bidi="ar"/>
        </w:rPr>
      </w:pPr>
    </w:p>
    <w:p w14:paraId="2A3CF5E8">
      <w:pPr>
        <w:keepNext w:val="0"/>
        <w:keepLines w:val="0"/>
        <w:widowControl/>
        <w:suppressLineNumbers w:val="0"/>
        <w:spacing w:after="0"/>
        <w:ind w:firstLine="640" w:firstLineChars="200"/>
        <w:jc w:val="righ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中能建广西开发投资有限公司 集控中心</w:t>
      </w:r>
    </w:p>
    <w:p w14:paraId="2DD07E2C">
      <w:pPr>
        <w:keepNext w:val="0"/>
        <w:keepLines w:val="0"/>
        <w:widowControl/>
        <w:suppressLineNumbers w:val="0"/>
        <w:spacing w:after="0"/>
        <w:ind w:firstLine="640" w:firstLineChars="200"/>
        <w:jc w:val="right"/>
        <w:rPr>
          <w:rFonts w:hint="eastAsia" w:ascii="Times New Roman" w:hAnsi="Times New Roman" w:eastAsia="仿宋" w:cs="仿宋"/>
          <w:b w:val="0"/>
          <w:bCs w:val="0"/>
          <w:color w:val="000000"/>
          <w:kern w:val="2"/>
          <w:sz w:val="32"/>
          <w:szCs w:val="32"/>
          <w:lang w:val="en-US" w:eastAsia="zh-CN" w:bidi="ar"/>
        </w:rPr>
      </w:pPr>
      <w:r>
        <w:rPr>
          <w:rFonts w:hint="eastAsia" w:ascii="Times New Roman" w:hAnsi="Times New Roman" w:eastAsia="仿宋" w:cs="仿宋"/>
          <w:b w:val="0"/>
          <w:bCs w:val="0"/>
          <w:color w:val="000000"/>
          <w:kern w:val="2"/>
          <w:sz w:val="32"/>
          <w:szCs w:val="32"/>
          <w:lang w:val="en-US" w:eastAsia="zh-CN" w:bidi="ar"/>
        </w:rPr>
        <w:t>2026年2月10日</w:t>
      </w:r>
    </w:p>
    <w:bookmarkEnd w:id="3"/>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方正小标宋简体">
    <w:panose1 w:val="02010600010101010101"/>
    <w:charset w:val="86"/>
    <w:family w:val="auto"/>
    <w:pitch w:val="default"/>
    <w:sig w:usb0="00000001" w:usb1="080E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凌慧体-简">
    <w:panose1 w:val="03050602040302020204"/>
    <w:charset w:val="86"/>
    <w:family w:val="auto"/>
    <w:pitch w:val="default"/>
    <w:sig w:usb0="A00002FF" w:usb1="7ACF7CFB" w:usb2="0000001E"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287FD"/>
    <w:multiLevelType w:val="multilevel"/>
    <w:tmpl w:val="DF7287FD"/>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EFFB414D"/>
    <w:multiLevelType w:val="multilevel"/>
    <w:tmpl w:val="EFFB414D"/>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6DF508A7"/>
    <w:multiLevelType w:val="multilevel"/>
    <w:tmpl w:val="6DF508A7"/>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DE775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9</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2026-02-10T15:23:00Z</dcterms:created>
  <dc:creator>杨杰</dc:creator>
  <cp:lastModifiedBy>杨杰</cp:lastModifiedBy>
  <dcterms:modified xsi:type="dcterms:W3CDTF">2026-02-10T15:29:50Z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B68621D529E038526EDE8A6965D3D2E1_42</vt:lpwstr>
  </property>
</Properties>
</file>