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年度运营总结与2026年工作计划汇报集控中心"/>
    <w:p>
      <w:pPr>
        <w:pStyle w:val="Heading1"/>
      </w:pPr>
      <w:r>
        <w:rPr>
          <w:rFonts w:hint="eastAsia"/>
        </w:rPr>
        <w:t xml:space="preserve">2025年度运营总结与2026年工作计划汇报（集控中心）</w:t>
      </w:r>
    </w:p>
    <w:bookmarkStart w:id="15" w:name="一2025年度工作复盘"/>
    <w:p>
      <w:pPr>
        <w:pStyle w:val="Heading2"/>
      </w:pPr>
      <w:r>
        <w:rPr>
          <w:rFonts w:hint="eastAsia"/>
        </w:rPr>
        <w:t xml:space="preserve">一、2025年度工作复盘</w:t>
      </w:r>
    </w:p>
    <w:p>
      <w:pPr>
        <w:pStyle w:val="FirstParagraph"/>
      </w:pPr>
      <w:r>
        <w:rPr>
          <w:rFonts w:hint="eastAsia"/>
        </w:rPr>
        <w:t xml:space="preserve">2025年，智控中心紧扣“智慧运营、集约管控”核心目标，完成了从“建设试运行”向“全面常态化运营”的关键跨越。不仅实现了对全公司21座新能源场站的集中监控与智能调度，更通过精益化管理在提质增效方面取得显著突破。截至2025年12月31日，中心累计实现安全值班</w:t>
      </w:r>
      <w:r>
        <w:rPr>
          <w:rFonts w:hint="eastAsia"/>
          <w:b/>
          <w:bCs/>
        </w:rPr>
        <w:t xml:space="preserve">443天</w:t>
      </w:r>
      <w:r>
        <w:rPr>
          <w:rFonts w:hint="eastAsia"/>
        </w:rPr>
        <w:t xml:space="preserve">，圆满完成全年生产任务。</w:t>
      </w:r>
    </w:p>
    <w:bookmarkStart w:id="9" w:name="一集约化管控从物理接入到智能无人"/>
    <w:p>
      <w:pPr>
        <w:pStyle w:val="Heading3"/>
      </w:pPr>
      <w:r>
        <w:rPr>
          <w:rFonts w:hint="eastAsia"/>
        </w:rPr>
        <w:t xml:space="preserve">（一）集约化管控：从“物理接入”到“智能无人”</w:t>
      </w:r>
    </w:p>
    <w:p>
      <w:pPr>
        <w:pStyle w:val="FirstParagraph"/>
      </w:pPr>
      <w:r>
        <w:rPr>
          <w:rFonts w:hint="eastAsia"/>
        </w:rPr>
        <w:t xml:space="preserve">2025年是智控中心的“接入大年”，中心通过标准化的联调与验收流程，高效推进了场站无人化转型。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2025年完成情况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亮点/备注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全量接入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20座</w:t>
            </w:r>
            <w:r>
              <w:rPr>
                <w:rFonts w:hint="eastAsia"/>
              </w:rPr>
              <w:t xml:space="preserve">（100%覆盖调度管辖场站）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除樟木风电场调试外，其余场站信号均已全量接入。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模式转型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5座转正式运行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浦峙、寨安、康宁、把荷、武安率先实现“无人值班、少人值守”。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试运行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3座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守旗、峙书、榕木完成审批流程，等待正式批复。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降本增效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区域化维检改革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整合江州与宁明区域，策划“3大区域维检中心”模式，预计年节约成本</w:t>
            </w:r>
            <w:r>
              <w:rPr>
                <w:rFonts w:hint="eastAsia"/>
                <w:b/>
                <w:bCs/>
              </w:rPr>
              <w:t xml:space="preserve">1193.28万元</w:t>
            </w:r>
            <w:r>
              <w:t xml:space="preserve">。</w:t>
            </w:r>
          </w:p>
        </w:tc>
      </w:tr>
    </w:tbl>
    <w:bookmarkEnd w:id="9"/>
    <w:bookmarkStart w:id="12" w:name="二运营效能数据驱动的精益化管理"/>
    <w:p>
      <w:pPr>
        <w:pStyle w:val="Heading3"/>
      </w:pPr>
      <w:r>
        <w:rPr>
          <w:rFonts w:hint="eastAsia"/>
        </w:rPr>
        <w:t xml:space="preserve">（二）运营效能：数据驱动的精益化管理</w:t>
      </w:r>
    </w:p>
    <w:p>
      <w:pPr>
        <w:pStyle w:val="FirstParagraph"/>
      </w:pPr>
      <w:r>
        <w:rPr>
          <w:rFonts w:hint="eastAsia"/>
        </w:rPr>
        <w:t xml:space="preserve">面对严峻的新能源消纳形势与复杂的考核规则，智控中心通过“储能策略优化”与“涉网专项治理”，实现了核心经营指标的优化。</w:t>
      </w:r>
    </w:p>
    <w:bookmarkStart w:id="10" w:name="核心经营指标对标表"/>
    <w:p>
      <w:pPr>
        <w:pStyle w:val="Heading4"/>
      </w:pPr>
      <w:r>
        <w:t xml:space="preserve">1. </w:t>
      </w:r>
      <w:r>
        <w:rPr>
          <w:rFonts w:hint="eastAsia"/>
        </w:rPr>
        <w:t xml:space="preserve">核心经营指标对标表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2025年实际完成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广西电网/行业均值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对标评价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综合限电率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劣后6.33%，光伏消纳压力巨大。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风电限电率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优于</w:t>
            </w:r>
            <w:r>
              <w:rPr>
                <w:rFonts w:hint="eastAsia"/>
              </w:rPr>
              <w:t xml:space="preserve">行业均值1.96%。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光伏限电率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劣后1.55%，需重点攻关。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“两个细则”净收益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749万元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即使在高考核下，仍实现正向盈利。</w:t>
            </w:r>
          </w:p>
        </w:tc>
      </w:tr>
    </w:tbl>
    <w:bookmarkEnd w:id="10"/>
    <w:bookmarkStart w:id="11" w:name="分项效益分析"/>
    <w:p>
      <w:pPr>
        <w:pStyle w:val="Heading4"/>
      </w:pPr>
      <w:r>
        <w:t xml:space="preserve">2. </w:t>
      </w:r>
      <w:r>
        <w:rPr>
          <w:rFonts w:hint="eastAsia"/>
        </w:rPr>
        <w:t xml:space="preserve">分项效益分析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储能运营（盈利新增长点）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实施《储能充放电实施方案》，通过削峰填谷与辅助调峰，累计挽回损失电量约</w:t>
      </w:r>
      <w:r>
        <w:rPr>
          <w:rFonts w:hint="eastAsia"/>
          <w:b/>
          <w:bCs/>
        </w:rPr>
        <w:t xml:space="preserve">4741万kWh</w:t>
      </w:r>
      <w:r>
        <w:rPr>
          <w:rFonts w:hint="eastAsia"/>
        </w:rPr>
        <w:t xml:space="preserve">（含12月预估），全年实现储能总收益超</w:t>
      </w:r>
      <w:r>
        <w:rPr>
          <w:rFonts w:hint="eastAsia"/>
          <w:b/>
          <w:bCs/>
        </w:rPr>
        <w:t xml:space="preserve">2000万元</w:t>
      </w:r>
      <w:r>
        <w:rPr>
          <w:rFonts w:hint="eastAsia"/>
        </w:rPr>
        <w:t xml:space="preserve">，有效对冲了限电损失。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“两个细则”治理（开源节流）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支出端</w:t>
      </w:r>
      <w:r>
        <w:rPr>
          <w:rFonts w:hint="eastAsia"/>
        </w:rPr>
        <w:t xml:space="preserve">：全年考核费用999.67万元（主要受功率预测精度与AGC响应影响）。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收入端</w:t>
      </w:r>
      <w:r>
        <w:rPr>
          <w:rFonts w:hint="eastAsia"/>
        </w:rPr>
        <w:t xml:space="preserve">：通过优化SVG控制策略，无功补偿收益达</w:t>
      </w:r>
      <w:r>
        <w:rPr>
          <w:rFonts w:hint="eastAsia"/>
          <w:b/>
          <w:bCs/>
        </w:rPr>
        <w:t xml:space="preserve">1437.84万元</w:t>
      </w:r>
      <w:r>
        <w:rPr>
          <w:rFonts w:hint="eastAsia"/>
        </w:rPr>
        <w:t xml:space="preserve">，加上返还费用310.82万元，整体实现净收益</w:t>
      </w:r>
      <w:r>
        <w:rPr>
          <w:rFonts w:hint="eastAsia"/>
          <w:b/>
          <w:bCs/>
        </w:rPr>
        <w:t xml:space="preserve">748.99万元</w:t>
      </w:r>
      <w:r>
        <w:t xml:space="preserve">。</w:t>
      </w:r>
    </w:p>
    <w:bookmarkEnd w:id="11"/>
    <w:bookmarkEnd w:id="12"/>
    <w:bookmarkStart w:id="13" w:name="三项目建设与系统完善"/>
    <w:p>
      <w:pPr>
        <w:pStyle w:val="Heading3"/>
      </w:pPr>
      <w:r>
        <w:rPr>
          <w:rFonts w:hint="eastAsia"/>
        </w:rPr>
        <w:t xml:space="preserve">（三）项目建设与系统完善</w:t>
      </w:r>
    </w:p>
    <w:p>
      <w:pPr>
        <w:pStyle w:val="FirstParagraph"/>
      </w:pPr>
      <w:r>
        <w:rPr>
          <w:rFonts w:hint="eastAsia"/>
        </w:rPr>
        <w:t xml:space="preserve">智控中心项目建设进入收尾阶段，重点聚焦于系统可用性提升与遗留缺陷清零。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进展说明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资金支付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累计支付</w:t>
            </w:r>
            <w:r>
              <w:rPr>
                <w:rFonts w:hint="eastAsia"/>
                <w:b/>
                <w:bCs/>
              </w:rPr>
              <w:t xml:space="preserve">4581.62万元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支付比例77.82%，严格按合同节点管控。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缺陷治理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整改率</w:t>
            </w:r>
            <w:r>
              <w:rPr>
                <w:b/>
                <w:bCs/>
              </w:rPr>
              <w:t xml:space="preserve">90.63%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累计发现技术问题2221项，已闭环2013项。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告警/预警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优化光伏零支路告警，AI视频预警周边火情4次。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无人机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远程巡检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完成守旗、把荷无人机远程接入与现场部署。</w:t>
            </w:r>
          </w:p>
        </w:tc>
      </w:tr>
    </w:tbl>
    <w:bookmarkEnd w:id="13"/>
    <w:bookmarkStart w:id="14" w:name="四安全与技术监督"/>
    <w:p>
      <w:pPr>
        <w:pStyle w:val="Heading3"/>
      </w:pPr>
      <w:r>
        <w:rPr>
          <w:rFonts w:hint="eastAsia"/>
        </w:rPr>
        <w:t xml:space="preserve">（四）安全与技术监督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涉网安全加固</w:t>
      </w:r>
      <w:r>
        <w:rPr>
          <w:rFonts w:hint="eastAsia"/>
        </w:rPr>
        <w:t xml:space="preserve">：完成8个场站、6条110kV线路重合闸定值校核；将全站保护压板/空开状态录入数字化平台，建立“电子台账”。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故障复盘</w:t>
      </w:r>
      <w:r>
        <w:rPr>
          <w:rFonts w:hint="eastAsia"/>
        </w:rPr>
        <w:t xml:space="preserve">：针对峙书、把荷可用功率计算异常及守旗AGC缺陷，督促厂家完成模型修正，避免了持续性的电量损失。</w:t>
      </w:r>
    </w:p>
    <w:bookmarkEnd w:id="14"/>
    <w:bookmarkEnd w:id="15"/>
    <w:bookmarkStart w:id="16" w:name="二存在问题及深度分析"/>
    <w:p>
      <w:pPr>
        <w:pStyle w:val="Heading2"/>
      </w:pPr>
      <w:r>
        <w:rPr>
          <w:rFonts w:hint="eastAsia"/>
        </w:rPr>
        <w:t xml:space="preserve">二、存在问题及深度分析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原因深度解析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消纳难题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光伏限电率高企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“报量不报价”策略在特定时段处于劣势；2.</w:t>
            </w:r>
            <w:r>
              <w:t xml:space="preserve"> </w:t>
            </w:r>
            <w:r>
              <w:rPr>
                <w:rFonts w:hint="eastAsia"/>
              </w:rPr>
              <w:t xml:space="preserve">派岸、峙书等站功率预测（东润环能）虚高，导致理论发电量偏差，拉高统计限电率。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考核失分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预测偏差大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2026新规实施，超短期/短期预测模型未及时适配；2.</w:t>
            </w:r>
            <w:r>
              <w:t xml:space="preserve"> </w:t>
            </w:r>
            <w:r>
              <w:rPr>
                <w:rFonts w:hint="eastAsia"/>
              </w:rPr>
              <w:t xml:space="preserve">气象数据源单一，极端天气下准确率骤降。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设备隐患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SVG高频故障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峙书SVG故障停运超100天，严重影响无功响应能力；许继SVG跳闸频发，需厂家级技术攻关。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能力短板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专工人才匮乏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继电保护、网络安全等核心岗位缺员，且值班员多为“新手”，应对复杂涉网故障时严重依赖厂家。</w:t>
            </w:r>
          </w:p>
        </w:tc>
      </w:tr>
    </w:tbl>
    <w:bookmarkEnd w:id="16"/>
    <w:bookmarkStart w:id="23" w:name="三2026年重点工作计划"/>
    <w:p>
      <w:pPr>
        <w:pStyle w:val="Heading2"/>
      </w:pPr>
      <w:r>
        <w:rPr>
          <w:rFonts w:hint="eastAsia"/>
        </w:rPr>
        <w:t xml:space="preserve">三、2026年重点工作计划</w:t>
      </w:r>
    </w:p>
    <w:p>
      <w:pPr>
        <w:pStyle w:val="FirstParagraph"/>
      </w:pPr>
      <w:r>
        <w:rPr>
          <w:rFonts w:hint="eastAsia"/>
        </w:rPr>
        <w:t xml:space="preserve">2026年，智控中心将以“全面转固运营”为基石，以“降本（考核/运维费）增效（储能/无功）”为主线，打造区域一流的智慧运营中枢。</w:t>
      </w:r>
    </w:p>
    <w:bookmarkStart w:id="17" w:name="一重点任务里程碑规划"/>
    <w:p>
      <w:pPr>
        <w:pStyle w:val="Heading3"/>
      </w:pPr>
      <w:r>
        <w:rPr>
          <w:rFonts w:hint="eastAsia"/>
        </w:rPr>
        <w:t xml:space="preserve">（一）重点任务里程碑规划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</w:t>
            </w:r>
            <w:r>
              <w:rPr>
                <w:rFonts w:hint="eastAsia"/>
              </w:rPr>
              <w:t xml:space="preserve">(1-3月)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</w:t>
            </w:r>
            <w:r>
              <w:rPr>
                <w:rFonts w:hint="eastAsia"/>
              </w:rPr>
              <w:t xml:space="preserve">(4-6月)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Q3-Q4 </w:t>
            </w:r>
            <w:r>
              <w:rPr>
                <w:rFonts w:hint="eastAsia"/>
              </w:rPr>
              <w:t xml:space="preserve">(7-12月)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接入转正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完成守旗、峙书、榕木转正式运行；接入强胜、岑凡光伏。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完成储能全量信号接入；所有在建场站具备转正条件。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实现全域场站“无人值班”常态化运行。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项目收尾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缺陷整改率达95%；完成转固材料提交。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完成项目竣工验收与决算；启动商用密码改造。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开展二期智能化功能规划（如高级分析应用）。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运维改革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落地“3大区域维检中心”模式；完成人员分流与定岗。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磨合区域化协同机制；发布区域化运维标准。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评估区域化降本成效；优化人员绩效体系。</w:t>
            </w:r>
          </w:p>
        </w:tc>
      </w:tr>
    </w:tbl>
    <w:bookmarkEnd w:id="17"/>
    <w:bookmarkStart w:id="22" w:name="二专项提升行动方案"/>
    <w:p>
      <w:pPr>
        <w:pStyle w:val="Heading3"/>
      </w:pPr>
      <w:r>
        <w:rPr>
          <w:rFonts w:hint="eastAsia"/>
        </w:rPr>
        <w:t xml:space="preserve">（二）专项提升行动方案</w:t>
      </w:r>
    </w:p>
    <w:bookmarkStart w:id="18" w:name="功率预测与两个细则攻坚战"/>
    <w:p>
      <w:pPr>
        <w:pStyle w:val="Heading4"/>
      </w:pPr>
      <w:r>
        <w:t xml:space="preserve">1. </w:t>
      </w:r>
      <w:r>
        <w:rPr>
          <w:rFonts w:hint="eastAsia"/>
        </w:rPr>
        <w:t xml:space="preserve">功率预测与“两个细则”攻坚战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技术升级</w:t>
      </w:r>
      <w:r>
        <w:rPr>
          <w:rFonts w:hint="eastAsia"/>
        </w:rPr>
        <w:t xml:space="preserve">：引入多源气象数据比对，联合厂家开发适应新版“两个细则”的自适应算法模型，力争预测偏差考核费用同比下降</w:t>
      </w:r>
      <w:r>
        <w:rPr>
          <w:b/>
          <w:bCs/>
        </w:rPr>
        <w:t xml:space="preserve">30%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主动干预</w:t>
      </w:r>
      <w:r>
        <w:rPr>
          <w:rFonts w:hint="eastAsia"/>
        </w:rPr>
        <w:t xml:space="preserve">：建立预测偏差实时预警机制，在关键考核时段进行人工干预修正。</w:t>
      </w:r>
    </w:p>
    <w:bookmarkEnd w:id="18"/>
    <w:bookmarkStart w:id="19" w:name="精益化限电管控"/>
    <w:p>
      <w:pPr>
        <w:pStyle w:val="Heading4"/>
      </w:pPr>
      <w:r>
        <w:t xml:space="preserve">2. </w:t>
      </w:r>
      <w:r>
        <w:rPr>
          <w:rFonts w:hint="eastAsia"/>
        </w:rPr>
        <w:t xml:space="preserve">精益化限电管控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储能协同</w:t>
      </w:r>
      <w:r>
        <w:rPr>
          <w:rFonts w:hint="eastAsia"/>
        </w:rPr>
        <w:t xml:space="preserve">：深化“光伏+储能”联合调度策略，动态调整充放电时段，确保限电期间储能“应充尽充”，最大化转移弃光电量。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数据治理</w:t>
      </w:r>
      <w:r>
        <w:rPr>
          <w:rFonts w:hint="eastAsia"/>
        </w:rPr>
        <w:t xml:space="preserve">：彻底解决派岸、峙书可用功率虚高问题，还原真实限电率，避免“被动虚高”导致的管理误判。</w:t>
      </w:r>
    </w:p>
    <w:bookmarkEnd w:id="19"/>
    <w:bookmarkStart w:id="20" w:name="涉网设备本质安全提升"/>
    <w:p>
      <w:pPr>
        <w:pStyle w:val="Heading4"/>
      </w:pPr>
      <w:r>
        <w:t xml:space="preserve">3. </w:t>
      </w:r>
      <w:r>
        <w:rPr>
          <w:rFonts w:hint="eastAsia"/>
        </w:rPr>
        <w:t xml:space="preserve">涉网设备本质安全提升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隐患清零</w:t>
      </w:r>
      <w:r>
        <w:rPr>
          <w:rFonts w:hint="eastAsia"/>
        </w:rPr>
        <w:t xml:space="preserve">：2月前完成樟木、守旗接地变跳闸回路整改；6月前完成所有保护定值、压板的数字化校核与闭环管理。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技改升级</w:t>
      </w:r>
      <w:r>
        <w:rPr>
          <w:rFonts w:hint="eastAsia"/>
        </w:rPr>
        <w:t xml:space="preserve">：针对许继SVG等高故障率设备，实施专项技术改造，提升设备利用率与无功响应能力。</w:t>
      </w:r>
    </w:p>
    <w:bookmarkEnd w:id="20"/>
    <w:bookmarkStart w:id="21" w:name="人才梯队强腰工程"/>
    <w:p>
      <w:pPr>
        <w:pStyle w:val="Heading4"/>
      </w:pPr>
      <w:r>
        <w:t xml:space="preserve">4. </w:t>
      </w:r>
      <w:r>
        <w:rPr>
          <w:rFonts w:hint="eastAsia"/>
        </w:rPr>
        <w:t xml:space="preserve">人才梯队“强腰”工程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精准引才</w:t>
      </w:r>
      <w:r>
        <w:rPr>
          <w:rFonts w:hint="eastAsia"/>
        </w:rPr>
        <w:t xml:space="preserve">：重点引进1-2名成熟的继电保护及自动化高级专工，填补技术管理“真空区”。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全员练兵</w:t>
      </w:r>
      <w:r>
        <w:rPr>
          <w:rFonts w:hint="eastAsia"/>
        </w:rPr>
        <w:t xml:space="preserve">：推行“值长负责制”与“导师带徒制”，常态化开展反事故演习与技能竞赛，加速青年员工成长。</w:t>
      </w:r>
    </w:p>
    <w:bookmarkEnd w:id="21"/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2026-02-09T07:18:12Z</dcterms:created>
  <dcterms:modified xsi:type="dcterms:W3CDTF">2026-02-09T07:18:12Z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