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b/>
          <w:bCs/>
          <w:color w:val="096A09"/>
          <w:sz w:val="64"/>
          <w:szCs w:val="64"/>
        </w:rPr>
        <w:t xml:space="preserve">OBV GESTION</w:t>
      </w:r>
    </w:p>
    <w:p>
      <w:pPr>
        <w:pBdr>
          <w:bottom w:val="single" w:color="CC5500" w:sz="12" w:space="8"/>
        </w:pBdr>
        <w:spacing w:after="360"/>
      </w:pPr>
      <w:r>
        <w:rPr>
          <w:color w:val="1B1B1B"/>
          <w:sz w:val="40"/>
          <w:szCs w:val="40"/>
        </w:rPr>
        <w:t xml:space="preserve">Spécifications fonctionnelles</w:t>
      </w:r>
    </w:p>
    <w:p>
      <w:pPr>
        <w:spacing w:after="1200"/>
      </w:pPr>
      <w:r>
        <w:rPr>
          <w:color w:val="595959"/>
          <w:sz w:val="24"/>
          <w:szCs w:val="24"/>
        </w:rPr>
        <w:t xml:space="preserve">Gestion des stocks et des ventes de boissons — dépôt et maquis</w:t>
      </w:r>
    </w:p>
    <w:tbl>
      <w:tblPr>
        <w:tblW w:type="dxa" w:w="9026"/>
        <w:tblBorders>
          <w:top w:val="none"/>
          <w:left w:val="none"/>
          <w:bottom w:val="none"/>
          <w:right w:val="none"/>
          <w:insideH w:val="single" w:color="E0E0E0" w:sz="2"/>
          <w:insideV w:val="none"/>
        </w:tblBorders>
      </w:tblPr>
      <w:tblGrid>
        <w:gridCol w:w="2400"/>
        <w:gridCol w:w="6626"/>
      </w:tblGrid>
      <w:tr>
        <w:tc>
          <w:tcPr>
            <w:tcW w:type="dxa" w:w="2400"/>
            <w:tcMar>
              <w:top w:type="dxa" w:w="100"/>
              <w:left w:type="dxa" w:w="0"/>
              <w:bottom w:type="dxa" w:w="100"/>
              <w:right w:type="dxa" w:w="120"/>
            </w:tcMar>
          </w:tcPr>
          <w:p>
            <w:pPr>
              <w:spacing w:after="0"/>
            </w:pPr>
            <w:r>
              <w:rPr>
                <w:b/>
                <w:bCs/>
                <w:color w:val="595959"/>
                <w:sz w:val="20"/>
                <w:szCs w:val="20"/>
              </w:rPr>
              <w:t xml:space="preserve">Éditeur</w:t>
            </w:r>
          </w:p>
        </w:tc>
        <w:tc>
          <w:tcPr>
            <w:tcW w:type="dxa" w:w="6626"/>
            <w:tcMar>
              <w:top w:type="dxa" w:w="100"/>
              <w:left w:type="dxa" w:w="0"/>
              <w:bottom w:type="dxa" w:w="100"/>
              <w:right w:type="dxa" w:w="0"/>
            </w:tcMar>
          </w:tcPr>
          <w:p>
            <w:pPr>
              <w:spacing w:after="0"/>
            </w:pPr>
            <w:r>
              <w:rPr>
                <w:sz w:val="20"/>
                <w:szCs w:val="20"/>
              </w:rPr>
              <w:t xml:space="preserve">ASSOMA Technology</w:t>
            </w:r>
          </w:p>
        </w:tc>
      </w:tr>
      <w:tr>
        <w:tc>
          <w:tcPr>
            <w:tcW w:type="dxa" w:w="2400"/>
            <w:tcMar>
              <w:top w:type="dxa" w:w="100"/>
              <w:left w:type="dxa" w:w="0"/>
              <w:bottom w:type="dxa" w:w="100"/>
              <w:right w:type="dxa" w:w="120"/>
            </w:tcMar>
          </w:tcPr>
          <w:p>
            <w:pPr>
              <w:spacing w:after="0"/>
            </w:pPr>
            <w:r>
              <w:rPr>
                <w:b/>
                <w:bCs/>
                <w:color w:val="595959"/>
                <w:sz w:val="20"/>
                <w:szCs w:val="20"/>
              </w:rPr>
              <w:t xml:space="preserve">Version</w:t>
            </w:r>
          </w:p>
        </w:tc>
        <w:tc>
          <w:tcPr>
            <w:tcW w:type="dxa" w:w="6626"/>
            <w:tcMar>
              <w:top w:type="dxa" w:w="100"/>
              <w:left w:type="dxa" w:w="0"/>
              <w:bottom w:type="dxa" w:w="100"/>
              <w:right w:type="dxa" w:w="0"/>
            </w:tcMar>
          </w:tcPr>
          <w:p>
            <w:pPr>
              <w:spacing w:after="0"/>
            </w:pPr>
            <w:r>
              <w:rPr>
                <w:sz w:val="20"/>
                <w:szCs w:val="20"/>
              </w:rPr>
              <w:t xml:space="preserve">1.0</w:t>
            </w:r>
          </w:p>
        </w:tc>
      </w:tr>
      <w:tr>
        <w:tc>
          <w:tcPr>
            <w:tcW w:type="dxa" w:w="2400"/>
            <w:tcMar>
              <w:top w:type="dxa" w:w="100"/>
              <w:left w:type="dxa" w:w="0"/>
              <w:bottom w:type="dxa" w:w="100"/>
              <w:right w:type="dxa" w:w="120"/>
            </w:tcMar>
          </w:tcPr>
          <w:p>
            <w:pPr>
              <w:spacing w:after="0"/>
            </w:pPr>
            <w:r>
              <w:rPr>
                <w:b/>
                <w:bCs/>
                <w:color w:val="595959"/>
                <w:sz w:val="20"/>
                <w:szCs w:val="20"/>
              </w:rPr>
              <w:t xml:space="preserve">Date</w:t>
            </w:r>
          </w:p>
        </w:tc>
        <w:tc>
          <w:tcPr>
            <w:tcW w:type="dxa" w:w="6626"/>
            <w:tcMar>
              <w:top w:type="dxa" w:w="100"/>
              <w:left w:type="dxa" w:w="0"/>
              <w:bottom w:type="dxa" w:w="100"/>
              <w:right w:type="dxa" w:w="0"/>
            </w:tcMar>
          </w:tcPr>
          <w:p>
            <w:pPr>
              <w:spacing w:after="0"/>
            </w:pPr>
            <w:r>
              <w:rPr>
                <w:sz w:val="20"/>
                <w:szCs w:val="20"/>
              </w:rPr>
              <w:t xml:space="preserve">2 septembre 2026</w:t>
            </w:r>
          </w:p>
        </w:tc>
      </w:tr>
      <w:tr>
        <w:tc>
          <w:tcPr>
            <w:tcW w:type="dxa" w:w="2400"/>
            <w:tcMar>
              <w:top w:type="dxa" w:w="100"/>
              <w:left w:type="dxa" w:w="0"/>
              <w:bottom w:type="dxa" w:w="100"/>
              <w:right w:type="dxa" w:w="120"/>
            </w:tcMar>
          </w:tcPr>
          <w:p>
            <w:pPr>
              <w:spacing w:after="0"/>
            </w:pPr>
            <w:r>
              <w:rPr>
                <w:b/>
                <w:bCs/>
                <w:color w:val="595959"/>
                <w:sz w:val="20"/>
                <w:szCs w:val="20"/>
              </w:rPr>
              <w:t xml:space="preserve">Statut</w:t>
            </w:r>
          </w:p>
        </w:tc>
        <w:tc>
          <w:tcPr>
            <w:tcW w:type="dxa" w:w="6626"/>
            <w:tcMar>
              <w:top w:type="dxa" w:w="100"/>
              <w:left w:type="dxa" w:w="0"/>
              <w:bottom w:type="dxa" w:w="100"/>
              <w:right w:type="dxa" w:w="0"/>
            </w:tcMar>
          </w:tcPr>
          <w:p>
            <w:pPr>
              <w:spacing w:after="0"/>
            </w:pPr>
            <w:r>
              <w:rPr>
                <w:sz w:val="20"/>
                <w:szCs w:val="20"/>
              </w:rPr>
              <w:t xml:space="preserve">Applicable — reflète le comportement de l’application livrée</w:t>
            </w:r>
          </w:p>
        </w:tc>
      </w:tr>
      <w:tr>
        <w:tc>
          <w:tcPr>
            <w:tcW w:type="dxa" w:w="2400"/>
            <w:tcMar>
              <w:top w:type="dxa" w:w="100"/>
              <w:left w:type="dxa" w:w="0"/>
              <w:bottom w:type="dxa" w:w="100"/>
              <w:right w:type="dxa" w:w="120"/>
            </w:tcMar>
          </w:tcPr>
          <w:p>
            <w:pPr>
              <w:spacing w:after="0"/>
            </w:pPr>
            <w:r>
              <w:rPr>
                <w:b/>
                <w:bCs/>
                <w:color w:val="595959"/>
                <w:sz w:val="20"/>
                <w:szCs w:val="20"/>
              </w:rPr>
              <w:t xml:space="preserve">Périmètre</w:t>
            </w:r>
          </w:p>
        </w:tc>
        <w:tc>
          <w:tcPr>
            <w:tcW w:type="dxa" w:w="6626"/>
            <w:tcMar>
              <w:top w:type="dxa" w:w="100"/>
              <w:left w:type="dxa" w:w="0"/>
              <w:bottom w:type="dxa" w:w="100"/>
              <w:right w:type="dxa" w:w="0"/>
            </w:tcMar>
          </w:tcPr>
          <w:p>
            <w:pPr>
              <w:spacing w:after="0"/>
            </w:pPr>
            <w:r>
              <w:rPr>
                <w:sz w:val="20"/>
                <w:szCs w:val="20"/>
              </w:rPr>
              <w:t xml:space="preserve">Fonctionnel. Les choix techniques font l’objet d’un document distinct.</w:t>
            </w:r>
          </w:p>
        </w:tc>
      </w:tr>
      <w:tr>
        <w:tc>
          <w:tcPr>
            <w:tcW w:type="dxa" w:w="2400"/>
            <w:tcMar>
              <w:top w:type="dxa" w:w="100"/>
              <w:left w:type="dxa" w:w="0"/>
              <w:bottom w:type="dxa" w:w="100"/>
              <w:right w:type="dxa" w:w="120"/>
            </w:tcMar>
          </w:tcPr>
          <w:p>
            <w:pPr>
              <w:spacing w:after="0"/>
            </w:pPr>
            <w:r>
              <w:rPr>
                <w:b/>
                <w:bCs/>
                <w:color w:val="595959"/>
                <w:sz w:val="20"/>
                <w:szCs w:val="20"/>
              </w:rPr>
              <w:t xml:space="preserve">Destinataires</w:t>
            </w:r>
          </w:p>
        </w:tc>
        <w:tc>
          <w:tcPr>
            <w:tcW w:type="dxa" w:w="6626"/>
            <w:tcMar>
              <w:top w:type="dxa" w:w="100"/>
              <w:left w:type="dxa" w:w="0"/>
              <w:bottom w:type="dxa" w:w="100"/>
              <w:right w:type="dxa" w:w="0"/>
            </w:tcMar>
          </w:tcPr>
          <w:p>
            <w:pPr>
              <w:spacing w:after="0"/>
            </w:pPr>
            <w:r>
              <w:rPr>
                <w:sz w:val="20"/>
                <w:szCs w:val="20"/>
              </w:rPr>
              <w:t xml:space="preserve">Maîtrise d’ouvrage, équipe de développement, testeurs fonctionnels</w:t>
            </w:r>
          </w:p>
        </w:tc>
      </w:tr>
    </w:tbl>
    <w:p>
      <w:r>
        <w:br w:type="page"/>
      </w:r>
    </w:p>
    <w:p>
      <w:pPr>
        <w:pBdr>
          <w:bottom w:val="single" w:color="D6E3D6" w:sz="6" w:space="6"/>
        </w:pBdr>
        <w:spacing w:after="240" w:before="0"/>
      </w:pPr>
      <w:r>
        <w:rPr>
          <w:b/>
          <w:bCs/>
          <w:color w:val="096A09"/>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80" w:before="360"/>
      </w:pPr>
      <w:r>
        <w:t xml:space="preserve">1. Objet et périmètre du document</w:t>
      </w:r>
    </w:p>
    <w:p>
      <w:pPr>
        <w:spacing w:after="120" w:line="276"/>
      </w:pPr>
      <w:r>
        <w:t xml:space="preserve">OBV Gestion est une application de gestion des stocks et des ventes de boissons pour une structure exploitant un dépôt et un ou plusieurs bars (maquis). Le dépôt est approvisionné par des fournisseurs et vend exclusivement au casier ou au demi-casier ; le bar est approvisionné par le dépôt et vend exclusivement à la bouteille au consommateur final.</w:t>
      </w:r>
    </w:p>
    <w:p>
      <w:pPr>
        <w:spacing w:after="120" w:line="276"/>
      </w:pPr>
      <w:r>
        <w:t xml:space="preserve">Ce document décrit </w:t>
      </w:r>
      <w:r>
        <w:rPr>
          <w:b/>
          <w:bCs/>
        </w:rPr>
        <w:t xml:space="preserve">le comportement fonctionnel attendu</w:t>
      </w:r>
      <w:r>
        <w:t xml:space="preserve"> de l'application : acteurs et droits, cycle de vie des données, processus métier, règles de gestion et exigences d'ergonomie. Il sert de référence commune à la maîtrise d'ouvrage, à l'équipe de développement et aux testeurs fonctionnels.</w:t>
      </w:r>
    </w:p>
    <w:p>
      <w:pPr>
        <w:pStyle w:val="Heading2"/>
        <w:spacing w:after="140" w:before="280"/>
      </w:pPr>
      <w:r>
        <w:t xml:space="preserve">1.1 Ce que couvre ce document</w:t>
      </w:r>
    </w:p>
    <w:p>
      <w:pPr>
        <w:pStyle w:val="ListParagraph"/>
        <w:numPr>
          <w:ilvl w:val="0"/>
          <w:numId w:val="2"/>
        </w:numPr>
        <w:spacing w:after="80" w:line="276"/>
      </w:pPr>
      <w:r>
        <w:t xml:space="preserve">Les acteurs, leurs rôles et la matrice de permissions.</w:t>
      </w:r>
    </w:p>
    <w:p>
      <w:pPr>
        <w:pStyle w:val="ListParagraph"/>
        <w:numPr>
          <w:ilvl w:val="0"/>
          <w:numId w:val="2"/>
        </w:numPr>
        <w:spacing w:after="80" w:line="276"/>
      </w:pPr>
      <w:r>
        <w:t xml:space="preserve">Le cycle de vie des comptes utilisateurs, de la création à l'archivage.</w:t>
      </w:r>
    </w:p>
    <w:p>
      <w:pPr>
        <w:pStyle w:val="ListParagraph"/>
        <w:numPr>
          <w:ilvl w:val="0"/>
          <w:numId w:val="2"/>
        </w:numPr>
        <w:spacing w:after="80" w:line="276"/>
      </w:pPr>
      <w:r>
        <w:t xml:space="preserve">Le référentiel produit et la tarification datée.</w:t>
      </w:r>
    </w:p>
    <w:p>
      <w:pPr>
        <w:pStyle w:val="ListParagraph"/>
        <w:numPr>
          <w:ilvl w:val="0"/>
          <w:numId w:val="2"/>
        </w:numPr>
        <w:spacing w:after="80" w:line="276"/>
      </w:pPr>
      <w:r>
        <w:t xml:space="preserve">La tenue du stock et son journal de mouvements.</w:t>
      </w:r>
    </w:p>
    <w:p>
      <w:pPr>
        <w:pStyle w:val="ListParagraph"/>
        <w:numPr>
          <w:ilvl w:val="0"/>
          <w:numId w:val="2"/>
        </w:numPr>
        <w:spacing w:after="80" w:line="276"/>
      </w:pPr>
      <w:r>
        <w:t xml:space="preserve">Les quatre processus métier : réception au dépôt, vente au dépôt, transfert dépôt → bar, vente au bar.</w:t>
      </w:r>
    </w:p>
    <w:p>
      <w:pPr>
        <w:pStyle w:val="ListParagraph"/>
        <w:numPr>
          <w:ilvl w:val="0"/>
          <w:numId w:val="2"/>
        </w:numPr>
        <w:spacing w:after="80" w:line="276"/>
      </w:pPr>
      <w:r>
        <w:t xml:space="preserve">Les notifications, la traçabilité et les exigences d'ergonomie.</w:t>
      </w:r>
    </w:p>
    <w:p>
      <w:pPr>
        <w:pStyle w:val="ListParagraph"/>
        <w:numPr>
          <w:ilvl w:val="0"/>
          <w:numId w:val="2"/>
        </w:numPr>
        <w:spacing w:after="80" w:line="276"/>
      </w:pPr>
      <w:r>
        <w:t xml:space="preserve">Les 36 règles de gestion (RG-01 à RG-36), reprises en annexe A.</w:t>
      </w:r>
    </w:p>
    <w:p>
      <w:pPr>
        <w:pStyle w:val="Heading2"/>
        <w:spacing w:after="140" w:before="280"/>
      </w:pPr>
      <w:r>
        <w:t xml:space="preserve">1.2 Ce que ce document ne couvre pas</w:t>
      </w:r>
    </w:p>
    <w:p>
      <w:pPr>
        <w:spacing w:after="120" w:line="276"/>
      </w:pPr>
      <w:r>
        <w:t xml:space="preserve">Les choix techniques (architecture applicative, API REST, modèle physique de données, infrastructure, stratégie de tests) font l'objet d'un document distinct et ne sont pas repris ici. Les éléments techniques mentionnés ponctuellement le sont uniquement lorsqu'ils portent une conséquence fonctionnelle observable par l'utilisateur.</w:t>
      </w:r>
    </w:p>
    <w:p>
      <w:pPr>
        <w:pStyle w:val="Heading2"/>
        <w:spacing w:after="140" w:before="280"/>
      </w:pPr>
      <w:r>
        <w:t xml:space="preserve">1.3 Convention de lecture</w:t>
      </w:r>
    </w:p>
    <w:p>
      <w:pPr>
        <w:spacing w:after="120" w:line="276"/>
      </w:pPr>
      <w:r>
        <w:t xml:space="preserve">Les règles de gestion sont numérotées </w:t>
      </w:r>
      <w:r>
        <w:rPr>
          <w:rFonts w:ascii="Consolas" w:cs="Consolas" w:eastAsia="Consolas" w:hAnsi="Consolas"/>
          <w:sz w:val="19"/>
          <w:szCs w:val="19"/>
        </w:rPr>
        <w:t xml:space="preserve">RG-xx</w:t>
      </w:r>
      <w:r>
        <w:t xml:space="preserve"> et présentées dans un encadré. Chacune est contraignante : elle décrit un comportement que l'application doit garantir, et non une recommandation. L'annexe A en donne la liste consolidée.</w:t>
      </w:r>
    </w:p>
    <w:p>
      <w:r>
        <w:br w:type="page"/>
      </w:r>
    </w:p>
    <w:p>
      <w:pPr>
        <w:pStyle w:val="Heading1"/>
        <w:spacing w:after="180" w:before="360"/>
      </w:pPr>
      <w:r>
        <w:t xml:space="preserve">2. Glossaire métier</w:t>
      </w:r>
    </w:p>
    <w:p>
      <w:pPr>
        <w:spacing w:after="120" w:line="276"/>
      </w:pPr>
      <w:r>
        <w:t xml:space="preserve">Les termes ci-dessous ont, dans tout le document et dans l'application, le sens précis qui leur est donné ici.</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200"/>
        <w:gridCol w:w="6826"/>
      </w:tblGrid>
      <w:tr>
        <w:trPr>
          <w:tblHeader/>
        </w:trPr>
        <w:tc>
          <w:tcPr>
            <w:tcW w:type="dxa" w:w="2200"/>
            <w:shd w:fill="096A09" w:val="clear"/>
            <w:tcMar>
              <w:top w:type="dxa" w:w="80"/>
              <w:left w:type="dxa" w:w="120"/>
              <w:bottom w:type="dxa" w:w="80"/>
              <w:right w:type="dxa" w:w="120"/>
            </w:tcMar>
          </w:tcPr>
          <w:p>
            <w:pPr>
              <w:spacing w:after="0" w:line="264"/>
            </w:pPr>
            <w:r>
              <w:rPr>
                <w:b/>
                <w:bCs/>
                <w:color w:val="FFFFFF"/>
              </w:rPr>
              <w:t xml:space="preserve">Terme</w:t>
            </w:r>
          </w:p>
        </w:tc>
        <w:tc>
          <w:tcPr>
            <w:tcW w:type="dxa" w:w="6826"/>
            <w:shd w:fill="096A09" w:val="clear"/>
            <w:tcMar>
              <w:top w:type="dxa" w:w="80"/>
              <w:left w:type="dxa" w:w="120"/>
              <w:bottom w:type="dxa" w:w="80"/>
              <w:right w:type="dxa" w:w="120"/>
            </w:tcMar>
          </w:tcPr>
          <w:p>
            <w:pPr>
              <w:spacing w:after="0" w:line="264"/>
            </w:pPr>
            <w:r>
              <w:rPr>
                <w:b/>
                <w:bCs/>
                <w:color w:val="FFFFFF"/>
              </w:rPr>
              <w:t xml:space="preserve">Définition</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Dépôt</w:t>
            </w:r>
          </w:p>
        </w:tc>
        <w:tc>
          <w:tcPr>
            <w:tcW w:type="dxa" w:w="6826"/>
            <w:shd w:fill="FFFFFF" w:val="clear"/>
            <w:tcMar>
              <w:top w:type="dxa" w:w="80"/>
              <w:left w:type="dxa" w:w="120"/>
              <w:bottom w:type="dxa" w:w="80"/>
              <w:right w:type="dxa" w:w="120"/>
            </w:tcMar>
          </w:tcPr>
          <w:p>
            <w:pPr>
              <w:spacing w:after="0" w:line="264"/>
            </w:pPr>
            <w:r>
              <w:rPr>
                <w:b w:val="false"/>
                <w:bCs w:val="false"/>
              </w:rPr>
              <w:t xml:space="preserve">Point de vente qui vend exclusivement au casier ou au demi-casier. Il est approvisionné par des fournisseurs.</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Bar / Maquis</w:t>
            </w:r>
          </w:p>
        </w:tc>
        <w:tc>
          <w:tcPr>
            <w:tcW w:type="dxa" w:w="6826"/>
            <w:shd w:fill="FFFFFF" w:val="clear"/>
            <w:tcMar>
              <w:top w:type="dxa" w:w="80"/>
              <w:left w:type="dxa" w:w="120"/>
              <w:bottom w:type="dxa" w:w="80"/>
              <w:right w:type="dxa" w:w="120"/>
            </w:tcMar>
          </w:tcPr>
          <w:p>
            <w:pPr>
              <w:spacing w:after="0" w:line="264"/>
            </w:pPr>
            <w:r>
              <w:rPr>
                <w:b w:val="false"/>
                <w:bCs w:val="false"/>
              </w:rPr>
              <w:t xml:space="preserve">Point de vente qui vend exclusivement à la bouteille au consommateur final. Il est approvisionné par le dépôt.</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Marque</w:t>
            </w:r>
          </w:p>
        </w:tc>
        <w:tc>
          <w:tcPr>
            <w:tcW w:type="dxa" w:w="6826"/>
            <w:shd w:fill="FFFFFF" w:val="clear"/>
            <w:tcMar>
              <w:top w:type="dxa" w:w="80"/>
              <w:left w:type="dxa" w:w="120"/>
              <w:bottom w:type="dxa" w:w="80"/>
              <w:right w:type="dxa" w:w="120"/>
            </w:tcMar>
          </w:tcPr>
          <w:p>
            <w:pPr>
              <w:spacing w:after="0" w:line="264"/>
            </w:pPr>
            <w:r>
              <w:rPr>
                <w:b w:val="false"/>
                <w:bCs w:val="false"/>
              </w:rPr>
              <w:t xml:space="preserve">Marque de boisson (par exemple Flag, Coca-Cola, Awa).</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Produit</w:t>
            </w:r>
          </w:p>
        </w:tc>
        <w:tc>
          <w:tcPr>
            <w:tcW w:type="dxa" w:w="6826"/>
            <w:shd w:fill="FFFFFF" w:val="clear"/>
            <w:tcMar>
              <w:top w:type="dxa" w:w="80"/>
              <w:left w:type="dxa" w:w="120"/>
              <w:bottom w:type="dxa" w:w="80"/>
              <w:right w:type="dxa" w:w="120"/>
            </w:tcMar>
          </w:tcPr>
          <w:p>
            <w:pPr>
              <w:spacing w:after="0" w:line="264"/>
            </w:pPr>
            <w:r>
              <w:rPr>
                <w:b w:val="false"/>
                <w:bCs w:val="false"/>
              </w:rPr>
              <w:t xml:space="preserve">Couple Marque + Volume (par exemple « Flag 33 cl »). C'est l'unité de référence du catalogue.</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Conditionnement</w:t>
            </w:r>
          </w:p>
        </w:tc>
        <w:tc>
          <w:tcPr>
            <w:tcW w:type="dxa" w:w="6826"/>
            <w:shd w:fill="FFFFFF" w:val="clear"/>
            <w:tcMar>
              <w:top w:type="dxa" w:w="80"/>
              <w:left w:type="dxa" w:w="120"/>
              <w:bottom w:type="dxa" w:w="80"/>
              <w:right w:type="dxa" w:w="120"/>
            </w:tcMar>
          </w:tcPr>
          <w:p>
            <w:pPr>
              <w:spacing w:after="0" w:line="264"/>
            </w:pPr>
            <w:r>
              <w:rPr>
                <w:b w:val="false"/>
                <w:bCs w:val="false"/>
              </w:rPr>
              <w:t xml:space="preserve">Casier d'un produit donné, caractérisé par sa capacité en bouteilles (12, 16, 24…).</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Demi-casier</w:t>
            </w:r>
          </w:p>
        </w:tc>
        <w:tc>
          <w:tcPr>
            <w:tcW w:type="dxa" w:w="6826"/>
            <w:shd w:fill="FFFFFF" w:val="clear"/>
            <w:tcMar>
              <w:top w:type="dxa" w:w="80"/>
              <w:left w:type="dxa" w:w="120"/>
              <w:bottom w:type="dxa" w:w="80"/>
              <w:right w:type="dxa" w:w="120"/>
            </w:tcMar>
          </w:tcPr>
          <w:p>
            <w:pPr>
              <w:spacing w:after="0" w:line="264"/>
            </w:pPr>
            <w:r>
              <w:rPr>
                <w:b w:val="false"/>
                <w:bCs w:val="false"/>
              </w:rPr>
              <w:t xml:space="preserve">Moitié d'un casier. Autorisé uniquement si la capacité du casier est paire.</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Réception</w:t>
            </w:r>
          </w:p>
        </w:tc>
        <w:tc>
          <w:tcPr>
            <w:tcW w:type="dxa" w:w="6826"/>
            <w:shd w:fill="FFFFFF" w:val="clear"/>
            <w:tcMar>
              <w:top w:type="dxa" w:w="80"/>
              <w:left w:type="dxa" w:w="120"/>
              <w:bottom w:type="dxa" w:w="80"/>
              <w:right w:type="dxa" w:w="120"/>
            </w:tcMar>
          </w:tcPr>
          <w:p>
            <w:pPr>
              <w:spacing w:after="0" w:line="264"/>
            </w:pPr>
            <w:r>
              <w:rPr>
                <w:b w:val="false"/>
                <w:bCs w:val="false"/>
              </w:rPr>
              <w:t xml:space="preserve">Enregistrement d'une livraison fournisseur au dépôt.</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Transfert</w:t>
            </w:r>
          </w:p>
        </w:tc>
        <w:tc>
          <w:tcPr>
            <w:tcW w:type="dxa" w:w="6826"/>
            <w:shd w:fill="FFFFFF" w:val="clear"/>
            <w:tcMar>
              <w:top w:type="dxa" w:w="80"/>
              <w:left w:type="dxa" w:w="120"/>
              <w:bottom w:type="dxa" w:w="80"/>
              <w:right w:type="dxa" w:w="120"/>
            </w:tcMar>
          </w:tcPr>
          <w:p>
            <w:pPr>
              <w:spacing w:after="0" w:line="264"/>
            </w:pPr>
            <w:r>
              <w:rPr>
                <w:b w:val="false"/>
                <w:bCs w:val="false"/>
              </w:rPr>
              <w:t xml:space="preserve">Mouvement interne dépôt → bar : sortie en casiers au dépôt, entrée en bouteilles au bar.</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Session de vente</w:t>
            </w:r>
          </w:p>
        </w:tc>
        <w:tc>
          <w:tcPr>
            <w:tcW w:type="dxa" w:w="6826"/>
            <w:shd w:fill="FFFFFF" w:val="clear"/>
            <w:tcMar>
              <w:top w:type="dxa" w:w="80"/>
              <w:left w:type="dxa" w:w="120"/>
              <w:bottom w:type="dxa" w:w="80"/>
              <w:right w:type="dxa" w:w="120"/>
            </w:tcMar>
          </w:tcPr>
          <w:p>
            <w:pPr>
              <w:spacing w:after="0" w:line="264"/>
            </w:pPr>
            <w:r>
              <w:rPr>
                <w:b w:val="false"/>
                <w:bCs w:val="false"/>
              </w:rPr>
              <w:t xml:space="preserve">Journée de caisse d'un point de vente : ouverture → ventes → clôture → validation.</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Ticket serveur</w:t>
            </w:r>
          </w:p>
        </w:tc>
        <w:tc>
          <w:tcPr>
            <w:tcW w:type="dxa" w:w="6826"/>
            <w:shd w:fill="FFFFFF" w:val="clear"/>
            <w:tcMar>
              <w:top w:type="dxa" w:w="80"/>
              <w:left w:type="dxa" w:w="120"/>
              <w:bottom w:type="dxa" w:w="80"/>
              <w:right w:type="dxa" w:w="120"/>
            </w:tcMar>
          </w:tcPr>
          <w:p>
            <w:pPr>
              <w:spacing w:after="0" w:line="264"/>
            </w:pPr>
            <w:r>
              <w:rPr>
                <w:b w:val="false"/>
                <w:bCs w:val="false"/>
              </w:rPr>
              <w:t xml:space="preserve">Ligne de vente ouverte par le gérant du bar au nom d'un serveur.</w:t>
            </w:r>
          </w:p>
        </w:tc>
      </w:tr>
    </w:tbl>
    <w:p>
      <w:pPr>
        <w:spacing w:after="160"/>
      </w:pPr>
    </w:p>
    <w:p>
      <w:pPr>
        <w:pStyle w:val="Heading1"/>
        <w:spacing w:after="180" w:before="360"/>
      </w:pPr>
      <w:r>
        <w:t xml:space="preserve">3. Hypothèses structurantes</w:t>
      </w:r>
    </w:p>
    <w:p>
      <w:pPr>
        <w:spacing w:after="120" w:line="276"/>
      </w:pPr>
      <w:r>
        <w:t xml:space="preserve">Ces points étaient absents ou ambigus dans l'expression de besoin initiale. Les valeurs retenues ci-dessous sont des décisions par défaut qui structurent l'application ; toute modification ultérieure a un impact sur le modèle de données.</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700"/>
        <w:gridCol w:w="8326"/>
      </w:tblGrid>
      <w:tr>
        <w:trPr>
          <w:tblHeader/>
        </w:trPr>
        <w:tc>
          <w:tcPr>
            <w:tcW w:type="dxa" w:w="700"/>
            <w:shd w:fill="096A09" w:val="clear"/>
            <w:tcMar>
              <w:top w:type="dxa" w:w="80"/>
              <w:left w:type="dxa" w:w="120"/>
              <w:bottom w:type="dxa" w:w="80"/>
              <w:right w:type="dxa" w:w="120"/>
            </w:tcMar>
          </w:tcPr>
          <w:p>
            <w:pPr>
              <w:spacing w:after="0" w:line="264"/>
              <w:jc w:val="center"/>
            </w:pPr>
            <w:r>
              <w:rPr>
                <w:b/>
                <w:bCs/>
                <w:color w:val="FFFFFF"/>
              </w:rPr>
              <w:t xml:space="preserve">#</w:t>
            </w:r>
          </w:p>
        </w:tc>
        <w:tc>
          <w:tcPr>
            <w:tcW w:type="dxa" w:w="8326"/>
            <w:shd w:fill="096A09" w:val="clear"/>
            <w:tcMar>
              <w:top w:type="dxa" w:w="80"/>
              <w:left w:type="dxa" w:w="120"/>
              <w:bottom w:type="dxa" w:w="80"/>
              <w:right w:type="dxa" w:w="120"/>
            </w:tcMar>
          </w:tcPr>
          <w:p>
            <w:pPr>
              <w:spacing w:after="0" w:line="264"/>
            </w:pPr>
            <w:r>
              <w:rPr>
                <w:b/>
                <w:bCs/>
                <w:color w:val="FFFFFF"/>
              </w:rPr>
              <w:t xml:space="preserve">Hypothèse retenue</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H1</w:t>
            </w:r>
          </w:p>
        </w:tc>
        <w:tc>
          <w:tcPr>
            <w:tcW w:type="dxa" w:w="8326"/>
            <w:shd w:fill="FFFFFF" w:val="clear"/>
            <w:tcMar>
              <w:top w:type="dxa" w:w="80"/>
              <w:left w:type="dxa" w:w="120"/>
              <w:bottom w:type="dxa" w:w="80"/>
              <w:right w:type="dxa" w:w="120"/>
            </w:tcMar>
          </w:tcPr>
          <w:p>
            <w:pPr>
              <w:spacing w:after="0" w:line="264"/>
            </w:pPr>
            <w:r>
              <w:rPr>
                <w:b w:val="false"/>
                <w:bCs w:val="false"/>
              </w:rPr>
              <w:t xml:space="preserve">Devise : XOF (FCFA). Les montants sont entiers, sans décimale.</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H2</w:t>
            </w:r>
          </w:p>
        </w:tc>
        <w:tc>
          <w:tcPr>
            <w:tcW w:type="dxa" w:w="8326"/>
            <w:shd w:fill="FFFFFF" w:val="clear"/>
            <w:tcMar>
              <w:top w:type="dxa" w:w="80"/>
              <w:left w:type="dxa" w:w="120"/>
              <w:bottom w:type="dxa" w:w="80"/>
              <w:right w:type="dxa" w:w="120"/>
            </w:tcMar>
          </w:tcPr>
          <w:p>
            <w:pPr>
              <w:spacing w:after="0" w:line="264"/>
            </w:pPr>
            <w:r>
              <w:rPr>
                <w:b w:val="false"/>
                <w:bCs w:val="false"/>
              </w:rPr>
              <w:t xml:space="preserve">Fuseau horaire métier : Africa/Abidjan. Les horodatages sont stockés en UTC et affichés en heure locale.</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H3</w:t>
            </w:r>
          </w:p>
        </w:tc>
        <w:tc>
          <w:tcPr>
            <w:tcW w:type="dxa" w:w="8326"/>
            <w:shd w:fill="FFFFFF" w:val="clear"/>
            <w:tcMar>
              <w:top w:type="dxa" w:w="80"/>
              <w:left w:type="dxa" w:w="120"/>
              <w:bottom w:type="dxa" w:w="80"/>
              <w:right w:type="dxa" w:w="120"/>
            </w:tcMar>
          </w:tcPr>
          <w:p>
            <w:pPr>
              <w:spacing w:after="0" w:line="264"/>
            </w:pPr>
            <w:r>
              <w:rPr>
                <w:b w:val="false"/>
                <w:bCs w:val="false"/>
              </w:rPr>
              <w:t xml:space="preserve">Langue de l'interface : français uniquement.</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H4</w:t>
            </w:r>
          </w:p>
        </w:tc>
        <w:tc>
          <w:tcPr>
            <w:tcW w:type="dxa" w:w="8326"/>
            <w:shd w:fill="FFFFFF" w:val="clear"/>
            <w:tcMar>
              <w:top w:type="dxa" w:w="80"/>
              <w:left w:type="dxa" w:w="120"/>
              <w:bottom w:type="dxa" w:w="80"/>
              <w:right w:type="dxa" w:w="120"/>
            </w:tcMar>
          </w:tcPr>
          <w:p>
            <w:pPr>
              <w:spacing w:after="0" w:line="264"/>
            </w:pPr>
            <w:r>
              <w:rPr>
                <w:b w:val="false"/>
                <w:bCs w:val="false"/>
              </w:rPr>
              <w:t xml:space="preserve">Pas de TVA ni de mentions fiscales sur les factures en version 1. La facture est un document commercial.</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H5</w:t>
            </w:r>
          </w:p>
        </w:tc>
        <w:tc>
          <w:tcPr>
            <w:tcW w:type="dxa" w:w="8326"/>
            <w:shd w:fill="FFFFFF" w:val="clear"/>
            <w:tcMar>
              <w:top w:type="dxa" w:w="80"/>
              <w:left w:type="dxa" w:w="120"/>
              <w:bottom w:type="dxa" w:w="80"/>
              <w:right w:type="dxa" w:w="120"/>
            </w:tcMar>
          </w:tcPr>
          <w:p>
            <w:pPr>
              <w:spacing w:after="0" w:line="264"/>
            </w:pPr>
            <w:r>
              <w:rPr>
                <w:b w:val="false"/>
                <w:bCs w:val="false"/>
              </w:rPr>
              <w:t xml:space="preserve">Une seule organisation, mais un modèle multi-points de vente (1 dépôt + N bars) dès la version 1.</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H6</w:t>
            </w:r>
          </w:p>
        </w:tc>
        <w:tc>
          <w:tcPr>
            <w:tcW w:type="dxa" w:w="8326"/>
            <w:shd w:fill="FFFFFF" w:val="clear"/>
            <w:tcMar>
              <w:top w:type="dxa" w:w="80"/>
              <w:left w:type="dxa" w:w="120"/>
              <w:bottom w:type="dxa" w:w="80"/>
              <w:right w:type="dxa" w:w="120"/>
            </w:tcMar>
          </w:tcPr>
          <w:p>
            <w:pPr>
              <w:spacing w:after="0" w:line="264"/>
            </w:pPr>
            <w:r>
              <w:rPr>
                <w:b w:val="false"/>
                <w:bCs w:val="false"/>
              </w:rPr>
              <w:t xml:space="preserve">Pas de gestion de consigne (bouteilles et casiers vides) en version 1. Le modèle ne doit pas l'interdire pour une version ultérieure.</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H7</w:t>
            </w:r>
          </w:p>
        </w:tc>
        <w:tc>
          <w:tcPr>
            <w:tcW w:type="dxa" w:w="8326"/>
            <w:shd w:fill="FFFFFF" w:val="clear"/>
            <w:tcMar>
              <w:top w:type="dxa" w:w="80"/>
              <w:left w:type="dxa" w:w="120"/>
              <w:bottom w:type="dxa" w:w="80"/>
              <w:right w:type="dxa" w:w="120"/>
            </w:tcMar>
          </w:tcPr>
          <w:p>
            <w:pPr>
              <w:spacing w:after="0" w:line="264"/>
            </w:pPr>
            <w:r>
              <w:rPr>
                <w:b w:val="false"/>
                <w:bCs w:val="false"/>
              </w:rPr>
              <w:t xml:space="preserve">Paiement comptant uniquement (espèces, mobile money, carte bancaire). Pas de vente à crédit ni d'échéancier.</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H8</w:t>
            </w:r>
          </w:p>
        </w:tc>
        <w:tc>
          <w:tcPr>
            <w:tcW w:type="dxa" w:w="8326"/>
            <w:shd w:fill="FFFFFF" w:val="clear"/>
            <w:tcMar>
              <w:top w:type="dxa" w:w="80"/>
              <w:left w:type="dxa" w:w="120"/>
              <w:bottom w:type="dxa" w:w="80"/>
              <w:right w:type="dxa" w:w="120"/>
            </w:tcMar>
          </w:tcPr>
          <w:p>
            <w:pPr>
              <w:spacing w:after="0" w:line="264"/>
            </w:pPr>
            <w:r>
              <w:rPr>
                <w:b w:val="false"/>
                <w:bCs w:val="false"/>
              </w:rPr>
              <w:t xml:space="preserve">Pas de mode hors ligne : l'application exige une connexion réseau.</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H9</w:t>
            </w:r>
          </w:p>
        </w:tc>
        <w:tc>
          <w:tcPr>
            <w:tcW w:type="dxa" w:w="8326"/>
            <w:shd w:fill="FFFFFF" w:val="clear"/>
            <w:tcMar>
              <w:top w:type="dxa" w:w="80"/>
              <w:left w:type="dxa" w:w="120"/>
              <w:bottom w:type="dxa" w:w="80"/>
              <w:right w:type="dxa" w:w="120"/>
            </w:tcMar>
          </w:tcPr>
          <w:p>
            <w:pPr>
              <w:spacing w:after="0" w:line="264"/>
            </w:pPr>
            <w:r>
              <w:rPr>
                <w:b w:val="false"/>
                <w:bCs w:val="false"/>
              </w:rPr>
              <w:t xml:space="preserve">Le prix d'achat fournisseur et le prix de vente sont distincts et gérés séparément.</w:t>
            </w:r>
          </w:p>
        </w:tc>
      </w:tr>
      <w:tr>
        <w:tc>
          <w:tcPr>
            <w:tcW w:type="dxa" w:w="700"/>
            <w:shd w:fill="FFFFFF" w:val="clear"/>
            <w:tcMar>
              <w:top w:type="dxa" w:w="80"/>
              <w:left w:type="dxa" w:w="120"/>
              <w:bottom w:type="dxa" w:w="80"/>
              <w:right w:type="dxa" w:w="120"/>
            </w:tcMar>
          </w:tcPr>
          <w:p>
            <w:pPr>
              <w:spacing w:after="0" w:line="264"/>
              <w:jc w:val="center"/>
            </w:pPr>
            <w:r>
              <w:rPr>
                <w:b w:val="false"/>
                <w:bCs w:val="false"/>
              </w:rPr>
              <w:t xml:space="preserve">H10</w:t>
            </w:r>
          </w:p>
        </w:tc>
        <w:tc>
          <w:tcPr>
            <w:tcW w:type="dxa" w:w="8326"/>
            <w:shd w:fill="FFFFFF" w:val="clear"/>
            <w:tcMar>
              <w:top w:type="dxa" w:w="80"/>
              <w:left w:type="dxa" w:w="120"/>
              <w:bottom w:type="dxa" w:w="80"/>
              <w:right w:type="dxa" w:w="120"/>
            </w:tcMar>
          </w:tcPr>
          <w:p>
            <w:pPr>
              <w:spacing w:after="0" w:line="264"/>
            </w:pPr>
            <w:r>
              <w:rPr>
                <w:b w:val="false"/>
                <w:bCs w:val="false"/>
              </w:rPr>
              <w:t xml:space="preserve">Un utilisateur est rattaché à un ou plusieurs points de vente ; ses droits s'appliquent par point de vente.</w:t>
            </w:r>
          </w:p>
        </w:tc>
      </w:tr>
    </w:tbl>
    <w:p>
      <w:pPr>
        <w:spacing w:after="160"/>
      </w:pPr>
    </w:p>
    <w:p>
      <w:r>
        <w:br w:type="page"/>
      </w:r>
    </w:p>
    <w:p>
      <w:pPr>
        <w:pStyle w:val="Heading1"/>
        <w:spacing w:after="180" w:before="360"/>
      </w:pPr>
      <w:r>
        <w:t xml:space="preserve">4. Acteurs, rôles et permissions</w:t>
      </w:r>
    </w:p>
    <w:p>
      <w:pPr>
        <w:pStyle w:val="Heading2"/>
        <w:spacing w:after="140" w:before="280"/>
      </w:pPr>
      <w:r>
        <w:t xml:space="preserve">4.1 Rôles</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600"/>
        <w:gridCol w:w="6426"/>
      </w:tblGrid>
      <w:tr>
        <w:trPr>
          <w:tblHeader/>
        </w:trPr>
        <w:tc>
          <w:tcPr>
            <w:tcW w:type="dxa" w:w="2600"/>
            <w:shd w:fill="096A09" w:val="clear"/>
            <w:tcMar>
              <w:top w:type="dxa" w:w="80"/>
              <w:left w:type="dxa" w:w="120"/>
              <w:bottom w:type="dxa" w:w="80"/>
              <w:right w:type="dxa" w:w="120"/>
            </w:tcMar>
          </w:tcPr>
          <w:p>
            <w:pPr>
              <w:spacing w:after="0" w:line="264"/>
            </w:pPr>
            <w:r>
              <w:rPr>
                <w:b/>
                <w:bCs/>
                <w:color w:val="FFFFFF"/>
              </w:rPr>
              <w:t xml:space="preserve">Rôle</w:t>
            </w:r>
          </w:p>
        </w:tc>
        <w:tc>
          <w:tcPr>
            <w:tcW w:type="dxa" w:w="6426"/>
            <w:shd w:fill="096A09" w:val="clear"/>
            <w:tcMar>
              <w:top w:type="dxa" w:w="80"/>
              <w:left w:type="dxa" w:w="120"/>
              <w:bottom w:type="dxa" w:w="80"/>
              <w:right w:type="dxa" w:w="120"/>
            </w:tcMar>
          </w:tcPr>
          <w:p>
            <w:pPr>
              <w:spacing w:after="0" w:line="264"/>
            </w:pPr>
            <w:r>
              <w:rPr>
                <w:b/>
                <w:bCs/>
                <w:color w:val="FFFFFF"/>
              </w:rPr>
              <w:t xml:space="preserve">Portée et responsabilité</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SUPER_ADMINISTRATEUR</w:t>
            </w:r>
          </w:p>
        </w:tc>
        <w:tc>
          <w:tcPr>
            <w:tcW w:type="dxa" w:w="6426"/>
            <w:shd w:fill="FFFFFF" w:val="clear"/>
            <w:tcMar>
              <w:top w:type="dxa" w:w="80"/>
              <w:left w:type="dxa" w:w="120"/>
              <w:bottom w:type="dxa" w:w="80"/>
              <w:right w:type="dxa" w:w="120"/>
            </w:tcMar>
          </w:tcPr>
          <w:p>
            <w:pPr>
              <w:spacing w:after="0" w:line="264"/>
            </w:pPr>
            <w:r>
              <w:rPr>
                <w:b w:val="false"/>
                <w:bCs w:val="false"/>
              </w:rPr>
              <w:t xml:space="preserve">Portée globale. Seul habilité aux validations définitives et aux modifications postérieures à une clôture.</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ADMINISTRATEUR</w:t>
            </w:r>
          </w:p>
        </w:tc>
        <w:tc>
          <w:tcPr>
            <w:tcW w:type="dxa" w:w="6426"/>
            <w:shd w:fill="FFFFFF" w:val="clear"/>
            <w:tcMar>
              <w:top w:type="dxa" w:w="80"/>
              <w:left w:type="dxa" w:w="120"/>
              <w:bottom w:type="dxa" w:w="80"/>
              <w:right w:type="dxa" w:w="120"/>
            </w:tcMar>
          </w:tcPr>
          <w:p>
            <w:pPr>
              <w:spacing w:after="0" w:line="264"/>
            </w:pPr>
            <w:r>
              <w:rPr>
                <w:b w:val="false"/>
                <w:bCs w:val="false"/>
              </w:rPr>
              <w:t xml:space="preserve">Portée globale. Gère le référentiel et les utilisateurs, sans droit de validation définitive.</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GERANT_DEPOT</w:t>
            </w:r>
          </w:p>
        </w:tc>
        <w:tc>
          <w:tcPr>
            <w:tcW w:type="dxa" w:w="6426"/>
            <w:shd w:fill="FFFFFF" w:val="clear"/>
            <w:tcMar>
              <w:top w:type="dxa" w:w="80"/>
              <w:left w:type="dxa" w:w="120"/>
              <w:bottom w:type="dxa" w:w="80"/>
              <w:right w:type="dxa" w:w="120"/>
            </w:tcMar>
          </w:tcPr>
          <w:p>
            <w:pPr>
              <w:spacing w:after="0" w:line="264"/>
            </w:pPr>
            <w:r>
              <w:rPr>
                <w:b w:val="false"/>
                <w:bCs w:val="false"/>
              </w:rPr>
              <w:t xml:space="preserve">Un point de vente de type dépôt.</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GERANT_BAR</w:t>
            </w:r>
          </w:p>
        </w:tc>
        <w:tc>
          <w:tcPr>
            <w:tcW w:type="dxa" w:w="6426"/>
            <w:shd w:fill="FFFFFF" w:val="clear"/>
            <w:tcMar>
              <w:top w:type="dxa" w:w="80"/>
              <w:left w:type="dxa" w:w="120"/>
              <w:bottom w:type="dxa" w:w="80"/>
              <w:right w:type="dxa" w:w="120"/>
            </w:tcMar>
          </w:tcPr>
          <w:p>
            <w:pPr>
              <w:spacing w:after="0" w:line="264"/>
            </w:pPr>
            <w:r>
              <w:rPr>
                <w:b w:val="false"/>
                <w:bCs w:val="false"/>
              </w:rPr>
              <w:t xml:space="preserve">Un point de vente de type bar.</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VENDEUR</w:t>
            </w:r>
          </w:p>
        </w:tc>
        <w:tc>
          <w:tcPr>
            <w:tcW w:type="dxa" w:w="6426"/>
            <w:shd w:fill="FFFFFF" w:val="clear"/>
            <w:tcMar>
              <w:top w:type="dxa" w:w="80"/>
              <w:left w:type="dxa" w:w="120"/>
              <w:bottom w:type="dxa" w:w="80"/>
              <w:right w:type="dxa" w:w="120"/>
            </w:tcMar>
          </w:tcPr>
          <w:p>
            <w:pPr>
              <w:spacing w:after="0" w:line="264"/>
            </w:pPr>
            <w:r>
              <w:rPr>
                <w:b w:val="false"/>
                <w:bCs w:val="false"/>
              </w:rPr>
              <w:t xml:space="preserve">Consultation et saisie de ventes sur son point de vente.</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SERVEUR</w:t>
            </w:r>
          </w:p>
        </w:tc>
        <w:tc>
          <w:tcPr>
            <w:tcW w:type="dxa" w:w="6426"/>
            <w:shd w:fill="FFFFFF" w:val="clear"/>
            <w:tcMar>
              <w:top w:type="dxa" w:w="80"/>
              <w:left w:type="dxa" w:w="120"/>
              <w:bottom w:type="dxa" w:w="80"/>
              <w:right w:type="dxa" w:w="120"/>
            </w:tcMar>
          </w:tcPr>
          <w:p>
            <w:pPr>
              <w:spacing w:after="0" w:line="264"/>
            </w:pPr>
            <w:r>
              <w:rPr>
                <w:b w:val="false"/>
                <w:bCs w:val="false"/>
              </w:rPr>
              <w:t xml:space="preserve">Bar uniquement. N'a pas de compte applicatif en version 1 : c'est une entité du référentiel, sélectionnée par le gérant lors de l'ouverture d'un ticket.</w:t>
            </w:r>
          </w:p>
        </w:tc>
      </w:tr>
    </w:tbl>
    <w:p>
      <w:pPr>
        <w:spacing w:after="160"/>
      </w:pPr>
    </w:p>
    <w:p>
      <w:pPr>
        <w:spacing w:after="120" w:line="276"/>
      </w:pPr>
      <w:r>
        <w:rPr>
          <w:b/>
          <w:bCs/>
        </w:rPr>
        <w:t xml:space="preserve">Cumul des rôles. </w:t>
      </w:r>
      <w:r>
        <w:t xml:space="preserve">Un même utilisateur peut cumuler un rôle global et un rôle opérationnel : un super administrateur peut être, au quotidien, le gérant du dépôt ou le vendeur du maquis. L'inverse n'est pas vrai — un gérant ou un vendeur n'est pas administrateur par défaut.</w:t>
      </w:r>
    </w:p>
    <w:p>
      <w:pPr>
        <w:pStyle w:val="Heading2"/>
        <w:spacing w:after="140" w:before="280"/>
      </w:pPr>
      <w:r>
        <w:t xml:space="preserve">4.2 Permissions</w:t>
      </w:r>
    </w:p>
    <w:p>
      <w:pPr>
        <w:spacing w:after="120" w:line="276"/>
      </w:pPr>
      <w:r>
        <w:t xml:space="preserve">Les droits sont exprimés en permissions granulaires, portées par les rôles et cumulables.</w:t>
      </w:r>
    </w:p>
    <w:tbl>
      <w:tblPr>
        <w:tblW w:type="dxa" w:w="9026"/>
        <w:tblBorders>
          <w:top w:val="single" w:color="DDDDDD" w:sz="2"/>
          <w:left w:val="single" w:color="DDDDDD" w:sz="2"/>
          <w:bottom w:val="single" w:color="DDDDDD" w:sz="2"/>
          <w:right w:val="single" w:color="DDDDDD" w:sz="2"/>
          <w:insideH w:val="none"/>
          <w:insideV w:val="none"/>
        </w:tblBorders>
      </w:tblPr>
      <w:tblGrid>
        <w:gridCol w:w="9026"/>
      </w:tblGrid>
      <w:tr>
        <w:tc>
          <w:tcPr>
            <w:tcW w:type="dxa" w:w="9026"/>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REFERENTIEL_READ, REFERENTIEL_WRITE</w:t>
            </w:r>
          </w:p>
          <w:p>
            <w:pPr>
              <w:spacing w:after="0" w:line="240"/>
            </w:pPr>
            <w:r>
              <w:rPr>
                <w:rFonts w:ascii="Consolas" w:cs="Consolas" w:eastAsia="Consolas" w:hAnsi="Consolas"/>
                <w:sz w:val="18"/>
                <w:szCs w:val="18"/>
              </w:rPr>
              <w:t xml:space="preserve">UTILISATEUR_READ, UTILISATEUR_WRITE</w:t>
            </w:r>
          </w:p>
          <w:p>
            <w:pPr>
              <w:spacing w:after="0" w:line="240"/>
            </w:pPr>
            <w:r>
              <w:rPr>
                <w:rFonts w:ascii="Consolas" w:cs="Consolas" w:eastAsia="Consolas" w:hAnsi="Consolas"/>
                <w:sz w:val="18"/>
                <w:szCs w:val="18"/>
              </w:rPr>
              <w:t xml:space="preserve">RECEPTION_READ, RECEPTION_WRITE, RECEPTION_VALIDER</w:t>
            </w:r>
          </w:p>
          <w:p>
            <w:pPr>
              <w:spacing w:after="0" w:line="240"/>
            </w:pPr>
            <w:r>
              <w:rPr>
                <w:rFonts w:ascii="Consolas" w:cs="Consolas" w:eastAsia="Consolas" w:hAnsi="Consolas"/>
                <w:sz w:val="18"/>
                <w:szCs w:val="18"/>
              </w:rPr>
              <w:t xml:space="preserve">VENTE_READ, VENTE_WRITE</w:t>
            </w:r>
          </w:p>
          <w:p>
            <w:pPr>
              <w:spacing w:after="0" w:line="240"/>
            </w:pPr>
            <w:r>
              <w:rPr>
                <w:rFonts w:ascii="Consolas" w:cs="Consolas" w:eastAsia="Consolas" w:hAnsi="Consolas"/>
                <w:sz w:val="18"/>
                <w:szCs w:val="18"/>
              </w:rPr>
              <w:t xml:space="preserve">SESSION_CLOTURER, SESSION_VALIDER</w:t>
            </w:r>
          </w:p>
          <w:p>
            <w:pPr>
              <w:spacing w:after="0" w:line="240"/>
            </w:pPr>
            <w:r>
              <w:rPr>
                <w:rFonts w:ascii="Consolas" w:cs="Consolas" w:eastAsia="Consolas" w:hAnsi="Consolas"/>
                <w:sz w:val="18"/>
                <w:szCs w:val="18"/>
              </w:rPr>
              <w:t xml:space="preserve">TRANSFERT_WRITE, TRANSFERT_VALIDER</w:t>
            </w:r>
          </w:p>
          <w:p>
            <w:pPr>
              <w:spacing w:after="0" w:line="240"/>
            </w:pPr>
            <w:r>
              <w:rPr>
                <w:rFonts w:ascii="Consolas" w:cs="Consolas" w:eastAsia="Consolas" w:hAnsi="Consolas"/>
                <w:sz w:val="18"/>
                <w:szCs w:val="18"/>
              </w:rPr>
              <w:t xml:space="preserve">CLIENT_READ, CLIENT_WRITE</w:t>
            </w:r>
          </w:p>
          <w:p>
            <w:pPr>
              <w:spacing w:after="0" w:line="240"/>
            </w:pPr>
            <w:r>
              <w:rPr>
                <w:rFonts w:ascii="Consolas" w:cs="Consolas" w:eastAsia="Consolas" w:hAnsi="Consolas"/>
                <w:sz w:val="18"/>
                <w:szCs w:val="18"/>
              </w:rPr>
              <w:t xml:space="preserve">RAPPORT_READ</w:t>
            </w:r>
          </w:p>
          <w:p>
            <w:pPr>
              <w:spacing w:after="0" w:line="240"/>
            </w:pPr>
            <w:r>
              <w:rPr>
                <w:rFonts w:ascii="Consolas" w:cs="Consolas" w:eastAsia="Consolas" w:hAnsi="Consolas"/>
                <w:sz w:val="18"/>
                <w:szCs w:val="18"/>
              </w:rPr>
              <w:t xml:space="preserve">MODIFICATION_POST_CLOTURE</w:t>
            </w:r>
          </w:p>
        </w:tc>
      </w:tr>
    </w:tbl>
    <w:p>
      <w:pPr>
        <w:spacing w:after="160"/>
      </w:pPr>
    </w:p>
    <w:p>
      <w:pPr>
        <w:pStyle w:val="Heading2"/>
        <w:spacing w:after="140" w:before="280"/>
      </w:pPr>
      <w:r>
        <w:t xml:space="preserve">4.3 Matrice des permissions</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726"/>
        <w:gridCol w:w="1260"/>
        <w:gridCol w:w="1260"/>
        <w:gridCol w:w="1260"/>
        <w:gridCol w:w="1260"/>
        <w:gridCol w:w="1260"/>
      </w:tblGrid>
      <w:tr>
        <w:trPr>
          <w:tblHeader/>
        </w:trPr>
        <w:tc>
          <w:tcPr>
            <w:tcW w:type="dxa" w:w="2726"/>
            <w:shd w:fill="096A09" w:val="clear"/>
            <w:tcMar>
              <w:top w:type="dxa" w:w="80"/>
              <w:left w:type="dxa" w:w="120"/>
              <w:bottom w:type="dxa" w:w="80"/>
              <w:right w:type="dxa" w:w="120"/>
            </w:tcMar>
          </w:tcPr>
          <w:p>
            <w:pPr>
              <w:spacing w:after="0" w:line="264"/>
            </w:pPr>
            <w:r>
              <w:rPr>
                <w:b/>
                <w:bCs/>
                <w:color w:val="FFFFFF"/>
              </w:rPr>
              <w:t xml:space="preserve">Permission</w:t>
            </w:r>
          </w:p>
        </w:tc>
        <w:tc>
          <w:tcPr>
            <w:tcW w:type="dxa" w:w="1260"/>
            <w:shd w:fill="096A09" w:val="clear"/>
            <w:tcMar>
              <w:top w:type="dxa" w:w="80"/>
              <w:left w:type="dxa" w:w="120"/>
              <w:bottom w:type="dxa" w:w="80"/>
              <w:right w:type="dxa" w:w="120"/>
            </w:tcMar>
          </w:tcPr>
          <w:p>
            <w:pPr>
              <w:spacing w:after="0" w:line="264"/>
              <w:jc w:val="center"/>
            </w:pPr>
            <w:r>
              <w:rPr>
                <w:b/>
                <w:bCs/>
                <w:color w:val="FFFFFF"/>
              </w:rPr>
              <w:t xml:space="preserve">SUPER ADMIN</w:t>
            </w:r>
          </w:p>
        </w:tc>
        <w:tc>
          <w:tcPr>
            <w:tcW w:type="dxa" w:w="1260"/>
            <w:shd w:fill="096A09" w:val="clear"/>
            <w:tcMar>
              <w:top w:type="dxa" w:w="80"/>
              <w:left w:type="dxa" w:w="120"/>
              <w:bottom w:type="dxa" w:w="80"/>
              <w:right w:type="dxa" w:w="120"/>
            </w:tcMar>
          </w:tcPr>
          <w:p>
            <w:pPr>
              <w:spacing w:after="0" w:line="264"/>
              <w:jc w:val="center"/>
            </w:pPr>
            <w:r>
              <w:rPr>
                <w:b/>
                <w:bCs/>
                <w:color w:val="FFFFFF"/>
              </w:rPr>
              <w:t xml:space="preserve">ADMIN</w:t>
            </w:r>
          </w:p>
        </w:tc>
        <w:tc>
          <w:tcPr>
            <w:tcW w:type="dxa" w:w="1260"/>
            <w:shd w:fill="096A09" w:val="clear"/>
            <w:tcMar>
              <w:top w:type="dxa" w:w="80"/>
              <w:left w:type="dxa" w:w="120"/>
              <w:bottom w:type="dxa" w:w="80"/>
              <w:right w:type="dxa" w:w="120"/>
            </w:tcMar>
          </w:tcPr>
          <w:p>
            <w:pPr>
              <w:spacing w:after="0" w:line="264"/>
              <w:jc w:val="center"/>
            </w:pPr>
            <w:r>
              <w:rPr>
                <w:b/>
                <w:bCs/>
                <w:color w:val="FFFFFF"/>
              </w:rPr>
              <w:t xml:space="preserve">GÉRANT DÉPÔT</w:t>
            </w:r>
          </w:p>
        </w:tc>
        <w:tc>
          <w:tcPr>
            <w:tcW w:type="dxa" w:w="1260"/>
            <w:shd w:fill="096A09" w:val="clear"/>
            <w:tcMar>
              <w:top w:type="dxa" w:w="80"/>
              <w:left w:type="dxa" w:w="120"/>
              <w:bottom w:type="dxa" w:w="80"/>
              <w:right w:type="dxa" w:w="120"/>
            </w:tcMar>
          </w:tcPr>
          <w:p>
            <w:pPr>
              <w:spacing w:after="0" w:line="264"/>
              <w:jc w:val="center"/>
            </w:pPr>
            <w:r>
              <w:rPr>
                <w:b/>
                <w:bCs/>
                <w:color w:val="FFFFFF"/>
              </w:rPr>
              <w:t xml:space="preserve">GÉRANT BAR</w:t>
            </w:r>
          </w:p>
        </w:tc>
        <w:tc>
          <w:tcPr>
            <w:tcW w:type="dxa" w:w="1260"/>
            <w:shd w:fill="096A09" w:val="clear"/>
            <w:tcMar>
              <w:top w:type="dxa" w:w="80"/>
              <w:left w:type="dxa" w:w="120"/>
              <w:bottom w:type="dxa" w:w="80"/>
              <w:right w:type="dxa" w:w="120"/>
            </w:tcMar>
          </w:tcPr>
          <w:p>
            <w:pPr>
              <w:spacing w:after="0" w:line="264"/>
              <w:jc w:val="center"/>
            </w:pPr>
            <w:r>
              <w:rPr>
                <w:b/>
                <w:bCs/>
                <w:color w:val="FFFFFF"/>
              </w:rPr>
              <w:t xml:space="preserve">VENDEUR</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REFERENTIEL_READ</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REFERENTIEL_WRITE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UTILISATEUR_WRITE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RECEPTION_WRITE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RECEPTION_VALIDER</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VENTE_WRITE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SESSION_CLOTURER</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SESSION_VALIDER</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TRANSFERT_WRITE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MODIFICATION_POST_CLOTURE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r>
        <w:tc>
          <w:tcPr>
            <w:tcW w:type="dxa" w:w="2726"/>
            <w:shd w:fill="FFFFFF" w:val="clear"/>
            <w:tcMar>
              <w:top w:type="dxa" w:w="80"/>
              <w:left w:type="dxa" w:w="120"/>
              <w:bottom w:type="dxa" w:w="80"/>
              <w:right w:type="dxa" w:w="120"/>
            </w:tcMar>
          </w:tcPr>
          <w:p>
            <w:pPr>
              <w:spacing w:after="0" w:line="264"/>
            </w:pPr>
            <w:r>
              <w:rPr>
                <w:b w:val="false"/>
                <w:bCs w:val="false"/>
              </w:rPr>
              <w:t xml:space="preserve">RAPPORT_READ</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oui</w:t>
            </w:r>
          </w:p>
        </w:tc>
        <w:tc>
          <w:tcPr>
            <w:tcW w:type="dxa" w:w="1260"/>
            <w:shd w:fill="FFFFFF" w:val="clear"/>
            <w:tcMar>
              <w:top w:type="dxa" w:w="80"/>
              <w:left w:type="dxa" w:w="120"/>
              <w:bottom w:type="dxa" w:w="80"/>
              <w:right w:type="dxa" w:w="120"/>
            </w:tcMar>
          </w:tcPr>
          <w:p>
            <w:pPr>
              <w:spacing w:after="0" w:line="264"/>
              <w:jc w:val="center"/>
            </w:pPr>
            <w:r>
              <w:rPr>
                <w:b w:val="false"/>
                <w:bCs w:val="false"/>
              </w:rPr>
              <w:t xml:space="preserve">—</w:t>
            </w:r>
          </w:p>
        </w:tc>
      </w:tr>
    </w:tbl>
    <w:p>
      <w:pPr>
        <w:spacing w:after="160"/>
      </w:pPr>
    </w:p>
    <w:p>
      <w:pPr>
        <w:pStyle w:val="Heading2"/>
        <w:spacing w:after="140" w:before="280"/>
      </w:pPr>
      <w:r>
        <w:t xml:space="preserve">4.4 Séparation des tâches</w:t>
      </w: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RG-01 — </w:t>
            </w:r>
            <w:r>
              <w:t xml:space="preserve">La validation définitive d'une réception, d'un transfert ou d'une session de vente est réservée au rôle </w:t>
            </w:r>
            <w:r>
              <w:rPr>
                <w:rFonts w:ascii="Consolas" w:cs="Consolas" w:eastAsia="Consolas" w:hAnsi="Consolas"/>
                <w:sz w:val="19"/>
                <w:szCs w:val="19"/>
              </w:rPr>
              <w:t xml:space="preserve">SUPER_ADMINISTRATEUR</w:t>
            </w:r>
            <w:r>
              <w:t xml:space="preserve">.</w:t>
            </w:r>
          </w:p>
        </w:tc>
      </w:tr>
    </w:tbl>
    <w:p>
      <w:pPr>
        <w:spacing w:after="160"/>
      </w:pPr>
    </w:p>
    <w:p>
      <w:pPr>
        <w:spacing w:after="120" w:line="276"/>
      </w:pPr>
      <w:r>
        <w:rPr>
          <w:b/>
          <w:bCs/>
        </w:rPr>
        <w:t xml:space="preserve">Réception et session de vente. </w:t>
      </w:r>
      <w:r>
        <w:t xml:space="preserve">Le super administrateur peut valider un document qu'il a lui-même clôturé. Comme il assure au quotidien le rôle opérationnel, exiger un second administrateur bloquerait le flux dans une structure qui n'en compte qu'un. Le contrôle repose alors sur la réversibilité avant validation : une réception en attente de validation reste corrigeable (RG-20) ou annulable par contre-passation (RG-18), et une session clôturée reste rouvrable en modification (RG-29). L'envoi d'une demande de validation à un autre administrateur reste possible mais devient facultatif ; l'utilisateur courant est en conséquence exclu de la liste des destinataires proposés.</w:t>
      </w:r>
    </w:p>
    <w:p>
      <w:pPr>
        <w:spacing w:after="120" w:line="276"/>
      </w:pPr>
      <w:r>
        <w:rPr>
          <w:b/>
          <w:bCs/>
        </w:rPr>
        <w:t xml:space="preserve">Transfert. </w:t>
      </w:r>
      <w:r>
        <w:t xml:space="preserve">La séparation des tâches reste stricte : un utilisateur ne peut pas valider un bon de transfert qu'il a lui-même clôturé, un autre super administrateur doit le faire. Le transfert déplace en effet du stock entre deux points de vente distincts, placés sous deux responsabilités différentes.</w:t>
      </w:r>
    </w:p>
    <w:p>
      <w:r>
        <w:br w:type="page"/>
      </w:r>
    </w:p>
    <w:p>
      <w:pPr>
        <w:pStyle w:val="Heading1"/>
        <w:spacing w:after="180" w:before="360"/>
      </w:pPr>
      <w:r>
        <w:t xml:space="preserve">5. Cycle de vie des comptes utilisateurs</w:t>
      </w:r>
    </w:p>
    <w:p>
      <w:pPr>
        <w:pStyle w:val="Heading2"/>
        <w:spacing w:after="140" w:before="280"/>
      </w:pPr>
      <w:r>
        <w:t xml:space="preserve">5.1 Création</w:t>
      </w:r>
    </w:p>
    <w:p>
      <w:pPr>
        <w:spacing w:after="120" w:line="276"/>
      </w:pPr>
      <w:r>
        <w:t xml:space="preserve">Un administrateur ou un super administrateur crée le compte en renseignant : nom, prénoms, canal de contact (email ou téléphone), adresse email ou numéro de téléphone au format international, rôle(s) et point(s) de vente de rattachement.</w:t>
      </w:r>
    </w:p>
    <w:p>
      <w:pPr>
        <w:pStyle w:val="Heading2"/>
        <w:spacing w:after="140" w:before="280"/>
      </w:pPr>
      <w:r>
        <w:t xml:space="preserve">5.2 Activation</w:t>
      </w:r>
    </w:p>
    <w:p>
      <w:pPr>
        <w:pStyle w:val="ListParagraph"/>
        <w:numPr>
          <w:ilvl w:val="0"/>
          <w:numId w:val="3"/>
        </w:numPr>
        <w:spacing w:after="80" w:line="276"/>
      </w:pPr>
      <w:r>
        <w:t xml:space="preserve">Le système crée le compte au statut EN_ATTENTE_ACTIVATION et génère un jeton d'invitation à usage unique, valable 72 heures.</w:t>
      </w:r>
    </w:p>
    <w:p>
      <w:pPr>
        <w:pStyle w:val="ListParagraph"/>
        <w:numPr>
          <w:ilvl w:val="0"/>
          <w:numId w:val="3"/>
        </w:numPr>
        <w:spacing w:after="80" w:line="276"/>
      </w:pPr>
      <w:r>
        <w:t xml:space="preserve">Le lien d'activation est envoyé par SMS ou par email selon le canal de contact choisi.</w:t>
      </w:r>
    </w:p>
    <w:p>
      <w:pPr>
        <w:pStyle w:val="ListParagraph"/>
        <w:numPr>
          <w:ilvl w:val="0"/>
          <w:numId w:val="3"/>
        </w:numPr>
        <w:spacing w:after="80" w:line="276"/>
      </w:pPr>
      <w:r>
        <w:t xml:space="preserve">L'utilisateur ouvre le lien et saisit son mot de passe, puis sa confirmation.</w:t>
      </w:r>
    </w:p>
    <w:p>
      <w:pPr>
        <w:pStyle w:val="ListParagraph"/>
        <w:numPr>
          <w:ilvl w:val="0"/>
          <w:numId w:val="3"/>
        </w:numPr>
        <w:spacing w:after="80" w:line="276"/>
      </w:pPr>
      <w:r>
        <w:t xml:space="preserve">Le système envoie un code à usage unique (OTP) sur le même canal. Sa saisie correcte fait passer le compte au statut ACTIF.</w:t>
      </w:r>
    </w:p>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RG-02 — </w:t>
            </w:r>
            <w:r>
              <w:t xml:space="preserve">Politique de mot de passe : au moins 10 caractères, dont au moins une minuscule, une majuscule et un chiffre.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RG-03 — </w:t>
            </w:r>
            <w:r>
              <w:t xml:space="preserve">Le code OTP comporte 6 chiffres, est valable 10 minutes, autorise 5 tentatives maximum avant invalidation et 3 renvois maximum par heure.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RG-04 — </w:t>
            </w:r>
            <w:r>
              <w:t xml:space="preserve">Un lien ou un OTP consommé, expiré ou invalide renvoie toujours le même message générique, afin de ne pas permettre de deviner l'existence d'un compte.</w:t>
            </w:r>
          </w:p>
        </w:tc>
      </w:tr>
    </w:tbl>
    <w:p>
      <w:pPr>
        <w:spacing w:after="160"/>
      </w:pPr>
    </w:p>
    <w:p>
      <w:pPr>
        <w:pStyle w:val="Heading2"/>
        <w:spacing w:after="140" w:before="280"/>
      </w:pPr>
      <w:r>
        <w:t xml:space="preserve">5.3 Administration des comptes</w:t>
      </w:r>
    </w:p>
    <w:p>
      <w:pPr>
        <w:pStyle w:val="ListParagraph"/>
        <w:numPr>
          <w:ilvl w:val="0"/>
          <w:numId w:val="2"/>
        </w:numPr>
        <w:spacing w:after="80" w:line="276"/>
      </w:pPr>
      <w:r>
        <w:t xml:space="preserve">Liste paginée avec filtres sur le nom, le rôle, le statut et le point de vente.</w:t>
      </w:r>
    </w:p>
    <w:p>
      <w:pPr>
        <w:pStyle w:val="ListParagraph"/>
        <w:numPr>
          <w:ilvl w:val="0"/>
          <w:numId w:val="2"/>
        </w:numPr>
        <w:spacing w:after="80" w:line="276"/>
      </w:pPr>
      <w:r>
        <w:t xml:space="preserve">Actions disponibles : activer, désactiver, réinitialiser le mot de passe, modifier les rôles et droits, archiver.</w:t>
      </w:r>
    </w:p>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RG-05 — </w:t>
            </w:r>
            <w:r>
              <w:t xml:space="preserve">La « suppression » d'un utilisateur est une désactivation suivie d'un archivage. Aucune suppression physique n'est possible : les documents historiques référencent leur auteur. Un compte archivé ne peut plus se connecter et n'apparaît plus dans les listes de sélection.</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RG-06 — </w:t>
            </w:r>
            <w:r>
              <w:t xml:space="preserve">Un utilisateur ne peut ni s'auto-désactiver, ni se retirer son propre rôle. Il doit toujours rester au moins un super administrateur actif.</w:t>
            </w:r>
          </w:p>
        </w:tc>
      </w:tr>
    </w:tbl>
    <w:p>
      <w:pPr>
        <w:spacing w:after="160"/>
      </w:pPr>
    </w:p>
    <w:p>
      <w:pPr>
        <w:pStyle w:val="Heading2"/>
        <w:spacing w:after="140" w:before="280"/>
      </w:pPr>
      <w:r>
        <w:t xml:space="preserve">5.4 Authentification</w:t>
      </w:r>
    </w:p>
    <w:p>
      <w:pPr>
        <w:pStyle w:val="ListParagraph"/>
        <w:numPr>
          <w:ilvl w:val="0"/>
          <w:numId w:val="2"/>
        </w:numPr>
        <w:spacing w:after="80" w:line="276"/>
      </w:pPr>
      <w:r>
        <w:t xml:space="preserve">L'identifiant de connexion est l'adresse email ou le numéro de téléphone, accompagné du mot de passe.</w:t>
      </w:r>
    </w:p>
    <w:p>
      <w:pPr>
        <w:pStyle w:val="ListParagraph"/>
        <w:numPr>
          <w:ilvl w:val="0"/>
          <w:numId w:val="2"/>
        </w:numPr>
        <w:spacing w:after="80" w:line="276"/>
      </w:pPr>
      <w:r>
        <w:t xml:space="preserve">La session est maintenue par un jeton d'accès de courte durée, renouvelé automatiquement, et révocable à tout moment.</w:t>
      </w:r>
    </w:p>
    <w:p>
      <w:pPr>
        <w:pStyle w:val="ListParagraph"/>
        <w:numPr>
          <w:ilvl w:val="0"/>
          <w:numId w:val="2"/>
        </w:numPr>
        <w:spacing w:after="80" w:line="276"/>
      </w:pPr>
      <w:r>
        <w:t xml:space="preserve">Le compte est temporairement verrouillé pendant 15 minutes après 5 échecs de connexion consécutifs.</w:t>
      </w:r>
    </w:p>
    <w:p>
      <w:r>
        <w:br w:type="page"/>
      </w:r>
    </w:p>
    <w:p>
      <w:pPr>
        <w:pStyle w:val="Heading1"/>
        <w:spacing w:after="180" w:before="360"/>
      </w:pPr>
      <w:r>
        <w:t xml:space="preserve">6. Référentiel</w:t>
      </w:r>
    </w:p>
    <w:p>
      <w:pPr>
        <w:pStyle w:val="Heading2"/>
        <w:spacing w:after="140" w:before="280"/>
      </w:pPr>
      <w:r>
        <w:t xml:space="preserve">6.1 Entités</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200"/>
        <w:gridCol w:w="6826"/>
      </w:tblGrid>
      <w:tr>
        <w:trPr>
          <w:tblHeader/>
        </w:trPr>
        <w:tc>
          <w:tcPr>
            <w:tcW w:type="dxa" w:w="2200"/>
            <w:shd w:fill="096A09" w:val="clear"/>
            <w:tcMar>
              <w:top w:type="dxa" w:w="80"/>
              <w:left w:type="dxa" w:w="120"/>
              <w:bottom w:type="dxa" w:w="80"/>
              <w:right w:type="dxa" w:w="120"/>
            </w:tcMar>
          </w:tcPr>
          <w:p>
            <w:pPr>
              <w:spacing w:after="0" w:line="264"/>
            </w:pPr>
            <w:r>
              <w:rPr>
                <w:b/>
                <w:bCs/>
                <w:color w:val="FFFFFF"/>
              </w:rPr>
              <w:t xml:space="preserve">Entité</w:t>
            </w:r>
          </w:p>
        </w:tc>
        <w:tc>
          <w:tcPr>
            <w:tcW w:type="dxa" w:w="6826"/>
            <w:shd w:fill="096A09" w:val="clear"/>
            <w:tcMar>
              <w:top w:type="dxa" w:w="80"/>
              <w:left w:type="dxa" w:w="120"/>
              <w:bottom w:type="dxa" w:w="80"/>
              <w:right w:type="dxa" w:w="120"/>
            </w:tcMar>
          </w:tcPr>
          <w:p>
            <w:pPr>
              <w:spacing w:after="0" w:line="264"/>
            </w:pPr>
            <w:r>
              <w:rPr>
                <w:b/>
                <w:bCs/>
                <w:color w:val="FFFFFF"/>
              </w:rPr>
              <w:t xml:space="preserve">Contenu</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Marque</w:t>
            </w:r>
          </w:p>
        </w:tc>
        <w:tc>
          <w:tcPr>
            <w:tcW w:type="dxa" w:w="6826"/>
            <w:shd w:fill="FFFFFF" w:val="clear"/>
            <w:tcMar>
              <w:top w:type="dxa" w:w="80"/>
              <w:left w:type="dxa" w:w="120"/>
              <w:bottom w:type="dxa" w:w="80"/>
              <w:right w:type="dxa" w:w="120"/>
            </w:tcMar>
          </w:tcPr>
          <w:p>
            <w:pPr>
              <w:spacing w:after="0" w:line="264"/>
            </w:pPr>
            <w:r>
              <w:rPr>
                <w:b w:val="false"/>
                <w:bCs w:val="false"/>
              </w:rPr>
              <w:t xml:space="preserve">Libellé unique, indicateur actif/inactif.</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Volume</w:t>
            </w:r>
          </w:p>
        </w:tc>
        <w:tc>
          <w:tcPr>
            <w:tcW w:type="dxa" w:w="6826"/>
            <w:shd w:fill="FFFFFF" w:val="clear"/>
            <w:tcMar>
              <w:top w:type="dxa" w:w="80"/>
              <w:left w:type="dxa" w:w="120"/>
              <w:bottom w:type="dxa" w:w="80"/>
              <w:right w:type="dxa" w:w="120"/>
            </w:tcMar>
          </w:tcPr>
          <w:p>
            <w:pPr>
              <w:spacing w:after="0" w:line="264"/>
            </w:pPr>
            <w:r>
              <w:rPr>
                <w:b w:val="false"/>
                <w:bCs w:val="false"/>
              </w:rPr>
              <w:t xml:space="preserve">Libellé (« 33 cl »), contenance en millilitres, indicateur actif.</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Produit</w:t>
            </w:r>
          </w:p>
        </w:tc>
        <w:tc>
          <w:tcPr>
            <w:tcW w:type="dxa" w:w="6826"/>
            <w:shd w:fill="FFFFFF" w:val="clear"/>
            <w:tcMar>
              <w:top w:type="dxa" w:w="80"/>
              <w:left w:type="dxa" w:w="120"/>
              <w:bottom w:type="dxa" w:w="80"/>
              <w:right w:type="dxa" w:w="120"/>
            </w:tcMar>
          </w:tcPr>
          <w:p>
            <w:pPr>
              <w:spacing w:after="0" w:line="264"/>
            </w:pPr>
            <w:r>
              <w:rPr>
                <w:b w:val="false"/>
                <w:bCs w:val="false"/>
              </w:rPr>
              <w:t xml:space="preserve">Couple marque + volume. Unicité garantie sur ce couple.</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Conditionnement</w:t>
            </w:r>
          </w:p>
        </w:tc>
        <w:tc>
          <w:tcPr>
            <w:tcW w:type="dxa" w:w="6826"/>
            <w:shd w:fill="FFFFFF" w:val="clear"/>
            <w:tcMar>
              <w:top w:type="dxa" w:w="80"/>
              <w:left w:type="dxa" w:w="120"/>
              <w:bottom w:type="dxa" w:w="80"/>
              <w:right w:type="dxa" w:w="120"/>
            </w:tcMar>
          </w:tcPr>
          <w:p>
            <w:pPr>
              <w:spacing w:after="0" w:line="264"/>
            </w:pPr>
            <w:r>
              <w:rPr>
                <w:b w:val="false"/>
                <w:bCs w:val="false"/>
              </w:rPr>
              <w:t xml:space="preserve">Produit, capacité du casier en bouteilles (12, 16, 24…), autorisation du demi-casier (déduite : capacité paire).</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Fournisseur</w:t>
            </w:r>
          </w:p>
        </w:tc>
        <w:tc>
          <w:tcPr>
            <w:tcW w:type="dxa" w:w="6826"/>
            <w:shd w:fill="FFFFFF" w:val="clear"/>
            <w:tcMar>
              <w:top w:type="dxa" w:w="80"/>
              <w:left w:type="dxa" w:w="120"/>
              <w:bottom w:type="dxa" w:w="80"/>
              <w:right w:type="dxa" w:w="120"/>
            </w:tcMar>
          </w:tcPr>
          <w:p>
            <w:pPr>
              <w:spacing w:after="0" w:line="264"/>
            </w:pPr>
            <w:r>
              <w:rPr>
                <w:b w:val="false"/>
                <w:bCs w:val="false"/>
              </w:rPr>
              <w:t xml:space="preserve">Raison sociale, téléphone, email, adresse. Nécessaire pour tracer l'origine des réceptions.</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Point de vente</w:t>
            </w:r>
          </w:p>
        </w:tc>
        <w:tc>
          <w:tcPr>
            <w:tcW w:type="dxa" w:w="6826"/>
            <w:shd w:fill="FFFFFF" w:val="clear"/>
            <w:tcMar>
              <w:top w:type="dxa" w:w="80"/>
              <w:left w:type="dxa" w:w="120"/>
              <w:bottom w:type="dxa" w:w="80"/>
              <w:right w:type="dxa" w:w="120"/>
            </w:tcMar>
          </w:tcPr>
          <w:p>
            <w:pPr>
              <w:spacing w:after="0" w:line="264"/>
            </w:pPr>
            <w:r>
              <w:rPr>
                <w:b w:val="false"/>
                <w:bCs w:val="false"/>
              </w:rPr>
              <w:t xml:space="preserve">Libellé, type (dépôt ou bar), adresse.</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Serveur</w:t>
            </w:r>
          </w:p>
        </w:tc>
        <w:tc>
          <w:tcPr>
            <w:tcW w:type="dxa" w:w="6826"/>
            <w:shd w:fill="FFFFFF" w:val="clear"/>
            <w:tcMar>
              <w:top w:type="dxa" w:w="80"/>
              <w:left w:type="dxa" w:w="120"/>
              <w:bottom w:type="dxa" w:w="80"/>
              <w:right w:type="dxa" w:w="120"/>
            </w:tcMar>
          </w:tcPr>
          <w:p>
            <w:pPr>
              <w:spacing w:after="0" w:line="264"/>
            </w:pPr>
            <w:r>
              <w:rPr>
                <w:b w:val="false"/>
                <w:bCs w:val="false"/>
              </w:rPr>
              <w:t xml:space="preserve">Point de vente de rattachement, nom, prénoms, téléphone.</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Client</w:t>
            </w:r>
          </w:p>
        </w:tc>
        <w:tc>
          <w:tcPr>
            <w:tcW w:type="dxa" w:w="6826"/>
            <w:shd w:fill="FFFFFF" w:val="clear"/>
            <w:tcMar>
              <w:top w:type="dxa" w:w="80"/>
              <w:left w:type="dxa" w:w="120"/>
              <w:bottom w:type="dxa" w:w="80"/>
              <w:right w:type="dxa" w:w="120"/>
            </w:tcMar>
          </w:tcPr>
          <w:p>
            <w:pPr>
              <w:spacing w:after="0" w:line="264"/>
            </w:pPr>
            <w:r>
              <w:rPr>
                <w:b w:val="false"/>
                <w:bCs w:val="false"/>
              </w:rPr>
              <w:t xml:space="preserve">Type (particulier ou entreprise), nom et prénoms ou raison sociale, téléphone unique, email, adresse de facturation.</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RG-07 — </w:t>
            </w:r>
            <w:r>
              <w:t xml:space="preserve">La raison sociale est obligatoire pour un client de type entreprise et interdite sinon. Les nom et prénoms sont obligatoires pour un client de type particulier.</w:t>
            </w:r>
          </w:p>
        </w:tc>
      </w:tr>
    </w:tbl>
    <w:p>
      <w:pPr>
        <w:spacing w:after="160"/>
      </w:pPr>
    </w:p>
    <w:p>
      <w:pPr>
        <w:pStyle w:val="Heading2"/>
        <w:spacing w:after="140" w:before="280"/>
      </w:pPr>
      <w:r>
        <w:t xml:space="preserve">6.2 Tarification</w:t>
      </w:r>
    </w:p>
    <w:p>
      <w:pPr>
        <w:spacing w:after="120" w:line="276"/>
      </w:pPr>
      <w:r>
        <w:t xml:space="preserve">Le prix ne peut pas être un simple attribut du casier : une modification de prix ne doit jamais altérer les documents déjà émis. Le prix est donc porté par une entité Tarif datée, définie par point de vente, produit, unité de vente (casier ou bouteille) et nature (achat ou vente), avec une date de début et une date de fin.</w:t>
      </w: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RG-08 — </w:t>
            </w:r>
            <w:r>
              <w:t xml:space="preserve">Il ne peut exister qu'un seul tarif actif pour un point de vente, un produit, une unité de vente et une nature donnés à un instant T. Modifier un prix revient à clore le tarif courant et à en créer un nouveau.</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RG-09 — </w:t>
            </w:r>
            <w:r>
              <w:t xml:space="preserve">Toute ligne de document (réception, vente, transfert) fige le prix unitaire au moment de sa création. Les recalculs ultérieurs utilisent cette valeur figée.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RG-10 — </w:t>
            </w:r>
            <w:r>
              <w:t xml:space="preserve">Un point de vente de type dépôt n'utilise que l'unité de vente « casier ». Un bar n'utilise que l'unité « bouteille ».</w:t>
            </w:r>
          </w:p>
        </w:tc>
      </w:tr>
    </w:tbl>
    <w:p>
      <w:pPr>
        <w:spacing w:after="160"/>
      </w:pPr>
    </w:p>
    <w:p>
      <w:r>
        <w:br w:type="page"/>
      </w:r>
    </w:p>
    <w:p>
      <w:pPr>
        <w:pStyle w:val="Heading1"/>
        <w:spacing w:after="180" w:before="360"/>
      </w:pPr>
      <w:r>
        <w:t xml:space="preserve">7. Gestion du stock</w:t>
      </w:r>
    </w:p>
    <w:p>
      <w:pPr>
        <w:pStyle w:val="Heading2"/>
        <w:spacing w:after="140" w:before="280"/>
      </w:pPr>
      <w:r>
        <w:t xml:space="preserve">7.1 Unité de stockage</w:t>
      </w:r>
    </w:p>
    <w:p>
      <w:pPr>
        <w:spacing w:after="120" w:line="276"/>
      </w:pPr>
      <w:r>
        <w:t xml:space="preserve">Les quantités ne sont jamais stockées en décimal : un stock exprimé en « 0,5 casier » exposerait à des erreurs d'arrondi et à des comparaisons incertaines.</w:t>
      </w: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RG-11 — </w:t>
            </w:r>
            <w:r>
              <w:t xml:space="preserve">Au dépôt, les quantités sont stockées en demi-casiers entiers (1 = un demi-casier, 2 = un casier). L'interface saisit et affiche des casiers ; la conversion est interne à l'application.</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RG-12 — </w:t>
            </w:r>
            <w:r>
              <w:t xml:space="preserve">Au bar, les quantités sont stockées en bouteilles entières.</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RG-13 — </w:t>
            </w:r>
            <w:r>
              <w:t xml:space="preserve">Le demi-casier n'est proposé à la saisie que si le conditionnement du produit l'autorise, c'est-à-dire si la capacité du casier est paire.</w:t>
            </w:r>
          </w:p>
        </w:tc>
      </w:tr>
    </w:tbl>
    <w:p>
      <w:pPr>
        <w:spacing w:after="160"/>
      </w:pPr>
    </w:p>
    <w:p>
      <w:pPr>
        <w:pStyle w:val="Heading2"/>
        <w:spacing w:after="140" w:before="280"/>
      </w:pPr>
      <w:r>
        <w:t xml:space="preserve">7.2 Journal des mouvements</w:t>
      </w:r>
    </w:p>
    <w:p>
      <w:pPr>
        <w:spacing w:after="120" w:line="276"/>
      </w:pPr>
      <w:r>
        <w:t xml:space="preserve">Chaque point de vente porte, pour chaque produit, un solde de stock. Toute variation de ce solde est doublée d'une écriture dans un journal de mouvements, non modifiable, qui conserve : le type de mouvement, la quantité signée, le stock avant et après, le document à l'origine du mouvement, l'horodatage et l'auteur.</w:t>
      </w:r>
    </w:p>
    <w:p>
      <w:pPr>
        <w:spacing w:after="120" w:line="276"/>
      </w:pPr>
      <w:r>
        <w:t xml:space="preserve">Types de mouvement :</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600"/>
        <w:gridCol w:w="6426"/>
      </w:tblGrid>
      <w:tr>
        <w:trPr>
          <w:tblHeader/>
        </w:trPr>
        <w:tc>
          <w:tcPr>
            <w:tcW w:type="dxa" w:w="2600"/>
            <w:shd w:fill="096A09" w:val="clear"/>
            <w:tcMar>
              <w:top w:type="dxa" w:w="80"/>
              <w:left w:type="dxa" w:w="120"/>
              <w:bottom w:type="dxa" w:w="80"/>
              <w:right w:type="dxa" w:w="120"/>
            </w:tcMar>
          </w:tcPr>
          <w:p>
            <w:pPr>
              <w:spacing w:after="0" w:line="264"/>
            </w:pPr>
            <w:r>
              <w:rPr>
                <w:b/>
                <w:bCs/>
                <w:color w:val="FFFFFF"/>
              </w:rPr>
              <w:t xml:space="preserve">Type</w:t>
            </w:r>
          </w:p>
        </w:tc>
        <w:tc>
          <w:tcPr>
            <w:tcW w:type="dxa" w:w="6426"/>
            <w:shd w:fill="096A09" w:val="clear"/>
            <w:tcMar>
              <w:top w:type="dxa" w:w="80"/>
              <w:left w:type="dxa" w:w="120"/>
              <w:bottom w:type="dxa" w:w="80"/>
              <w:right w:type="dxa" w:w="120"/>
            </w:tcMar>
          </w:tcPr>
          <w:p>
            <w:pPr>
              <w:spacing w:after="0" w:line="264"/>
            </w:pPr>
            <w:r>
              <w:rPr>
                <w:b/>
                <w:bCs/>
                <w:color w:val="FFFFFF"/>
              </w:rPr>
              <w:t xml:space="preserve">Origine</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ENTREE_RECEPTION</w:t>
            </w:r>
          </w:p>
        </w:tc>
        <w:tc>
          <w:tcPr>
            <w:tcW w:type="dxa" w:w="6426"/>
            <w:shd w:fill="FFFFFF" w:val="clear"/>
            <w:tcMar>
              <w:top w:type="dxa" w:w="80"/>
              <w:left w:type="dxa" w:w="120"/>
              <w:bottom w:type="dxa" w:w="80"/>
              <w:right w:type="dxa" w:w="120"/>
            </w:tcMar>
          </w:tcPr>
          <w:p>
            <w:pPr>
              <w:spacing w:after="0" w:line="264"/>
            </w:pPr>
            <w:r>
              <w:rPr>
                <w:b w:val="false"/>
                <w:bCs w:val="false"/>
              </w:rPr>
              <w:t xml:space="preserve">Clôture d'une réception fournisseur au dépôt.</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SORTIE_VENTE</w:t>
            </w:r>
          </w:p>
        </w:tc>
        <w:tc>
          <w:tcPr>
            <w:tcW w:type="dxa" w:w="6426"/>
            <w:shd w:fill="FFFFFF" w:val="clear"/>
            <w:tcMar>
              <w:top w:type="dxa" w:w="80"/>
              <w:left w:type="dxa" w:w="120"/>
              <w:bottom w:type="dxa" w:w="80"/>
              <w:right w:type="dxa" w:w="120"/>
            </w:tcMar>
          </w:tcPr>
          <w:p>
            <w:pPr>
              <w:spacing w:after="0" w:line="264"/>
            </w:pPr>
            <w:r>
              <w:rPr>
                <w:b w:val="false"/>
                <w:bCs w:val="false"/>
              </w:rPr>
              <w:t xml:space="preserve">Commande validée sur une session de vente.</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SORTIE_TRANSFERT</w:t>
            </w:r>
          </w:p>
        </w:tc>
        <w:tc>
          <w:tcPr>
            <w:tcW w:type="dxa" w:w="6426"/>
            <w:shd w:fill="FFFFFF" w:val="clear"/>
            <w:tcMar>
              <w:top w:type="dxa" w:w="80"/>
              <w:left w:type="dxa" w:w="120"/>
              <w:bottom w:type="dxa" w:w="80"/>
              <w:right w:type="dxa" w:w="120"/>
            </w:tcMar>
          </w:tcPr>
          <w:p>
            <w:pPr>
              <w:spacing w:after="0" w:line="264"/>
            </w:pPr>
            <w:r>
              <w:rPr>
                <w:b w:val="false"/>
                <w:bCs w:val="false"/>
              </w:rPr>
              <w:t xml:space="preserve">Sortie du dépôt lors d'un transfert.</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ENTREE_TRANSFERT</w:t>
            </w:r>
          </w:p>
        </w:tc>
        <w:tc>
          <w:tcPr>
            <w:tcW w:type="dxa" w:w="6426"/>
            <w:shd w:fill="FFFFFF" w:val="clear"/>
            <w:tcMar>
              <w:top w:type="dxa" w:w="80"/>
              <w:left w:type="dxa" w:w="120"/>
              <w:bottom w:type="dxa" w:w="80"/>
              <w:right w:type="dxa" w:w="120"/>
            </w:tcMar>
          </w:tcPr>
          <w:p>
            <w:pPr>
              <w:spacing w:after="0" w:line="264"/>
            </w:pPr>
            <w:r>
              <w:rPr>
                <w:b w:val="false"/>
                <w:bCs w:val="false"/>
              </w:rPr>
              <w:t xml:space="preserve">Entrée au bar lors d'un transfert.</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AJUSTEMENT</w:t>
            </w:r>
          </w:p>
        </w:tc>
        <w:tc>
          <w:tcPr>
            <w:tcW w:type="dxa" w:w="6426"/>
            <w:shd w:fill="FFFFFF" w:val="clear"/>
            <w:tcMar>
              <w:top w:type="dxa" w:w="80"/>
              <w:left w:type="dxa" w:w="120"/>
              <w:bottom w:type="dxa" w:w="80"/>
              <w:right w:type="dxa" w:w="120"/>
            </w:tcMar>
          </w:tcPr>
          <w:p>
            <w:pPr>
              <w:spacing w:after="0" w:line="264"/>
            </w:pPr>
            <w:r>
              <w:rPr>
                <w:b w:val="false"/>
                <w:bCs w:val="false"/>
              </w:rPr>
              <w:t xml:space="preserve">Correction opérée par un super administrateur après clôture.</w:t>
            </w:r>
          </w:p>
        </w:tc>
      </w:tr>
      <w:tr>
        <w:tc>
          <w:tcPr>
            <w:tcW w:type="dxa" w:w="2600"/>
            <w:shd w:fill="FFFFFF" w:val="clear"/>
            <w:tcMar>
              <w:top w:type="dxa" w:w="80"/>
              <w:left w:type="dxa" w:w="120"/>
              <w:bottom w:type="dxa" w:w="80"/>
              <w:right w:type="dxa" w:w="120"/>
            </w:tcMar>
          </w:tcPr>
          <w:p>
            <w:pPr>
              <w:spacing w:after="0" w:line="264"/>
            </w:pPr>
            <w:r>
              <w:rPr>
                <w:b w:val="false"/>
                <w:bCs w:val="false"/>
              </w:rPr>
              <w:t xml:space="preserve">CONTRE_PASSATION</w:t>
            </w:r>
          </w:p>
        </w:tc>
        <w:tc>
          <w:tcPr>
            <w:tcW w:type="dxa" w:w="6426"/>
            <w:shd w:fill="FFFFFF" w:val="clear"/>
            <w:tcMar>
              <w:top w:type="dxa" w:w="80"/>
              <w:left w:type="dxa" w:w="120"/>
              <w:bottom w:type="dxa" w:w="80"/>
              <w:right w:type="dxa" w:w="120"/>
            </w:tcMar>
          </w:tcPr>
          <w:p>
            <w:pPr>
              <w:spacing w:after="0" w:line="264"/>
            </w:pPr>
            <w:r>
              <w:rPr>
                <w:b w:val="false"/>
                <w:bCs w:val="false"/>
              </w:rPr>
              <w:t xml:space="preserve">Annulation d'un document déjà appliqué au stock.</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RG-14 — </w:t>
            </w:r>
            <w:r>
              <w:t xml:space="preserve">Toute variation de stock crée un mouvement dans la même transaction que la mise à jour du solde. Le solde doit toujours être égal à la somme des mouvements.</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RG-15 — </w:t>
            </w:r>
            <w:r>
              <w:t xml:space="preserve">Le stock ne peut jamais devenir négatif. Toute opération qui l'entraînerait est rejetée, avec le détail du produit concerné et de la quantité réellement disponible.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RG-16 — </w:t>
            </w:r>
            <w:r>
              <w:t xml:space="preserve">En cas d'accès concurrent au même produit, la décrémentation est rejouée automatiquement (3 tentatives) avant de renvoyer une erreur, afin que deux ventes simultanées ne se perdent pas.</w:t>
            </w:r>
          </w:p>
        </w:tc>
      </w:tr>
    </w:tbl>
    <w:p>
      <w:pPr>
        <w:spacing w:after="160"/>
      </w:pPr>
    </w:p>
    <w:p>
      <w:r>
        <w:br w:type="page"/>
      </w:r>
    </w:p>
    <w:p>
      <w:pPr>
        <w:pStyle w:val="Heading1"/>
        <w:spacing w:after="180" w:before="360"/>
      </w:pPr>
      <w:r>
        <w:t xml:space="preserve">8. Réception au dépôt</w:t>
      </w:r>
    </w:p>
    <w:p>
      <w:pPr>
        <w:spacing w:after="120" w:line="276"/>
      </w:pPr>
      <w:r>
        <w:t xml:space="preserve">La réception enregistre une livraison fournisseur au dépôt et alimente le stock.</w:t>
      </w:r>
    </w:p>
    <w:p>
      <w:pPr>
        <w:pStyle w:val="Heading2"/>
        <w:spacing w:after="140" w:before="280"/>
      </w:pPr>
      <w:r>
        <w:t xml:space="preserve">8.1 États du document</w:t>
      </w:r>
    </w:p>
    <w:tbl>
      <w:tblPr>
        <w:tblW w:type="dxa" w:w="9026"/>
        <w:tblBorders>
          <w:top w:val="single" w:color="DDDDDD" w:sz="2"/>
          <w:left w:val="single" w:color="DDDDDD" w:sz="2"/>
          <w:bottom w:val="single" w:color="DDDDDD" w:sz="2"/>
          <w:right w:val="single" w:color="DDDDDD" w:sz="2"/>
          <w:insideH w:val="none"/>
          <w:insideV w:val="none"/>
        </w:tblBorders>
      </w:tblPr>
      <w:tblGrid>
        <w:gridCol w:w="9026"/>
      </w:tblGrid>
      <w:tr>
        <w:tc>
          <w:tcPr>
            <w:tcW w:type="dxa" w:w="9026"/>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BROUILLON ──clôturer──&gt; EN_ATTENTE_VALIDATION ──valider──&gt; VALIDEE (final)</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├──annuler──&gt; ANNULEE (final)</w:t>
            </w:r>
          </w:p>
          <w:p>
            <w:pPr>
              <w:spacing w:after="0" w:line="240"/>
            </w:pPr>
            <w:r>
              <w:rPr>
                <w:rFonts w:ascii="Consolas" w:cs="Consolas" w:eastAsia="Consolas" w:hAnsi="Consolas"/>
                <w:sz w:val="18"/>
                <w:szCs w:val="18"/>
              </w:rPr>
              <w:t xml:space="preserve">    └────demande de correction───┘</w:t>
            </w:r>
          </w:p>
        </w:tc>
      </w:tr>
    </w:tbl>
    <w:p>
      <w:pPr>
        <w:spacing w:after="160"/>
      </w:pPr>
    </w:p>
    <w:p>
      <w:pPr>
        <w:pStyle w:val="Heading2"/>
        <w:spacing w:after="140" w:before="280"/>
      </w:pPr>
      <w:r>
        <w:t xml:space="preserve">8.2 Déroulé</w:t>
      </w:r>
    </w:p>
    <w:p>
      <w:pPr>
        <w:pStyle w:val="ListParagraph"/>
        <w:numPr>
          <w:ilvl w:val="0"/>
          <w:numId w:val="3"/>
        </w:numPr>
        <w:spacing w:after="80" w:line="276"/>
      </w:pPr>
      <w:r>
        <w:t xml:space="preserve">Le gérant du dépôt crée une réception en indiquant le fournisseur, la date et l'heure de livraison et le point de vente.</w:t>
      </w:r>
    </w:p>
    <w:p>
      <w:pPr>
        <w:pStyle w:val="ListParagraph"/>
        <w:numPr>
          <w:ilvl w:val="0"/>
          <w:numId w:val="3"/>
        </w:numPr>
        <w:spacing w:after="80" w:line="276"/>
      </w:pPr>
      <w:r>
        <w:t xml:space="preserve">Il ajoute les lignes : produit (marque et volume), conditionnement, nombre de casiers et prix d'achat du casier. Ce prix est pré-rempli depuis le tarif d'achat en vigueur et reste modifiable.</w:t>
      </w:r>
    </w:p>
    <w:p>
      <w:pPr>
        <w:pStyle w:val="ListParagraph"/>
        <w:numPr>
          <w:ilvl w:val="0"/>
          <w:numId w:val="3"/>
        </w:numPr>
        <w:spacing w:after="80" w:line="276"/>
      </w:pPr>
      <w:r>
        <w:t xml:space="preserve">Il clôture la réception. Un écran récapitulatif présente les totaux par marque, par volume et le montant global.</w:t>
      </w:r>
    </w:p>
    <w:p>
      <w:pPr>
        <w:pStyle w:val="ListParagraph"/>
        <w:numPr>
          <w:ilvl w:val="0"/>
          <w:numId w:val="3"/>
        </w:numPr>
        <w:spacing w:after="80" w:line="276"/>
      </w:pPr>
      <w:r>
        <w:t xml:space="preserve">S'il souhaite faire valider par un autre administrateur, il sélectionne un super administrateur dans la liste et envoie la demande de validation. L'utilisateur courant n'apparaît pas dans cette liste.</w:t>
      </w:r>
    </w:p>
    <w:p>
      <w:pPr>
        <w:pStyle w:val="ListParagraph"/>
        <w:numPr>
          <w:ilvl w:val="0"/>
          <w:numId w:val="3"/>
        </w:numPr>
        <w:spacing w:after="80" w:line="276"/>
      </w:pPr>
      <w:r>
        <w:t xml:space="preserve">Le destinataire reçoit une notification (SMS ou email) contenant un lien vers le récapitulatif.</w:t>
      </w:r>
    </w:p>
    <w:p>
      <w:pPr>
        <w:pStyle w:val="ListParagraph"/>
        <w:numPr>
          <w:ilvl w:val="0"/>
          <w:numId w:val="3"/>
        </w:numPr>
        <w:spacing w:after="80" w:line="276"/>
      </w:pPr>
      <w:r>
        <w:t xml:space="preserve">Après authentification, le validateur arrive directement sur le récapitulatif et dispose de trois actions : annuler, modifier, ou valider définitivement.</w:t>
      </w:r>
    </w:p>
    <w:p>
      <w:pPr>
        <w:spacing w:after="160"/>
      </w:pPr>
    </w:p>
    <w:p>
      <w:pPr>
        <w:spacing w:after="120" w:line="276"/>
      </w:pPr>
      <w:r>
        <w:rPr>
          <w:b/>
          <w:bCs/>
        </w:rPr>
        <w:t xml:space="preserve">Cas du super administrateur. </w:t>
      </w:r>
      <w:r>
        <w:t xml:space="preserve">Lorsque c'est un super administrateur qui clôture la réception, celle-ci est clôturée sans qu'une demande de validation soit nécessaire : il dispose immédiatement, sur le récapitulatif, des actions de modification et de validation.</w:t>
      </w:r>
    </w:p>
    <w:p>
      <w:pPr>
        <w:pStyle w:val="Heading2"/>
        <w:spacing w:after="140" w:before="280"/>
      </w:pPr>
      <w:r>
        <w:t xml:space="preserve">8.3 Règles</w:t>
      </w: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RG-17 — </w:t>
            </w:r>
            <w:r>
              <w:t xml:space="preserve">Le stock est incrémenté dès la clôture par le gérant, afin que la marchandise soit vendable immédiatement. Attendre la validation du super administrateur bloquerait l'exploitation.</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RG-18 — </w:t>
            </w:r>
            <w:r>
              <w:t xml:space="preserve">L'annulation ne supprime rien en base. La réception passe au statut ANNULEE, des mouvements de contre-passation de signe opposé sont générés, un motif d'annulation est obligatoire, et l'auteur ainsi que l'horodatage sont tracés.</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RG-19 — </w:t>
            </w:r>
            <w:r>
              <w:t xml:space="preserve">L'annulation est refusée si tout ou partie de la marchandise reçue a déjà été vendue ou transférée. Le message d'erreur indique les produits en cause.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RG-20 — </w:t>
            </w:r>
            <w:r>
              <w:t xml:space="preserve">Lors d'une modification, le super administrateur peut changer le produit, la quantité ou le prix unitaire, et supprimer ou ajouter une ligne. Chaque modification génère un mouvement d'ajustement de stock et une entrée d'audit conservant les valeurs avant et après.</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RG-21 — </w:t>
            </w:r>
            <w:r>
              <w:t xml:space="preserve">Une réception validée est immuable. Toute correction ultérieure passe par un document d'ajustement distinct.</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RG-22 — </w:t>
            </w:r>
            <w:r>
              <w:t xml:space="preserve">La confirmation d'annulation affiche une fenêtre explicite signalant que l'action est irréversible, avec saisie obligatoire du motif. Le refus revient au récapitulatif sans aucun effet.</w:t>
            </w:r>
          </w:p>
        </w:tc>
      </w:tr>
    </w:tbl>
    <w:p>
      <w:pPr>
        <w:spacing w:after="160"/>
      </w:pPr>
    </w:p>
    <w:p>
      <w:r>
        <w:br w:type="page"/>
      </w:r>
    </w:p>
    <w:p>
      <w:pPr>
        <w:pStyle w:val="Heading1"/>
        <w:spacing w:after="180" w:before="360"/>
      </w:pPr>
      <w:r>
        <w:t xml:space="preserve">9. Vente au dépôt</w:t>
      </w:r>
    </w:p>
    <w:p>
      <w:pPr>
        <w:pStyle w:val="Heading2"/>
        <w:spacing w:after="140" w:before="280"/>
      </w:pPr>
      <w:r>
        <w:t xml:space="preserve">9.1 Session de vente</w:t>
      </w:r>
    </w:p>
    <w:p>
      <w:pPr>
        <w:spacing w:after="120" w:line="276"/>
      </w:pPr>
      <w:r>
        <w:t xml:space="preserve">La session de vente matérialise la journée de caisse d'un point de vente. Elle porte le fond de caisse initial, l'auteur de l'ouverture et de la clôture, les totaux théorique et compté, l'écart constaté, ainsi que la date et l'auteur de la validation.</w:t>
      </w:r>
    </w:p>
    <w:tbl>
      <w:tblPr>
        <w:tblW w:type="dxa" w:w="9026"/>
        <w:tblBorders>
          <w:top w:val="single" w:color="DDDDDD" w:sz="2"/>
          <w:left w:val="single" w:color="DDDDDD" w:sz="2"/>
          <w:bottom w:val="single" w:color="DDDDDD" w:sz="2"/>
          <w:right w:val="single" w:color="DDDDDD" w:sz="2"/>
          <w:insideH w:val="none"/>
          <w:insideV w:val="none"/>
        </w:tblBorders>
      </w:tblPr>
      <w:tblGrid>
        <w:gridCol w:w="9026"/>
      </w:tblGrid>
      <w:tr>
        <w:tc>
          <w:tcPr>
            <w:tcW w:type="dxa" w:w="9026"/>
            <w:shd w:fill="F5F5F5"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OUVERTE ──&gt; CLOTUREE ──&gt; VALIDEE</w:t>
            </w:r>
          </w:p>
          <w:p>
            <w:pPr>
              <w:spacing w:after="0" w:line="240"/>
            </w:pPr>
            <w:r>
              <w:rPr>
                <w:rFonts w:ascii="Consolas" w:cs="Consolas" w:eastAsia="Consolas" w:hAnsi="Consolas"/>
                <w:sz w:val="18"/>
                <w:szCs w:val="18"/>
              </w:rPr>
              <w:t xml:space="preserve">                  └──&gt; EN_MODIFICATION ──&gt; VALIDEE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RG-23 — </w:t>
            </w:r>
            <w:r>
              <w:t xml:space="preserve">Il ne peut exister qu'une seule session ouverte à la fois par point de vente. Aucune vente ne peut être créée en dehors d'une session ouverte.</w:t>
            </w:r>
          </w:p>
        </w:tc>
      </w:tr>
    </w:tbl>
    <w:p>
      <w:pPr>
        <w:spacing w:after="160"/>
      </w:pPr>
    </w:p>
    <w:p>
      <w:pPr>
        <w:pStyle w:val="Heading2"/>
        <w:spacing w:after="140" w:before="280"/>
      </w:pPr>
      <w:r>
        <w:t xml:space="preserve">9.2 Panier et commande</w:t>
      </w:r>
    </w:p>
    <w:p>
      <w:pPr>
        <w:pStyle w:val="ListParagraph"/>
        <w:numPr>
          <w:ilvl w:val="0"/>
          <w:numId w:val="3"/>
        </w:numPr>
        <w:spacing w:after="80" w:line="276"/>
      </w:pPr>
      <w:r>
        <w:t xml:space="preserve">Le gérant sélectionne la marque, le volume et le nombre de casiers, avec la possibilité du demi-casier lorsque le conditionnement le permet.</w:t>
      </w:r>
    </w:p>
    <w:p>
      <w:pPr>
        <w:pStyle w:val="ListParagraph"/>
        <w:numPr>
          <w:ilvl w:val="0"/>
          <w:numId w:val="3"/>
        </w:numPr>
        <w:spacing w:after="80" w:line="276"/>
      </w:pPr>
      <w:r>
        <w:t xml:space="preserve">Il ajoute au panier. Le panier est conservé pendant 4 heures et rattaché à l'utilisateur et à sa session.</w:t>
      </w:r>
    </w:p>
    <w:p>
      <w:pPr>
        <w:pStyle w:val="ListParagraph"/>
        <w:numPr>
          <w:ilvl w:val="0"/>
          <w:numId w:val="3"/>
        </w:numPr>
        <w:spacing w:after="80" w:line="276"/>
      </w:pPr>
      <w:r>
        <w:t xml:space="preserve">L'écran panier détaille chaque ligne (produit, volume, nombre de casiers, prix unitaire, total de ligne) et le montant global.</w:t>
      </w:r>
    </w:p>
    <w:p>
      <w:pPr>
        <w:pStyle w:val="ListParagraph"/>
        <w:numPr>
          <w:ilvl w:val="0"/>
          <w:numId w:val="3"/>
        </w:numPr>
        <w:spacing w:after="80" w:line="276"/>
      </w:pPr>
      <w:r>
        <w:t xml:space="preserve">Trois actions y sont disponibles : supprimer le panier, le modifier (quantité, retrait de ligne) ou le valider.</w:t>
      </w:r>
    </w:p>
    <w:p>
      <w:pPr>
        <w:pStyle w:val="ListParagraph"/>
        <w:numPr>
          <w:ilvl w:val="0"/>
          <w:numId w:val="3"/>
        </w:numPr>
        <w:spacing w:after="80" w:line="276"/>
      </w:pPr>
      <w:r>
        <w:t xml:space="preserve">À la validation, le gérant sélectionne un client existant ou le crée à la volée.</w:t>
      </w:r>
    </w:p>
    <w:p>
      <w:pPr>
        <w:pStyle w:val="ListParagraph"/>
        <w:numPr>
          <w:ilvl w:val="0"/>
          <w:numId w:val="3"/>
        </w:numPr>
        <w:spacing w:after="80" w:line="276"/>
      </w:pPr>
      <w:r>
        <w:t xml:space="preserve">La commande génère le bon de commande destiné aux manutentionnaires et la facture destinée au client, tous deux au format PDF.</w:t>
      </w:r>
    </w:p>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RG-24 — </w:t>
            </w:r>
            <w:r>
              <w:t xml:space="preserve">Le stock est décrémenté au moment de la commande, pas à l'ajout au panier. Un contrôle de disponibilité est effectué à l'ajout, à titre informatif, et à la commande, à titre bloquant.</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RG-25 — </w:t>
            </w:r>
            <w:r>
              <w:t xml:space="preserve">La suppression du panier n'a aucun effet sur le stock ni sur les données : le panier n'est pas un document.</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RG-26 — </w:t>
            </w:r>
            <w:r>
              <w:t xml:space="preserve">Les documents sont numérotés selon les formats BC-{point de vente}-{année}-{séquence} pour les bons de commande et FA-{point de vente}-{année}-{séquence} pour les factures. Les séquences sont propres à chaque point de vente et à chaque année, et ne sont jamais réutilisées.</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RG-27 — </w:t>
            </w:r>
            <w:r>
              <w:t xml:space="preserve">La commande est idempotente : un double clic ou un renvoi de la requête ne crée pas deux commandes.</w:t>
            </w:r>
          </w:p>
        </w:tc>
      </w:tr>
    </w:tbl>
    <w:p>
      <w:pPr>
        <w:spacing w:after="160"/>
      </w:pPr>
    </w:p>
    <w:p>
      <w:pPr>
        <w:pStyle w:val="Heading2"/>
        <w:spacing w:after="140" w:before="280"/>
      </w:pPr>
      <w:r>
        <w:t xml:space="preserve">9.3 Clôture de la session</w:t>
      </w:r>
    </w:p>
    <w:p>
      <w:pPr>
        <w:spacing w:after="120" w:line="276"/>
      </w:pPr>
      <w:r>
        <w:t xml:space="preserve">À la clôture, l'application présente :</w:t>
      </w:r>
    </w:p>
    <w:p>
      <w:pPr>
        <w:pStyle w:val="ListParagraph"/>
        <w:numPr>
          <w:ilvl w:val="0"/>
          <w:numId w:val="2"/>
        </w:numPr>
        <w:spacing w:after="80" w:line="276"/>
      </w:pPr>
      <w:r>
        <w:t xml:space="preserve">le stock restant par produit ;</w:t>
      </w:r>
    </w:p>
    <w:p>
      <w:pPr>
        <w:pStyle w:val="ListParagraph"/>
        <w:numPr>
          <w:ilvl w:val="0"/>
          <w:numId w:val="2"/>
        </w:numPr>
        <w:spacing w:after="80" w:line="276"/>
      </w:pPr>
      <w:r>
        <w:t xml:space="preserve">les quantités vendues par marque, par volume et au global ;</w:t>
      </w:r>
    </w:p>
    <w:p>
      <w:pPr>
        <w:pStyle w:val="ListParagraph"/>
        <w:numPr>
          <w:ilvl w:val="0"/>
          <w:numId w:val="2"/>
        </w:numPr>
        <w:spacing w:after="80" w:line="276"/>
      </w:pPr>
      <w:r>
        <w:t xml:space="preserve">le montant de la recette, ventilé par mode de paiement ;</w:t>
      </w:r>
    </w:p>
    <w:p>
      <w:pPr>
        <w:pStyle w:val="ListParagraph"/>
        <w:numPr>
          <w:ilvl w:val="0"/>
          <w:numId w:val="2"/>
        </w:numPr>
        <w:spacing w:after="80" w:line="276"/>
      </w:pPr>
      <w:r>
        <w:t xml:space="preserve">l'écart de caisse lorsque le montant compté est saisi.</w:t>
      </w:r>
    </w:p>
    <w:p>
      <w:pPr>
        <w:spacing w:after="120" w:line="276"/>
      </w:pPr>
      <w:r>
        <w:t xml:space="preserve">Deux actions sont ensuite proposées : valider la vente, ou demander une modification.</w:t>
      </w:r>
    </w:p>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RG-28 — </w:t>
            </w:r>
            <w:r>
              <w:t xml:space="preserve">Une session validée est définitivement figée : plus aucune ligne n'est modifiable, par personne.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RG-29 — </w:t>
            </w:r>
            <w:r>
              <w:t xml:space="preserve">La demande de modification notifie le super administrateur et place la session au statut EN_MODIFICATION. Lui seul peut alors modifier les quantités vendues ; chaque modification génère un mouvement d'ajustement de stock et une entrée d'audit. Il clôture ensuite par une validation définitive.</w:t>
            </w:r>
          </w:p>
        </w:tc>
      </w:tr>
    </w:tbl>
    <w:p>
      <w:pPr>
        <w:spacing w:after="160"/>
      </w:pPr>
    </w:p>
    <w:p>
      <w:pPr>
        <w:spacing w:after="120" w:line="276"/>
      </w:pPr>
      <w:r>
        <w:rPr>
          <w:b/>
          <w:bCs/>
        </w:rPr>
        <w:t xml:space="preserve">Cas du super administrateur. </w:t>
      </w:r>
      <w:r>
        <w:t xml:space="preserve">Comme pour la réception, lorsque le super administrateur clôture lui-même la session, celle-ci est clôturée directement et il dispose immédiatement des options de modification et de validation, sans passer par une demande adressée à un tiers.</w:t>
      </w:r>
    </w:p>
    <w:p>
      <w:r>
        <w:br w:type="page"/>
      </w:r>
    </w:p>
    <w:p>
      <w:pPr>
        <w:pStyle w:val="Heading1"/>
        <w:spacing w:after="180" w:before="360"/>
      </w:pPr>
      <w:r>
        <w:t xml:space="preserve">10. Transfert dépôt → bar</w:t>
      </w:r>
    </w:p>
    <w:p>
      <w:pPr>
        <w:spacing w:after="120" w:line="276"/>
      </w:pPr>
      <w:r>
        <w:t xml:space="preserve">Le transfert est le seul mécanisme d'approvisionnement du bar. Il sort de la marchandise du dépôt en casiers et la fait entrer au bar en bouteilles. Sans lui, les deux stocks seraient déconnectés.</w:t>
      </w:r>
    </w:p>
    <w:p>
      <w:pPr>
        <w:spacing w:after="120" w:line="276"/>
      </w:pPr>
      <w:r>
        <w:t xml:space="preserve">Le bon de transfert porte un numéro, le point de vente source (le dépôt), le point de vente destination (le bar), la date et ses lignes. Chaque ligne indique le produit, la quantité sortie en demi-casiers, la quantité entrée en bouteilles et le prix de cession unitaire, qui est un tarif interne distinct du prix de vente public.</w:t>
      </w: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RG-30 — </w:t>
            </w:r>
            <w:r>
              <w:t xml:space="preserve">La quantité en bouteilles est déduite de la quantité en demi-casiers et de la capacité du casier. Le transfert est refusé si le résultat n'est pas un nombre entier de bouteilles.</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RG-31 — </w:t>
            </w:r>
            <w:r>
              <w:t xml:space="preserve">Le transfert génère deux mouvements indissociables dans la même transaction : une sortie au dépôt et une entrée au bar. Aucun des deux ne peut exister sans l'autre.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RG-32 — </w:t>
            </w:r>
            <w:r>
              <w:t xml:space="preserve">Le transfert suit le même cycle de vie que la réception : brouillon, en attente de validation, puis validé ou annulé, la validation revenant au super administrateur. Contrairement à la réception, la séparation des tâches y est stricte : le validateur ne peut pas être celui qui a clôturé le bon.</w:t>
            </w:r>
          </w:p>
        </w:tc>
      </w:tr>
    </w:tbl>
    <w:p>
      <w:pPr>
        <w:spacing w:after="160"/>
      </w:pPr>
    </w:p>
    <w:p>
      <w:r>
        <w:br w:type="page"/>
      </w:r>
    </w:p>
    <w:p>
      <w:pPr>
        <w:pStyle w:val="Heading1"/>
        <w:spacing w:after="180" w:before="360"/>
      </w:pPr>
      <w:r>
        <w:t xml:space="preserve">11. Vente au bar / maquis</w:t>
      </w:r>
    </w:p>
    <w:p>
      <w:pPr>
        <w:spacing w:after="120" w:line="276"/>
      </w:pPr>
      <w:r>
        <w:t xml:space="preserve">Le fonctionnement reprend celui du dépôt, avec les différences suivantes :</w:t>
      </w:r>
    </w:p>
    <w:p>
      <w:pPr>
        <w:pStyle w:val="ListParagraph"/>
        <w:numPr>
          <w:ilvl w:val="0"/>
          <w:numId w:val="2"/>
        </w:numPr>
        <w:spacing w:after="80" w:line="276"/>
      </w:pPr>
      <w:r>
        <w:t xml:space="preserve">l'unité de vente est la bouteille et non le casier ;</w:t>
      </w:r>
    </w:p>
    <w:p>
      <w:pPr>
        <w:pStyle w:val="ListParagraph"/>
        <w:numPr>
          <w:ilvl w:val="0"/>
          <w:numId w:val="2"/>
        </w:numPr>
        <w:spacing w:after="80" w:line="276"/>
      </w:pPr>
      <w:r>
        <w:t xml:space="preserve">le gérant ouvre une ligne de vente par serveur, sous la forme d'un ticket serveur ;</w:t>
      </w:r>
    </w:p>
    <w:p>
      <w:pPr>
        <w:pStyle w:val="ListParagraph"/>
        <w:numPr>
          <w:ilvl w:val="0"/>
          <w:numId w:val="2"/>
        </w:numPr>
        <w:spacing w:after="80" w:line="276"/>
      </w:pPr>
      <w:r>
        <w:t xml:space="preserve">le serveur commande auprès du gérant, qui encaisse, valide, puis remet les bouteilles ;</w:t>
      </w:r>
    </w:p>
    <w:p>
      <w:pPr>
        <w:pStyle w:val="ListParagraph"/>
        <w:numPr>
          <w:ilvl w:val="0"/>
          <w:numId w:val="2"/>
        </w:numPr>
        <w:spacing w:after="80" w:line="276"/>
      </w:pPr>
      <w:r>
        <w:t xml:space="preserve">il n'y a ni facture client ni sélection de client : la vente se fait au comptoir. Le ticket est imprimable.</w:t>
      </w:r>
    </w:p>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RG-33 — </w:t>
            </w:r>
            <w:r>
              <w:t xml:space="preserve">Un serveur peut ouvrir plusieurs tickets dans la même journée. Le récapitulatif de clôture détaille le total par serveur, le total par marque et volume, et le total général.</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RG-34 — </w:t>
            </w:r>
            <w:r>
              <w:t xml:space="preserve">La clôture du bar suit le même schéma que celle du dépôt : validation définitive ou demande de modification adressée au super administrateur.</w:t>
            </w:r>
          </w:p>
        </w:tc>
      </w:tr>
    </w:tbl>
    <w:p>
      <w:pPr>
        <w:spacing w:after="160"/>
      </w:pPr>
    </w:p>
    <w:p>
      <w:pPr>
        <w:pStyle w:val="Heading1"/>
        <w:spacing w:after="180" w:before="360"/>
      </w:pPr>
      <w:r>
        <w:t xml:space="preserve">12. Notifications</w:t>
      </w:r>
    </w:p>
    <w:p>
      <w:pPr>
        <w:spacing w:after="120" w:line="276"/>
      </w:pPr>
      <w:r>
        <w:t xml:space="preserve">Les notifications sont envoyées par SMS ou par email, selon le canal de contact de l'utilisateur destinataire. Elles concernent l'activation des comptes, les codes à usage unique, les demandes de validation de clôture et les demandes de modification.</w:t>
      </w:r>
    </w:p>
    <w:p>
      <w:pPr>
        <w:pStyle w:val="ListParagraph"/>
        <w:numPr>
          <w:ilvl w:val="0"/>
          <w:numId w:val="2"/>
        </w:numPr>
        <w:spacing w:after="80" w:line="276"/>
      </w:pPr>
      <w:r>
        <w:t xml:space="preserve">L'envoi est asynchrone : un échec d'envoi ne fait jamais échouer l'opération métier qui l'a déclenché. Trois tentatives sont effectuées avant abandon.</w:t>
      </w:r>
    </w:p>
    <w:p>
      <w:pPr>
        <w:pStyle w:val="ListParagraph"/>
        <w:numPr>
          <w:ilvl w:val="0"/>
          <w:numId w:val="2"/>
        </w:numPr>
        <w:spacing w:after="80" w:line="276"/>
      </w:pPr>
      <w:r>
        <w:t xml:space="preserve">Le fournisseur SMS est interchangeable par configuration ; aucun fournisseur n'est imposé.</w:t>
      </w:r>
    </w:p>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RG-35 — </w:t>
            </w:r>
            <w:r>
              <w:t xml:space="preserve">Les liens envoyés ne portent aucun droit : ils redirigent vers une page qui exige l'authentification. Le jeton contenu dans le lien identifie le document concerné, jamais l'utilisateur. Après connexion, l'utilisateur est redirigé sur la page qu'il avait demandée.</w:t>
            </w:r>
          </w:p>
        </w:tc>
      </w:tr>
    </w:tbl>
    <w:p>
      <w:pPr>
        <w:spacing w:after="160"/>
      </w:pPr>
    </w:p>
    <w:tbl>
      <w:tblPr>
        <w:tblW w:type="dxa" w:w="9026"/>
        <w:tblBorders>
          <w:top w:val="single" w:color="DDDDDD" w:sz="2"/>
          <w:left w:val="single" w:color="CC5500" w:sz="12"/>
          <w:bottom w:val="single" w:color="DDDDDD" w:sz="2"/>
          <w:right w:val="single" w:color="DDDDDD" w:sz="2"/>
          <w:insideH w:val="none"/>
          <w:insideV w:val="none"/>
        </w:tblBorders>
      </w:tblPr>
      <w:tblGrid>
        <w:gridCol w:w="9026"/>
      </w:tblGrid>
      <w:tr>
        <w:tc>
          <w:tcPr>
            <w:tcW w:type="dxa" w:w="9026"/>
            <w:shd w:fill="FBF4EE" w:val="clear"/>
            <w:tcMar>
              <w:top w:type="dxa" w:w="100"/>
              <w:left w:type="dxa" w:w="160"/>
              <w:bottom w:type="dxa" w:w="100"/>
              <w:right w:type="dxa" w:w="160"/>
            </w:tcMar>
          </w:tcPr>
          <w:p>
            <w:pPr>
              <w:spacing w:after="0" w:line="276"/>
            </w:pPr>
            <w:r>
              <w:rPr>
                <w:b/>
                <w:bCs/>
                <w:color w:val="CC5500"/>
              </w:rPr>
              <w:t xml:space="preserve">RG-36 — </w:t>
            </w:r>
            <w:r>
              <w:t xml:space="preserve">Un jeton de validation est lié au destinataire sélectionné, à usage unique, et valable 72 heures.</w:t>
            </w:r>
          </w:p>
        </w:tc>
      </w:tr>
    </w:tbl>
    <w:p>
      <w:pPr>
        <w:spacing w:after="160"/>
      </w:pPr>
    </w:p>
    <w:p>
      <w:pPr>
        <w:pStyle w:val="Heading1"/>
        <w:spacing w:after="180" w:before="360"/>
      </w:pPr>
      <w:r>
        <w:t xml:space="preserve">13. Audit et traçabilité</w:t>
      </w:r>
    </w:p>
    <w:p>
      <w:pPr>
        <w:pStyle w:val="ListParagraph"/>
        <w:numPr>
          <w:ilvl w:val="0"/>
          <w:numId w:val="2"/>
        </w:numPr>
        <w:spacing w:after="80" w:line="276"/>
      </w:pPr>
      <w:r>
        <w:t xml:space="preserve">Toutes les données conservent leur date de création, leur créateur, leur date de dernière modification et son auteur.</w:t>
      </w:r>
    </w:p>
    <w:p>
      <w:pPr>
        <w:pStyle w:val="ListParagraph"/>
        <w:numPr>
          <w:ilvl w:val="0"/>
          <w:numId w:val="2"/>
        </w:numPr>
        <w:spacing w:after="80" w:line="276"/>
      </w:pPr>
      <w:r>
        <w:t xml:space="preserve">Les documents sensibles conservent l'historique complet de leurs versions successives : réceptions et leurs lignes, ventes et leurs lignes, sessions de vente, tarifs, utilisateurs et stocks.</w:t>
      </w:r>
    </w:p>
    <w:p>
      <w:pPr>
        <w:pStyle w:val="ListParagraph"/>
        <w:numPr>
          <w:ilvl w:val="0"/>
          <w:numId w:val="2"/>
        </w:numPr>
        <w:spacing w:after="80" w:line="276"/>
      </w:pPr>
      <w:r>
        <w:t xml:space="preserve">Un journal d'actions enregistre les opérations sensibles — validation, annulation, modification après clôture, changement de droits, activation ou désactivation de compte — avec l'acteur, la cible, les valeurs avant et après, l'adresse IP et l'horodatage.</w:t>
      </w:r>
    </w:p>
    <w:p>
      <w:pPr>
        <w:spacing w:after="120" w:line="276"/>
      </w:pPr>
      <w:r>
        <w:t xml:space="preserve">Aucune donnée transactionnelle n'est jamais supprimée physiquement : les corrections passent par annulation logique, contre-passation ou document d'ajustement.</w:t>
      </w:r>
    </w:p>
    <w:p>
      <w:r>
        <w:br w:type="page"/>
      </w:r>
    </w:p>
    <w:p>
      <w:pPr>
        <w:pStyle w:val="Heading1"/>
        <w:spacing w:after="180" w:before="360"/>
      </w:pPr>
      <w:r>
        <w:t xml:space="preserve">14. Exigences d'ergonomie</w:t>
      </w:r>
    </w:p>
    <w:p>
      <w:pPr>
        <w:pStyle w:val="Heading2"/>
        <w:spacing w:after="140" w:before="280"/>
      </w:pPr>
      <w:r>
        <w:t xml:space="preserve">14.1 Principes</w:t>
      </w:r>
    </w:p>
    <w:p>
      <w:pPr>
        <w:pStyle w:val="ListParagraph"/>
        <w:numPr>
          <w:ilvl w:val="0"/>
          <w:numId w:val="2"/>
        </w:numPr>
        <w:spacing w:after="80" w:line="276"/>
      </w:pPr>
      <w:r>
        <w:t xml:space="preserve">Mobile d'abord : l'usage principal, au dépôt comme au bar, se fait sur téléphone. Les cibles tactiles font au moins 48 pixels.</w:t>
      </w:r>
    </w:p>
    <w:p>
      <w:pPr>
        <w:pStyle w:val="ListParagraph"/>
        <w:numPr>
          <w:ilvl w:val="0"/>
          <w:numId w:val="2"/>
        </w:numPr>
        <w:spacing w:after="80" w:line="276"/>
      </w:pPr>
      <w:r>
        <w:t xml:space="preserve">Écran de vente : sélection d'un produit en trois appuis au maximum, boutons de quantité de grande taille, total permanent en pied d'écran.</w:t>
      </w:r>
    </w:p>
    <w:p>
      <w:pPr>
        <w:pStyle w:val="ListParagraph"/>
        <w:numPr>
          <w:ilvl w:val="0"/>
          <w:numId w:val="2"/>
        </w:numPr>
        <w:spacing w:after="80" w:line="276"/>
      </w:pPr>
      <w:r>
        <w:t xml:space="preserve">Retour immédiat sur chaque action : message de succès ou message d'erreur explicite, en français.</w:t>
      </w:r>
    </w:p>
    <w:p>
      <w:pPr>
        <w:pStyle w:val="ListParagraph"/>
        <w:numPr>
          <w:ilvl w:val="0"/>
          <w:numId w:val="2"/>
        </w:numPr>
        <w:spacing w:after="80" w:line="276"/>
      </w:pPr>
      <w:r>
        <w:t xml:space="preserve">Écrans attendus : connexion, activation, tableau de bord, référentiel, utilisateurs, réception (saisie, récapitulatif, validation), vente au dépôt (sélection, panier, client, commande), vente au bar (tickets serveurs), transferts, clôture de session, rapports.</w:t>
      </w:r>
    </w:p>
    <w:p>
      <w:pPr>
        <w:pStyle w:val="Heading2"/>
        <w:spacing w:after="140" w:before="280"/>
      </w:pPr>
      <w:r>
        <w:t xml:space="preserve">14.2 Charte graphique</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2200"/>
        <w:gridCol w:w="1400"/>
        <w:gridCol w:w="5426"/>
      </w:tblGrid>
      <w:tr>
        <w:trPr>
          <w:tblHeader/>
        </w:trPr>
        <w:tc>
          <w:tcPr>
            <w:tcW w:type="dxa" w:w="2200"/>
            <w:shd w:fill="096A09" w:val="clear"/>
            <w:tcMar>
              <w:top w:type="dxa" w:w="80"/>
              <w:left w:type="dxa" w:w="120"/>
              <w:bottom w:type="dxa" w:w="80"/>
              <w:right w:type="dxa" w:w="120"/>
            </w:tcMar>
          </w:tcPr>
          <w:p>
            <w:pPr>
              <w:spacing w:after="0" w:line="264"/>
            </w:pPr>
            <w:r>
              <w:rPr>
                <w:b/>
                <w:bCs/>
                <w:color w:val="FFFFFF"/>
              </w:rPr>
              <w:t xml:space="preserve">Rôle</w:t>
            </w:r>
          </w:p>
        </w:tc>
        <w:tc>
          <w:tcPr>
            <w:tcW w:type="dxa" w:w="1400"/>
            <w:shd w:fill="096A09" w:val="clear"/>
            <w:tcMar>
              <w:top w:type="dxa" w:w="80"/>
              <w:left w:type="dxa" w:w="120"/>
              <w:bottom w:type="dxa" w:w="80"/>
              <w:right w:type="dxa" w:w="120"/>
            </w:tcMar>
          </w:tcPr>
          <w:p>
            <w:pPr>
              <w:spacing w:after="0" w:line="264"/>
            </w:pPr>
            <w:r>
              <w:rPr>
                <w:b/>
                <w:bCs/>
                <w:color w:val="FFFFFF"/>
              </w:rPr>
              <w:t xml:space="preserve">Code</w:t>
            </w:r>
          </w:p>
        </w:tc>
        <w:tc>
          <w:tcPr>
            <w:tcW w:type="dxa" w:w="5426"/>
            <w:shd w:fill="096A09" w:val="clear"/>
            <w:tcMar>
              <w:top w:type="dxa" w:w="80"/>
              <w:left w:type="dxa" w:w="120"/>
              <w:bottom w:type="dxa" w:w="80"/>
              <w:right w:type="dxa" w:w="120"/>
            </w:tcMar>
          </w:tcPr>
          <w:p>
            <w:pPr>
              <w:spacing w:after="0" w:line="264"/>
            </w:pPr>
            <w:r>
              <w:rPr>
                <w:b/>
                <w:bCs/>
                <w:color w:val="FFFFFF"/>
              </w:rPr>
              <w:t xml:space="preserve">Usage</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Vert primaire</w:t>
            </w:r>
          </w:p>
        </w:tc>
        <w:tc>
          <w:tcPr>
            <w:tcW w:type="dxa" w:w="1400"/>
            <w:shd w:fill="FFFFFF" w:val="clear"/>
            <w:tcMar>
              <w:top w:type="dxa" w:w="80"/>
              <w:left w:type="dxa" w:w="120"/>
              <w:bottom w:type="dxa" w:w="80"/>
              <w:right w:type="dxa" w:w="120"/>
            </w:tcMar>
          </w:tcPr>
          <w:p>
            <w:pPr>
              <w:spacing w:after="0" w:line="264"/>
            </w:pPr>
            <w:r>
              <w:rPr>
                <w:b w:val="false"/>
                <w:bCs w:val="false"/>
              </w:rPr>
              <w:t xml:space="preserve">#096A09</w:t>
            </w:r>
          </w:p>
        </w:tc>
        <w:tc>
          <w:tcPr>
            <w:tcW w:type="dxa" w:w="5426"/>
            <w:shd w:fill="FFFFFF" w:val="clear"/>
            <w:tcMar>
              <w:top w:type="dxa" w:w="80"/>
              <w:left w:type="dxa" w:w="120"/>
              <w:bottom w:type="dxa" w:w="80"/>
              <w:right w:type="dxa" w:w="120"/>
            </w:tcMar>
          </w:tcPr>
          <w:p>
            <w:pPr>
              <w:spacing w:after="0" w:line="264"/>
            </w:pPr>
            <w:r>
              <w:rPr>
                <w:b w:val="false"/>
                <w:bCs w:val="false"/>
              </w:rPr>
              <w:t xml:space="preserve">Barres, en-têtes, actions principales.</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Vert accent</w:t>
            </w:r>
          </w:p>
        </w:tc>
        <w:tc>
          <w:tcPr>
            <w:tcW w:type="dxa" w:w="1400"/>
            <w:shd w:fill="FFFFFF" w:val="clear"/>
            <w:tcMar>
              <w:top w:type="dxa" w:w="80"/>
              <w:left w:type="dxa" w:w="120"/>
              <w:bottom w:type="dxa" w:w="80"/>
              <w:right w:type="dxa" w:w="120"/>
            </w:tcMar>
          </w:tcPr>
          <w:p>
            <w:pPr>
              <w:spacing w:after="0" w:line="264"/>
            </w:pPr>
            <w:r>
              <w:rPr>
                <w:b w:val="false"/>
                <w:bCs w:val="false"/>
              </w:rPr>
              <w:t xml:space="preserve">#1FA055</w:t>
            </w:r>
          </w:p>
        </w:tc>
        <w:tc>
          <w:tcPr>
            <w:tcW w:type="dxa" w:w="5426"/>
            <w:shd w:fill="FFFFFF" w:val="clear"/>
            <w:tcMar>
              <w:top w:type="dxa" w:w="80"/>
              <w:left w:type="dxa" w:w="120"/>
              <w:bottom w:type="dxa" w:w="80"/>
              <w:right w:type="dxa" w:w="120"/>
            </w:tcMar>
          </w:tcPr>
          <w:p>
            <w:pPr>
              <w:spacing w:after="0" w:line="264"/>
            </w:pPr>
            <w:r>
              <w:rPr>
                <w:b w:val="false"/>
                <w:bCs w:val="false"/>
              </w:rPr>
              <w:t xml:space="preserve">Succès, validations, états positifs.</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Orange primaire</w:t>
            </w:r>
          </w:p>
        </w:tc>
        <w:tc>
          <w:tcPr>
            <w:tcW w:type="dxa" w:w="1400"/>
            <w:shd w:fill="FFFFFF" w:val="clear"/>
            <w:tcMar>
              <w:top w:type="dxa" w:w="80"/>
              <w:left w:type="dxa" w:w="120"/>
              <w:bottom w:type="dxa" w:w="80"/>
              <w:right w:type="dxa" w:w="120"/>
            </w:tcMar>
          </w:tcPr>
          <w:p>
            <w:pPr>
              <w:spacing w:after="0" w:line="264"/>
            </w:pPr>
            <w:r>
              <w:rPr>
                <w:b w:val="false"/>
                <w:bCs w:val="false"/>
              </w:rPr>
              <w:t xml:space="preserve">#DF6D14</w:t>
            </w:r>
          </w:p>
        </w:tc>
        <w:tc>
          <w:tcPr>
            <w:tcW w:type="dxa" w:w="5426"/>
            <w:shd w:fill="FFFFFF" w:val="clear"/>
            <w:tcMar>
              <w:top w:type="dxa" w:w="80"/>
              <w:left w:type="dxa" w:w="120"/>
              <w:bottom w:type="dxa" w:w="80"/>
              <w:right w:type="dxa" w:w="120"/>
            </w:tcMar>
          </w:tcPr>
          <w:p>
            <w:pPr>
              <w:spacing w:after="0" w:line="264"/>
            </w:pPr>
            <w:r>
              <w:rPr>
                <w:b w:val="false"/>
                <w:bCs w:val="false"/>
              </w:rPr>
              <w:t xml:space="preserve">Actions secondaires, alertes douces.</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Orange foncé</w:t>
            </w:r>
          </w:p>
        </w:tc>
        <w:tc>
          <w:tcPr>
            <w:tcW w:type="dxa" w:w="1400"/>
            <w:shd w:fill="FFFFFF" w:val="clear"/>
            <w:tcMar>
              <w:top w:type="dxa" w:w="80"/>
              <w:left w:type="dxa" w:w="120"/>
              <w:bottom w:type="dxa" w:w="80"/>
              <w:right w:type="dxa" w:w="120"/>
            </w:tcMar>
          </w:tcPr>
          <w:p>
            <w:pPr>
              <w:spacing w:after="0" w:line="264"/>
            </w:pPr>
            <w:r>
              <w:rPr>
                <w:b w:val="false"/>
                <w:bCs w:val="false"/>
              </w:rPr>
              <w:t xml:space="preserve">#CC5500</w:t>
            </w:r>
          </w:p>
        </w:tc>
        <w:tc>
          <w:tcPr>
            <w:tcW w:type="dxa" w:w="5426"/>
            <w:shd w:fill="FFFFFF" w:val="clear"/>
            <w:tcMar>
              <w:top w:type="dxa" w:w="80"/>
              <w:left w:type="dxa" w:w="120"/>
              <w:bottom w:type="dxa" w:w="80"/>
              <w:right w:type="dxa" w:w="120"/>
            </w:tcMar>
          </w:tcPr>
          <w:p>
            <w:pPr>
              <w:spacing w:after="0" w:line="264"/>
            </w:pPr>
            <w:r>
              <w:rPr>
                <w:b w:val="false"/>
                <w:bCs w:val="false"/>
              </w:rPr>
              <w:t xml:space="preserve">Survol et appui de l'orange, avertissements.</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Fond</w:t>
            </w:r>
          </w:p>
        </w:tc>
        <w:tc>
          <w:tcPr>
            <w:tcW w:type="dxa" w:w="1400"/>
            <w:shd w:fill="FFFFFF" w:val="clear"/>
            <w:tcMar>
              <w:top w:type="dxa" w:w="80"/>
              <w:left w:type="dxa" w:w="120"/>
              <w:bottom w:type="dxa" w:w="80"/>
              <w:right w:type="dxa" w:w="120"/>
            </w:tcMar>
          </w:tcPr>
          <w:p>
            <w:pPr>
              <w:spacing w:after="0" w:line="264"/>
            </w:pPr>
            <w:r>
              <w:rPr>
                <w:b w:val="false"/>
                <w:bCs w:val="false"/>
              </w:rPr>
              <w:t xml:space="preserve">#EFEFEF</w:t>
            </w:r>
          </w:p>
        </w:tc>
        <w:tc>
          <w:tcPr>
            <w:tcW w:type="dxa" w:w="5426"/>
            <w:shd w:fill="FFFFFF" w:val="clear"/>
            <w:tcMar>
              <w:top w:type="dxa" w:w="80"/>
              <w:left w:type="dxa" w:w="120"/>
              <w:bottom w:type="dxa" w:w="80"/>
              <w:right w:type="dxa" w:w="120"/>
            </w:tcMar>
          </w:tcPr>
          <w:p>
            <w:pPr>
              <w:spacing w:after="0" w:line="264"/>
            </w:pPr>
            <w:r>
              <w:rPr>
                <w:b w:val="false"/>
                <w:bCs w:val="false"/>
              </w:rPr>
              <w:t xml:space="preserve">Fond général de l'application.</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Surface</w:t>
            </w:r>
          </w:p>
        </w:tc>
        <w:tc>
          <w:tcPr>
            <w:tcW w:type="dxa" w:w="1400"/>
            <w:shd w:fill="FFFFFF" w:val="clear"/>
            <w:tcMar>
              <w:top w:type="dxa" w:w="80"/>
              <w:left w:type="dxa" w:w="120"/>
              <w:bottom w:type="dxa" w:w="80"/>
              <w:right w:type="dxa" w:w="120"/>
            </w:tcMar>
          </w:tcPr>
          <w:p>
            <w:pPr>
              <w:spacing w:after="0" w:line="264"/>
            </w:pPr>
            <w:r>
              <w:rPr>
                <w:b w:val="false"/>
                <w:bCs w:val="false"/>
              </w:rPr>
              <w:t xml:space="preserve">#FFFFFF</w:t>
            </w:r>
          </w:p>
        </w:tc>
        <w:tc>
          <w:tcPr>
            <w:tcW w:type="dxa" w:w="5426"/>
            <w:shd w:fill="FFFFFF" w:val="clear"/>
            <w:tcMar>
              <w:top w:type="dxa" w:w="80"/>
              <w:left w:type="dxa" w:w="120"/>
              <w:bottom w:type="dxa" w:w="80"/>
              <w:right w:type="dxa" w:w="120"/>
            </w:tcMar>
          </w:tcPr>
          <w:p>
            <w:pPr>
              <w:spacing w:after="0" w:line="264"/>
            </w:pPr>
            <w:r>
              <w:rPr>
                <w:b w:val="false"/>
                <w:bCs w:val="false"/>
              </w:rPr>
              <w:t xml:space="preserve">Cartes, tableaux.</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Texte</w:t>
            </w:r>
          </w:p>
        </w:tc>
        <w:tc>
          <w:tcPr>
            <w:tcW w:type="dxa" w:w="1400"/>
            <w:shd w:fill="FFFFFF" w:val="clear"/>
            <w:tcMar>
              <w:top w:type="dxa" w:w="80"/>
              <w:left w:type="dxa" w:w="120"/>
              <w:bottom w:type="dxa" w:w="80"/>
              <w:right w:type="dxa" w:w="120"/>
            </w:tcMar>
          </w:tcPr>
          <w:p>
            <w:pPr>
              <w:spacing w:after="0" w:line="264"/>
            </w:pPr>
            <w:r>
              <w:rPr>
                <w:b w:val="false"/>
                <w:bCs w:val="false"/>
              </w:rPr>
              <w:t xml:space="preserve">#1B1B1B</w:t>
            </w:r>
          </w:p>
        </w:tc>
        <w:tc>
          <w:tcPr>
            <w:tcW w:type="dxa" w:w="5426"/>
            <w:shd w:fill="FFFFFF" w:val="clear"/>
            <w:tcMar>
              <w:top w:type="dxa" w:w="80"/>
              <w:left w:type="dxa" w:w="120"/>
              <w:bottom w:type="dxa" w:w="80"/>
              <w:right w:type="dxa" w:w="120"/>
            </w:tcMar>
          </w:tcPr>
          <w:p>
            <w:pPr>
              <w:spacing w:after="0" w:line="264"/>
            </w:pPr>
            <w:r>
              <w:rPr>
                <w:b w:val="false"/>
                <w:bCs w:val="false"/>
              </w:rPr>
              <w:t xml:space="preserve">Texte courant.</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Texte inversé</w:t>
            </w:r>
          </w:p>
        </w:tc>
        <w:tc>
          <w:tcPr>
            <w:tcW w:type="dxa" w:w="1400"/>
            <w:shd w:fill="FFFFFF" w:val="clear"/>
            <w:tcMar>
              <w:top w:type="dxa" w:w="80"/>
              <w:left w:type="dxa" w:w="120"/>
              <w:bottom w:type="dxa" w:w="80"/>
              <w:right w:type="dxa" w:w="120"/>
            </w:tcMar>
          </w:tcPr>
          <w:p>
            <w:pPr>
              <w:spacing w:after="0" w:line="264"/>
            </w:pPr>
            <w:r>
              <w:rPr>
                <w:b w:val="false"/>
                <w:bCs w:val="false"/>
              </w:rPr>
              <w:t xml:space="preserve">#FFFFFF</w:t>
            </w:r>
          </w:p>
        </w:tc>
        <w:tc>
          <w:tcPr>
            <w:tcW w:type="dxa" w:w="5426"/>
            <w:shd w:fill="FFFFFF" w:val="clear"/>
            <w:tcMar>
              <w:top w:type="dxa" w:w="80"/>
              <w:left w:type="dxa" w:w="120"/>
              <w:bottom w:type="dxa" w:w="80"/>
              <w:right w:type="dxa" w:w="120"/>
            </w:tcMar>
          </w:tcPr>
          <w:p>
            <w:pPr>
              <w:spacing w:after="0" w:line="264"/>
            </w:pPr>
            <w:r>
              <w:rPr>
                <w:b w:val="false"/>
                <w:bCs w:val="false"/>
              </w:rPr>
              <w:t xml:space="preserve">Texte sur fond vert ou orange foncé.</w:t>
            </w:r>
          </w:p>
        </w:tc>
      </w:tr>
      <w:tr>
        <w:tc>
          <w:tcPr>
            <w:tcW w:type="dxa" w:w="2200"/>
            <w:shd w:fill="FFFFFF" w:val="clear"/>
            <w:tcMar>
              <w:top w:type="dxa" w:w="80"/>
              <w:left w:type="dxa" w:w="120"/>
              <w:bottom w:type="dxa" w:w="80"/>
              <w:right w:type="dxa" w:w="120"/>
            </w:tcMar>
          </w:tcPr>
          <w:p>
            <w:pPr>
              <w:spacing w:after="0" w:line="264"/>
            </w:pPr>
            <w:r>
              <w:rPr>
                <w:b w:val="false"/>
                <w:bCs w:val="false"/>
              </w:rPr>
              <w:t xml:space="preserve">Erreur</w:t>
            </w:r>
          </w:p>
        </w:tc>
        <w:tc>
          <w:tcPr>
            <w:tcW w:type="dxa" w:w="1400"/>
            <w:shd w:fill="FFFFFF" w:val="clear"/>
            <w:tcMar>
              <w:top w:type="dxa" w:w="80"/>
              <w:left w:type="dxa" w:w="120"/>
              <w:bottom w:type="dxa" w:w="80"/>
              <w:right w:type="dxa" w:w="120"/>
            </w:tcMar>
          </w:tcPr>
          <w:p>
            <w:pPr>
              <w:spacing w:after="0" w:line="264"/>
            </w:pPr>
            <w:r>
              <w:rPr>
                <w:b w:val="false"/>
                <w:bCs w:val="false"/>
              </w:rPr>
              <w:t xml:space="preserve">#B3261E</w:t>
            </w:r>
          </w:p>
        </w:tc>
        <w:tc>
          <w:tcPr>
            <w:tcW w:type="dxa" w:w="5426"/>
            <w:shd w:fill="FFFFFF" w:val="clear"/>
            <w:tcMar>
              <w:top w:type="dxa" w:w="80"/>
              <w:left w:type="dxa" w:w="120"/>
              <w:bottom w:type="dxa" w:w="80"/>
              <w:right w:type="dxa" w:w="120"/>
            </w:tcMar>
          </w:tcPr>
          <w:p>
            <w:pPr>
              <w:spacing w:after="0" w:line="264"/>
            </w:pPr>
            <w:r>
              <w:rPr>
                <w:b w:val="false"/>
                <w:bCs w:val="false"/>
              </w:rPr>
              <w:t xml:space="preserve">Actions destructrices : annulation, suppression.</w:t>
            </w:r>
          </w:p>
        </w:tc>
      </w:tr>
    </w:tbl>
    <w:p>
      <w:pPr>
        <w:spacing w:after="160"/>
      </w:pPr>
    </w:p>
    <w:p>
      <w:pPr>
        <w:spacing w:after="120" w:line="276"/>
      </w:pPr>
      <w:r>
        <w:t xml:space="preserve">Le texte blanc n'est utilisé que sur le vert primaire et l'orange foncé, seuls contrastes conformes au niveau AA. Le vert accent et l'orange primaire en aplat ne portent pas de texte blanc en petite taille : ils sont réservés aux bordures et aux icônes, ou associés au texte sombre. Le rouge est strictement réservé aux actions destructrices.</w:t>
      </w:r>
    </w:p>
    <w:p>
      <w:r>
        <w:br w:type="page"/>
      </w:r>
    </w:p>
    <w:p>
      <w:pPr>
        <w:pStyle w:val="Heading1"/>
        <w:spacing w:after="180" w:before="360"/>
      </w:pPr>
      <w:r>
        <w:t xml:space="preserve">Annexe A — Récapitulatif des règles de gestion</w:t>
      </w:r>
    </w:p>
    <w:p>
      <w:pPr>
        <w:spacing w:after="120" w:line="276"/>
      </w:pPr>
      <w:r>
        <w:t xml:space="preserve">Les 36 règles ci-dessous sont contraignantes. Chacune est implémentée et référencée dans le code par son identifiant.</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900"/>
        <w:gridCol w:w="2000"/>
        <w:gridCol w:w="6126"/>
      </w:tblGrid>
      <w:tr>
        <w:trPr>
          <w:tblHeader/>
        </w:trPr>
        <w:tc>
          <w:tcPr>
            <w:tcW w:type="dxa" w:w="900"/>
            <w:shd w:fill="096A09" w:val="clear"/>
            <w:tcMar>
              <w:top w:type="dxa" w:w="80"/>
              <w:left w:type="dxa" w:w="120"/>
              <w:bottom w:type="dxa" w:w="80"/>
              <w:right w:type="dxa" w:w="120"/>
            </w:tcMar>
          </w:tcPr>
          <w:p>
            <w:pPr>
              <w:spacing w:after="0" w:line="264"/>
            </w:pPr>
            <w:r>
              <w:rPr>
                <w:b/>
                <w:bCs/>
                <w:color w:val="FFFFFF"/>
              </w:rPr>
              <w:t xml:space="preserve">Code</w:t>
            </w:r>
          </w:p>
        </w:tc>
        <w:tc>
          <w:tcPr>
            <w:tcW w:type="dxa" w:w="2000"/>
            <w:shd w:fill="096A09" w:val="clear"/>
            <w:tcMar>
              <w:top w:type="dxa" w:w="80"/>
              <w:left w:type="dxa" w:w="120"/>
              <w:bottom w:type="dxa" w:w="80"/>
              <w:right w:type="dxa" w:w="120"/>
            </w:tcMar>
          </w:tcPr>
          <w:p>
            <w:pPr>
              <w:spacing w:after="0" w:line="264"/>
            </w:pPr>
            <w:r>
              <w:rPr>
                <w:b/>
                <w:bCs/>
                <w:color w:val="FFFFFF"/>
              </w:rPr>
              <w:t xml:space="preserve">Objet</w:t>
            </w:r>
          </w:p>
        </w:tc>
        <w:tc>
          <w:tcPr>
            <w:tcW w:type="dxa" w:w="6126"/>
            <w:shd w:fill="096A09" w:val="clear"/>
            <w:tcMar>
              <w:top w:type="dxa" w:w="80"/>
              <w:left w:type="dxa" w:w="120"/>
              <w:bottom w:type="dxa" w:w="80"/>
              <w:right w:type="dxa" w:w="120"/>
            </w:tcMar>
          </w:tcPr>
          <w:p>
            <w:pPr>
              <w:spacing w:after="0" w:line="264"/>
            </w:pPr>
            <w:r>
              <w:rPr>
                <w:b/>
                <w:bCs/>
                <w:color w:val="FFFFFF"/>
              </w:rPr>
              <w:t xml:space="preserve">Énoncé</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RG-01</w:t>
            </w:r>
          </w:p>
        </w:tc>
        <w:tc>
          <w:tcPr>
            <w:tcW w:type="dxa" w:w="2000"/>
            <w:shd w:fill="FFFFFF" w:val="clear"/>
            <w:tcMar>
              <w:top w:type="dxa" w:w="80"/>
              <w:left w:type="dxa" w:w="120"/>
              <w:bottom w:type="dxa" w:w="80"/>
              <w:right w:type="dxa" w:w="120"/>
            </w:tcMar>
          </w:tcPr>
          <w:p>
            <w:pPr>
              <w:spacing w:after="0" w:line="264"/>
            </w:pPr>
            <w:r>
              <w:rPr>
                <w:b w:val="false"/>
                <w:bCs w:val="false"/>
              </w:rPr>
              <w:t xml:space="preserve">Séparation des tâches</w:t>
            </w:r>
          </w:p>
        </w:tc>
        <w:tc>
          <w:tcPr>
            <w:tcW w:type="dxa" w:w="6126"/>
            <w:shd w:fill="FFFFFF" w:val="clear"/>
            <w:tcMar>
              <w:top w:type="dxa" w:w="80"/>
              <w:left w:type="dxa" w:w="120"/>
              <w:bottom w:type="dxa" w:w="80"/>
              <w:right w:type="dxa" w:w="120"/>
            </w:tcMar>
          </w:tcPr>
          <w:p>
            <w:pPr>
              <w:spacing w:after="0" w:line="264"/>
            </w:pPr>
            <w:r>
              <w:rPr>
                <w:b w:val="false"/>
                <w:bCs w:val="false"/>
              </w:rPr>
              <w:t xml:space="preserve">La validation définitive d'une réception, d'un transfert ou d'une session de vente est réservée au super administrateur. Assouplie sur la réception et la session de vente (il peut valider ce qu'il a clôturé), stricte sur le transfert.</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RG-02</w:t>
            </w:r>
          </w:p>
        </w:tc>
        <w:tc>
          <w:tcPr>
            <w:tcW w:type="dxa" w:w="2000"/>
            <w:shd w:fill="FFFFFF" w:val="clear"/>
            <w:tcMar>
              <w:top w:type="dxa" w:w="80"/>
              <w:left w:type="dxa" w:w="120"/>
              <w:bottom w:type="dxa" w:w="80"/>
              <w:right w:type="dxa" w:w="120"/>
            </w:tcMar>
          </w:tcPr>
          <w:p>
            <w:pPr>
              <w:spacing w:after="0" w:line="264"/>
            </w:pPr>
            <w:r>
              <w:rPr>
                <w:b w:val="false"/>
                <w:bCs w:val="false"/>
              </w:rPr>
              <w:t xml:space="preserve">Mot de passe</w:t>
            </w:r>
          </w:p>
        </w:tc>
        <w:tc>
          <w:tcPr>
            <w:tcW w:type="dxa" w:w="6126"/>
            <w:shd w:fill="FFFFFF" w:val="clear"/>
            <w:tcMar>
              <w:top w:type="dxa" w:w="80"/>
              <w:left w:type="dxa" w:w="120"/>
              <w:bottom w:type="dxa" w:w="80"/>
              <w:right w:type="dxa" w:w="120"/>
            </w:tcMar>
          </w:tcPr>
          <w:p>
            <w:pPr>
              <w:spacing w:after="0" w:line="264"/>
            </w:pPr>
            <w:r>
              <w:rPr>
                <w:b w:val="false"/>
                <w:bCs w:val="false"/>
              </w:rPr>
              <w:t xml:space="preserve">Au moins 10 caractères, dont une minuscule, une majuscule et un chiffre.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RG-03</w:t>
            </w:r>
          </w:p>
        </w:tc>
        <w:tc>
          <w:tcPr>
            <w:tcW w:type="dxa" w:w="2000"/>
            <w:shd w:fill="FFFFFF" w:val="clear"/>
            <w:tcMar>
              <w:top w:type="dxa" w:w="80"/>
              <w:left w:type="dxa" w:w="120"/>
              <w:bottom w:type="dxa" w:w="80"/>
              <w:right w:type="dxa" w:w="120"/>
            </w:tcMar>
          </w:tcPr>
          <w:p>
            <w:pPr>
              <w:spacing w:after="0" w:line="264"/>
            </w:pPr>
            <w:r>
              <w:rPr>
                <w:b w:val="false"/>
                <w:bCs w:val="false"/>
              </w:rPr>
              <w:t xml:space="preserve">Code OTP</w:t>
            </w:r>
          </w:p>
        </w:tc>
        <w:tc>
          <w:tcPr>
            <w:tcW w:type="dxa" w:w="6126"/>
            <w:shd w:fill="FFFFFF" w:val="clear"/>
            <w:tcMar>
              <w:top w:type="dxa" w:w="80"/>
              <w:left w:type="dxa" w:w="120"/>
              <w:bottom w:type="dxa" w:w="80"/>
              <w:right w:type="dxa" w:w="120"/>
            </w:tcMar>
          </w:tcPr>
          <w:p>
            <w:pPr>
              <w:spacing w:after="0" w:line="264"/>
            </w:pPr>
            <w:r>
              <w:rPr>
                <w:b w:val="false"/>
                <w:bCs w:val="false"/>
              </w:rPr>
              <w:t xml:space="preserve">6 chiffres, valable 10 minutes, 5 tentatives maximum, 3 renvois maximum par heure.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RG-04</w:t>
            </w:r>
          </w:p>
        </w:tc>
        <w:tc>
          <w:tcPr>
            <w:tcW w:type="dxa" w:w="2000"/>
            <w:shd w:fill="FFFFFF" w:val="clear"/>
            <w:tcMar>
              <w:top w:type="dxa" w:w="80"/>
              <w:left w:type="dxa" w:w="120"/>
              <w:bottom w:type="dxa" w:w="80"/>
              <w:right w:type="dxa" w:w="120"/>
            </w:tcMar>
          </w:tcPr>
          <w:p>
            <w:pPr>
              <w:spacing w:after="0" w:line="264"/>
            </w:pPr>
            <w:r>
              <w:rPr>
                <w:b w:val="false"/>
                <w:bCs w:val="false"/>
              </w:rPr>
              <w:t xml:space="preserve">Messages génériques</w:t>
            </w:r>
          </w:p>
        </w:tc>
        <w:tc>
          <w:tcPr>
            <w:tcW w:type="dxa" w:w="6126"/>
            <w:shd w:fill="FFFFFF" w:val="clear"/>
            <w:tcMar>
              <w:top w:type="dxa" w:w="80"/>
              <w:left w:type="dxa" w:w="120"/>
              <w:bottom w:type="dxa" w:w="80"/>
              <w:right w:type="dxa" w:w="120"/>
            </w:tcMar>
          </w:tcPr>
          <w:p>
            <w:pPr>
              <w:spacing w:after="0" w:line="264"/>
            </w:pPr>
            <w:r>
              <w:rPr>
                <w:b w:val="false"/>
                <w:bCs w:val="false"/>
              </w:rPr>
              <w:t xml:space="preserve">Un lien ou un OTP consommé, expiré ou invalide renvoie toujours le même message, sans révéler l'existence d'un compte.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RG-05</w:t>
            </w:r>
          </w:p>
        </w:tc>
        <w:tc>
          <w:tcPr>
            <w:tcW w:type="dxa" w:w="2000"/>
            <w:shd w:fill="FFFFFF" w:val="clear"/>
            <w:tcMar>
              <w:top w:type="dxa" w:w="80"/>
              <w:left w:type="dxa" w:w="120"/>
              <w:bottom w:type="dxa" w:w="80"/>
              <w:right w:type="dxa" w:w="120"/>
            </w:tcMar>
          </w:tcPr>
          <w:p>
            <w:pPr>
              <w:spacing w:after="0" w:line="264"/>
            </w:pPr>
            <w:r>
              <w:rPr>
                <w:b w:val="false"/>
                <w:bCs w:val="false"/>
              </w:rPr>
              <w:t xml:space="preserve">Archivage</w:t>
            </w:r>
          </w:p>
        </w:tc>
        <w:tc>
          <w:tcPr>
            <w:tcW w:type="dxa" w:w="6126"/>
            <w:shd w:fill="FFFFFF" w:val="clear"/>
            <w:tcMar>
              <w:top w:type="dxa" w:w="80"/>
              <w:left w:type="dxa" w:w="120"/>
              <w:bottom w:type="dxa" w:w="80"/>
              <w:right w:type="dxa" w:w="120"/>
            </w:tcMar>
          </w:tcPr>
          <w:p>
            <w:pPr>
              <w:spacing w:after="0" w:line="264"/>
            </w:pPr>
            <w:r>
              <w:rPr>
                <w:b w:val="false"/>
                <w:bCs w:val="false"/>
              </w:rPr>
              <w:t xml:space="preserve">La suppression d'un utilisateur est une désactivation suivie d'un archivage. Aucune suppression physique.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RG-06</w:t>
            </w:r>
          </w:p>
        </w:tc>
        <w:tc>
          <w:tcPr>
            <w:tcW w:type="dxa" w:w="2000"/>
            <w:shd w:fill="FFFFFF" w:val="clear"/>
            <w:tcMar>
              <w:top w:type="dxa" w:w="80"/>
              <w:left w:type="dxa" w:w="120"/>
              <w:bottom w:type="dxa" w:w="80"/>
              <w:right w:type="dxa" w:w="120"/>
            </w:tcMar>
          </w:tcPr>
          <w:p>
            <w:pPr>
              <w:spacing w:after="0" w:line="264"/>
            </w:pPr>
            <w:r>
              <w:rPr>
                <w:b w:val="false"/>
                <w:bCs w:val="false"/>
              </w:rPr>
              <w:t xml:space="preserve">Protection des droits</w:t>
            </w:r>
          </w:p>
        </w:tc>
        <w:tc>
          <w:tcPr>
            <w:tcW w:type="dxa" w:w="6126"/>
            <w:shd w:fill="FFFFFF" w:val="clear"/>
            <w:tcMar>
              <w:top w:type="dxa" w:w="80"/>
              <w:left w:type="dxa" w:w="120"/>
              <w:bottom w:type="dxa" w:w="80"/>
              <w:right w:type="dxa" w:w="120"/>
            </w:tcMar>
          </w:tcPr>
          <w:p>
            <w:pPr>
              <w:spacing w:after="0" w:line="264"/>
            </w:pPr>
            <w:r>
              <w:rPr>
                <w:b w:val="false"/>
                <w:bCs w:val="false"/>
              </w:rPr>
              <w:t xml:space="preserve">Pas d'auto-désactivation ni de retrait de son propre rôle. Au moins un super administrateur actif en permanence.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RG-07</w:t>
            </w:r>
          </w:p>
        </w:tc>
        <w:tc>
          <w:tcPr>
            <w:tcW w:type="dxa" w:w="2000"/>
            <w:shd w:fill="FFFFFF" w:val="clear"/>
            <w:tcMar>
              <w:top w:type="dxa" w:w="80"/>
              <w:left w:type="dxa" w:w="120"/>
              <w:bottom w:type="dxa" w:w="80"/>
              <w:right w:type="dxa" w:w="120"/>
            </w:tcMar>
          </w:tcPr>
          <w:p>
            <w:pPr>
              <w:spacing w:after="0" w:line="264"/>
            </w:pPr>
            <w:r>
              <w:rPr>
                <w:b w:val="false"/>
                <w:bCs w:val="false"/>
              </w:rPr>
              <w:t xml:space="preserve">Identité client</w:t>
            </w:r>
          </w:p>
        </w:tc>
        <w:tc>
          <w:tcPr>
            <w:tcW w:type="dxa" w:w="6126"/>
            <w:shd w:fill="FFFFFF" w:val="clear"/>
            <w:tcMar>
              <w:top w:type="dxa" w:w="80"/>
              <w:left w:type="dxa" w:w="120"/>
              <w:bottom w:type="dxa" w:w="80"/>
              <w:right w:type="dxa" w:w="120"/>
            </w:tcMar>
          </w:tcPr>
          <w:p>
            <w:pPr>
              <w:spacing w:after="0" w:line="264"/>
            </w:pPr>
            <w:r>
              <w:rPr>
                <w:b w:val="false"/>
                <w:bCs w:val="false"/>
              </w:rPr>
              <w:t xml:space="preserve">Raison sociale obligatoire pour une entreprise et interdite sinon ; nom et prénoms obligatoires pour un particulier.</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RG-08</w:t>
            </w:r>
          </w:p>
        </w:tc>
        <w:tc>
          <w:tcPr>
            <w:tcW w:type="dxa" w:w="2000"/>
            <w:shd w:fill="FFFFFF" w:val="clear"/>
            <w:tcMar>
              <w:top w:type="dxa" w:w="80"/>
              <w:left w:type="dxa" w:w="120"/>
              <w:bottom w:type="dxa" w:w="80"/>
              <w:right w:type="dxa" w:w="120"/>
            </w:tcMar>
          </w:tcPr>
          <w:p>
            <w:pPr>
              <w:spacing w:after="0" w:line="264"/>
            </w:pPr>
            <w:r>
              <w:rPr>
                <w:b w:val="false"/>
                <w:bCs w:val="false"/>
              </w:rPr>
              <w:t xml:space="preserve">Unicité du tarif</w:t>
            </w:r>
          </w:p>
        </w:tc>
        <w:tc>
          <w:tcPr>
            <w:tcW w:type="dxa" w:w="6126"/>
            <w:shd w:fill="FFFFFF" w:val="clear"/>
            <w:tcMar>
              <w:top w:type="dxa" w:w="80"/>
              <w:left w:type="dxa" w:w="120"/>
              <w:bottom w:type="dxa" w:w="80"/>
              <w:right w:type="dxa" w:w="120"/>
            </w:tcMar>
          </w:tcPr>
          <w:p>
            <w:pPr>
              <w:spacing w:after="0" w:line="264"/>
            </w:pPr>
            <w:r>
              <w:rPr>
                <w:b w:val="false"/>
                <w:bCs w:val="false"/>
              </w:rPr>
              <w:t xml:space="preserve">Un seul tarif actif par point de vente, produit, unité de vente et nature à un instant donné.</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RG-09</w:t>
            </w:r>
          </w:p>
        </w:tc>
        <w:tc>
          <w:tcPr>
            <w:tcW w:type="dxa" w:w="2000"/>
            <w:shd w:fill="FFFFFF" w:val="clear"/>
            <w:tcMar>
              <w:top w:type="dxa" w:w="80"/>
              <w:left w:type="dxa" w:w="120"/>
              <w:bottom w:type="dxa" w:w="80"/>
              <w:right w:type="dxa" w:w="120"/>
            </w:tcMar>
          </w:tcPr>
          <w:p>
            <w:pPr>
              <w:spacing w:after="0" w:line="264"/>
            </w:pPr>
            <w:r>
              <w:rPr>
                <w:b w:val="false"/>
                <w:bCs w:val="false"/>
              </w:rPr>
              <w:t xml:space="preserve">Prix figé</w:t>
            </w:r>
          </w:p>
        </w:tc>
        <w:tc>
          <w:tcPr>
            <w:tcW w:type="dxa" w:w="6126"/>
            <w:shd w:fill="FFFFFF" w:val="clear"/>
            <w:tcMar>
              <w:top w:type="dxa" w:w="80"/>
              <w:left w:type="dxa" w:w="120"/>
              <w:bottom w:type="dxa" w:w="80"/>
              <w:right w:type="dxa" w:w="120"/>
            </w:tcMar>
          </w:tcPr>
          <w:p>
            <w:pPr>
              <w:spacing w:after="0" w:line="264"/>
            </w:pPr>
            <w:r>
              <w:rPr>
                <w:b w:val="false"/>
                <w:bCs w:val="false"/>
              </w:rPr>
              <w:t xml:space="preserve">Toute ligne de document fige son prix unitaire à sa création.</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RG-10</w:t>
            </w:r>
          </w:p>
        </w:tc>
        <w:tc>
          <w:tcPr>
            <w:tcW w:type="dxa" w:w="2000"/>
            <w:shd w:fill="FFFFFF" w:val="clear"/>
            <w:tcMar>
              <w:top w:type="dxa" w:w="80"/>
              <w:left w:type="dxa" w:w="120"/>
              <w:bottom w:type="dxa" w:w="80"/>
              <w:right w:type="dxa" w:w="120"/>
            </w:tcMar>
          </w:tcPr>
          <w:p>
            <w:pPr>
              <w:spacing w:after="0" w:line="264"/>
            </w:pPr>
            <w:r>
              <w:rPr>
                <w:b w:val="false"/>
                <w:bCs w:val="false"/>
              </w:rPr>
              <w:t xml:space="preserve">Unité par type de PDV</w:t>
            </w:r>
          </w:p>
        </w:tc>
        <w:tc>
          <w:tcPr>
            <w:tcW w:type="dxa" w:w="6126"/>
            <w:shd w:fill="FFFFFF" w:val="clear"/>
            <w:tcMar>
              <w:top w:type="dxa" w:w="80"/>
              <w:left w:type="dxa" w:w="120"/>
              <w:bottom w:type="dxa" w:w="80"/>
              <w:right w:type="dxa" w:w="120"/>
            </w:tcMar>
          </w:tcPr>
          <w:p>
            <w:pPr>
              <w:spacing w:after="0" w:line="264"/>
            </w:pPr>
            <w:r>
              <w:rPr>
                <w:b w:val="false"/>
                <w:bCs w:val="false"/>
              </w:rPr>
              <w:t xml:space="preserve">Le dépôt ne vend qu'au casier, le bar qu'à la bouteille.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RG-11</w:t>
            </w:r>
          </w:p>
        </w:tc>
        <w:tc>
          <w:tcPr>
            <w:tcW w:type="dxa" w:w="2000"/>
            <w:shd w:fill="FFFFFF" w:val="clear"/>
            <w:tcMar>
              <w:top w:type="dxa" w:w="80"/>
              <w:left w:type="dxa" w:w="120"/>
              <w:bottom w:type="dxa" w:w="80"/>
              <w:right w:type="dxa" w:w="120"/>
            </w:tcMar>
          </w:tcPr>
          <w:p>
            <w:pPr>
              <w:spacing w:after="0" w:line="264"/>
            </w:pPr>
            <w:r>
              <w:rPr>
                <w:b w:val="false"/>
                <w:bCs w:val="false"/>
              </w:rPr>
              <w:t xml:space="preserve">Stock dépôt</w:t>
            </w:r>
          </w:p>
        </w:tc>
        <w:tc>
          <w:tcPr>
            <w:tcW w:type="dxa" w:w="6126"/>
            <w:shd w:fill="FFFFFF" w:val="clear"/>
            <w:tcMar>
              <w:top w:type="dxa" w:w="80"/>
              <w:left w:type="dxa" w:w="120"/>
              <w:bottom w:type="dxa" w:w="80"/>
              <w:right w:type="dxa" w:w="120"/>
            </w:tcMar>
          </w:tcPr>
          <w:p>
            <w:pPr>
              <w:spacing w:after="0" w:line="264"/>
            </w:pPr>
            <w:r>
              <w:rPr>
                <w:b w:val="false"/>
                <w:bCs w:val="false"/>
              </w:rPr>
              <w:t xml:space="preserve">Quantités stockées en demi-casiers entiers ; l'interface saisit et affiche des casiers.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RG-12</w:t>
            </w:r>
          </w:p>
        </w:tc>
        <w:tc>
          <w:tcPr>
            <w:tcW w:type="dxa" w:w="2000"/>
            <w:shd w:fill="FFFFFF" w:val="clear"/>
            <w:tcMar>
              <w:top w:type="dxa" w:w="80"/>
              <w:left w:type="dxa" w:w="120"/>
              <w:bottom w:type="dxa" w:w="80"/>
              <w:right w:type="dxa" w:w="120"/>
            </w:tcMar>
          </w:tcPr>
          <w:p>
            <w:pPr>
              <w:spacing w:after="0" w:line="264"/>
            </w:pPr>
            <w:r>
              <w:rPr>
                <w:b w:val="false"/>
                <w:bCs w:val="false"/>
              </w:rPr>
              <w:t xml:space="preserve">Stock bar</w:t>
            </w:r>
          </w:p>
        </w:tc>
        <w:tc>
          <w:tcPr>
            <w:tcW w:type="dxa" w:w="6126"/>
            <w:shd w:fill="FFFFFF" w:val="clear"/>
            <w:tcMar>
              <w:top w:type="dxa" w:w="80"/>
              <w:left w:type="dxa" w:w="120"/>
              <w:bottom w:type="dxa" w:w="80"/>
              <w:right w:type="dxa" w:w="120"/>
            </w:tcMar>
          </w:tcPr>
          <w:p>
            <w:pPr>
              <w:spacing w:after="0" w:line="264"/>
            </w:pPr>
            <w:r>
              <w:rPr>
                <w:b w:val="false"/>
                <w:bCs w:val="false"/>
              </w:rPr>
              <w:t xml:space="preserve">Quantités stockées en bouteilles entières.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RG-13</w:t>
            </w:r>
          </w:p>
        </w:tc>
        <w:tc>
          <w:tcPr>
            <w:tcW w:type="dxa" w:w="2000"/>
            <w:shd w:fill="FFFFFF" w:val="clear"/>
            <w:tcMar>
              <w:top w:type="dxa" w:w="80"/>
              <w:left w:type="dxa" w:w="120"/>
              <w:bottom w:type="dxa" w:w="80"/>
              <w:right w:type="dxa" w:w="120"/>
            </w:tcMar>
          </w:tcPr>
          <w:p>
            <w:pPr>
              <w:spacing w:after="0" w:line="264"/>
            </w:pPr>
            <w:r>
              <w:rPr>
                <w:b w:val="false"/>
                <w:bCs w:val="false"/>
              </w:rPr>
              <w:t xml:space="preserve">Demi-casier</w:t>
            </w:r>
          </w:p>
        </w:tc>
        <w:tc>
          <w:tcPr>
            <w:tcW w:type="dxa" w:w="6126"/>
            <w:shd w:fill="FFFFFF" w:val="clear"/>
            <w:tcMar>
              <w:top w:type="dxa" w:w="80"/>
              <w:left w:type="dxa" w:w="120"/>
              <w:bottom w:type="dxa" w:w="80"/>
              <w:right w:type="dxa" w:w="120"/>
            </w:tcMar>
          </w:tcPr>
          <w:p>
            <w:pPr>
              <w:spacing w:after="0" w:line="264"/>
            </w:pPr>
            <w:r>
              <w:rPr>
                <w:b w:val="false"/>
                <w:bCs w:val="false"/>
              </w:rPr>
              <w:t xml:space="preserve">Proposé uniquement si la capacité du casier est paire.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RG-14</w:t>
            </w:r>
          </w:p>
        </w:tc>
        <w:tc>
          <w:tcPr>
            <w:tcW w:type="dxa" w:w="2000"/>
            <w:shd w:fill="FFFFFF" w:val="clear"/>
            <w:tcMar>
              <w:top w:type="dxa" w:w="80"/>
              <w:left w:type="dxa" w:w="120"/>
              <w:bottom w:type="dxa" w:w="80"/>
              <w:right w:type="dxa" w:w="120"/>
            </w:tcMar>
          </w:tcPr>
          <w:p>
            <w:pPr>
              <w:spacing w:after="0" w:line="264"/>
            </w:pPr>
            <w:r>
              <w:rPr>
                <w:b w:val="false"/>
                <w:bCs w:val="false"/>
              </w:rPr>
              <w:t xml:space="preserve">Cohérence du stock</w:t>
            </w:r>
          </w:p>
        </w:tc>
        <w:tc>
          <w:tcPr>
            <w:tcW w:type="dxa" w:w="6126"/>
            <w:shd w:fill="FFFFFF" w:val="clear"/>
            <w:tcMar>
              <w:top w:type="dxa" w:w="80"/>
              <w:left w:type="dxa" w:w="120"/>
              <w:bottom w:type="dxa" w:w="80"/>
              <w:right w:type="dxa" w:w="120"/>
            </w:tcMar>
          </w:tcPr>
          <w:p>
            <w:pPr>
              <w:spacing w:after="0" w:line="264"/>
            </w:pPr>
            <w:r>
              <w:rPr>
                <w:b w:val="false"/>
                <w:bCs w:val="false"/>
              </w:rPr>
              <w:t xml:space="preserve">Toute variation de stock crée un mouvement dans la même transaction ; le solde égale la somme des mouvements.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RG-15</w:t>
            </w:r>
          </w:p>
        </w:tc>
        <w:tc>
          <w:tcPr>
            <w:tcW w:type="dxa" w:w="2000"/>
            <w:shd w:fill="FFFFFF" w:val="clear"/>
            <w:tcMar>
              <w:top w:type="dxa" w:w="80"/>
              <w:left w:type="dxa" w:w="120"/>
              <w:bottom w:type="dxa" w:w="80"/>
              <w:right w:type="dxa" w:w="120"/>
            </w:tcMar>
          </w:tcPr>
          <w:p>
            <w:pPr>
              <w:spacing w:after="0" w:line="264"/>
            </w:pPr>
            <w:r>
              <w:rPr>
                <w:b w:val="false"/>
                <w:bCs w:val="false"/>
              </w:rPr>
              <w:t xml:space="preserve">Stock positif</w:t>
            </w:r>
          </w:p>
        </w:tc>
        <w:tc>
          <w:tcPr>
            <w:tcW w:type="dxa" w:w="6126"/>
            <w:shd w:fill="FFFFFF" w:val="clear"/>
            <w:tcMar>
              <w:top w:type="dxa" w:w="80"/>
              <w:left w:type="dxa" w:w="120"/>
              <w:bottom w:type="dxa" w:w="80"/>
              <w:right w:type="dxa" w:w="120"/>
            </w:tcMar>
          </w:tcPr>
          <w:p>
            <w:pPr>
              <w:spacing w:after="0" w:line="264"/>
            </w:pPr>
            <w:r>
              <w:rPr>
                <w:b w:val="false"/>
                <w:bCs w:val="false"/>
              </w:rPr>
              <w:t xml:space="preserve">Le stock ne peut jamais devenir négatif ; toute opération qui le rendrait négatif est rejetée.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RG-16</w:t>
            </w:r>
          </w:p>
        </w:tc>
        <w:tc>
          <w:tcPr>
            <w:tcW w:type="dxa" w:w="2000"/>
            <w:shd w:fill="FFFFFF" w:val="clear"/>
            <w:tcMar>
              <w:top w:type="dxa" w:w="80"/>
              <w:left w:type="dxa" w:w="120"/>
              <w:bottom w:type="dxa" w:w="80"/>
              <w:right w:type="dxa" w:w="120"/>
            </w:tcMar>
          </w:tcPr>
          <w:p>
            <w:pPr>
              <w:spacing w:after="0" w:line="264"/>
            </w:pPr>
            <w:r>
              <w:rPr>
                <w:b w:val="false"/>
                <w:bCs w:val="false"/>
              </w:rPr>
              <w:t xml:space="preserve">Accès concurrents</w:t>
            </w:r>
          </w:p>
        </w:tc>
        <w:tc>
          <w:tcPr>
            <w:tcW w:type="dxa" w:w="6126"/>
            <w:shd w:fill="FFFFFF" w:val="clear"/>
            <w:tcMar>
              <w:top w:type="dxa" w:w="80"/>
              <w:left w:type="dxa" w:w="120"/>
              <w:bottom w:type="dxa" w:w="80"/>
              <w:right w:type="dxa" w:w="120"/>
            </w:tcMar>
          </w:tcPr>
          <w:p>
            <w:pPr>
              <w:spacing w:after="0" w:line="264"/>
            </w:pPr>
            <w:r>
              <w:rPr>
                <w:b w:val="false"/>
                <w:bCs w:val="false"/>
              </w:rPr>
              <w:t xml:space="preserve">En cas de conflit, la décrémentation est rejouée automatiquement 3 fois avant erreur.</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RG-17</w:t>
            </w:r>
          </w:p>
        </w:tc>
        <w:tc>
          <w:tcPr>
            <w:tcW w:type="dxa" w:w="2000"/>
            <w:shd w:fill="FFFFFF" w:val="clear"/>
            <w:tcMar>
              <w:top w:type="dxa" w:w="80"/>
              <w:left w:type="dxa" w:w="120"/>
              <w:bottom w:type="dxa" w:w="80"/>
              <w:right w:type="dxa" w:w="120"/>
            </w:tcMar>
          </w:tcPr>
          <w:p>
            <w:pPr>
              <w:spacing w:after="0" w:line="264"/>
            </w:pPr>
            <w:r>
              <w:rPr>
                <w:b w:val="false"/>
                <w:bCs w:val="false"/>
              </w:rPr>
              <w:t xml:space="preserve">Entrée en stock</w:t>
            </w:r>
          </w:p>
        </w:tc>
        <w:tc>
          <w:tcPr>
            <w:tcW w:type="dxa" w:w="6126"/>
            <w:shd w:fill="FFFFFF" w:val="clear"/>
            <w:tcMar>
              <w:top w:type="dxa" w:w="80"/>
              <w:left w:type="dxa" w:w="120"/>
              <w:bottom w:type="dxa" w:w="80"/>
              <w:right w:type="dxa" w:w="120"/>
            </w:tcMar>
          </w:tcPr>
          <w:p>
            <w:pPr>
              <w:spacing w:after="0" w:line="264"/>
            </w:pPr>
            <w:r>
              <w:rPr>
                <w:b w:val="false"/>
                <w:bCs w:val="false"/>
              </w:rPr>
              <w:t xml:space="preserve">Le stock est incrémenté dès la clôture de la réception, pas à sa validation.</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RG-18</w:t>
            </w:r>
          </w:p>
        </w:tc>
        <w:tc>
          <w:tcPr>
            <w:tcW w:type="dxa" w:w="2000"/>
            <w:shd w:fill="FFFFFF" w:val="clear"/>
            <w:tcMar>
              <w:top w:type="dxa" w:w="80"/>
              <w:left w:type="dxa" w:w="120"/>
              <w:bottom w:type="dxa" w:w="80"/>
              <w:right w:type="dxa" w:w="120"/>
            </w:tcMar>
          </w:tcPr>
          <w:p>
            <w:pPr>
              <w:spacing w:after="0" w:line="264"/>
            </w:pPr>
            <w:r>
              <w:rPr>
                <w:b w:val="false"/>
                <w:bCs w:val="false"/>
              </w:rPr>
              <w:t xml:space="preserve">Annulation</w:t>
            </w:r>
          </w:p>
        </w:tc>
        <w:tc>
          <w:tcPr>
            <w:tcW w:type="dxa" w:w="6126"/>
            <w:shd w:fill="FFFFFF" w:val="clear"/>
            <w:tcMar>
              <w:top w:type="dxa" w:w="80"/>
              <w:left w:type="dxa" w:w="120"/>
              <w:bottom w:type="dxa" w:w="80"/>
              <w:right w:type="dxa" w:w="120"/>
            </w:tcMar>
          </w:tcPr>
          <w:p>
            <w:pPr>
              <w:spacing w:after="0" w:line="264"/>
            </w:pPr>
            <w:r>
              <w:rPr>
                <w:b w:val="false"/>
                <w:bCs w:val="false"/>
              </w:rPr>
              <w:t xml:space="preserve">L'annulation ne supprime rien : statut ANNULEE, contre-passation, motif obligatoire, auteur et horodatage tracés.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RG-19</w:t>
            </w:r>
          </w:p>
        </w:tc>
        <w:tc>
          <w:tcPr>
            <w:tcW w:type="dxa" w:w="2000"/>
            <w:shd w:fill="FFFFFF" w:val="clear"/>
            <w:tcMar>
              <w:top w:type="dxa" w:w="80"/>
              <w:left w:type="dxa" w:w="120"/>
              <w:bottom w:type="dxa" w:w="80"/>
              <w:right w:type="dxa" w:w="120"/>
            </w:tcMar>
          </w:tcPr>
          <w:p>
            <w:pPr>
              <w:spacing w:after="0" w:line="264"/>
            </w:pPr>
            <w:r>
              <w:rPr>
                <w:b w:val="false"/>
                <w:bCs w:val="false"/>
              </w:rPr>
              <w:t xml:space="preserve">Annulation impossible</w:t>
            </w:r>
          </w:p>
        </w:tc>
        <w:tc>
          <w:tcPr>
            <w:tcW w:type="dxa" w:w="6126"/>
            <w:shd w:fill="FFFFFF" w:val="clear"/>
            <w:tcMar>
              <w:top w:type="dxa" w:w="80"/>
              <w:left w:type="dxa" w:w="120"/>
              <w:bottom w:type="dxa" w:w="80"/>
              <w:right w:type="dxa" w:w="120"/>
            </w:tcMar>
          </w:tcPr>
          <w:p>
            <w:pPr>
              <w:spacing w:after="0" w:line="264"/>
            </w:pPr>
            <w:r>
              <w:rPr>
                <w:b w:val="false"/>
                <w:bCs w:val="false"/>
              </w:rPr>
              <w:t xml:space="preserve">L'annulation est refusée si la marchandise a déjà été vendue ou transférée.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RG-20</w:t>
            </w:r>
          </w:p>
        </w:tc>
        <w:tc>
          <w:tcPr>
            <w:tcW w:type="dxa" w:w="2000"/>
            <w:shd w:fill="FFFFFF" w:val="clear"/>
            <w:tcMar>
              <w:top w:type="dxa" w:w="80"/>
              <w:left w:type="dxa" w:w="120"/>
              <w:bottom w:type="dxa" w:w="80"/>
              <w:right w:type="dxa" w:w="120"/>
            </w:tcMar>
          </w:tcPr>
          <w:p>
            <w:pPr>
              <w:spacing w:after="0" w:line="264"/>
            </w:pPr>
            <w:r>
              <w:rPr>
                <w:b w:val="false"/>
                <w:bCs w:val="false"/>
              </w:rPr>
              <w:t xml:space="preserve">Modification encadrée</w:t>
            </w:r>
          </w:p>
        </w:tc>
        <w:tc>
          <w:tcPr>
            <w:tcW w:type="dxa" w:w="6126"/>
            <w:shd w:fill="FFFFFF" w:val="clear"/>
            <w:tcMar>
              <w:top w:type="dxa" w:w="80"/>
              <w:left w:type="dxa" w:w="120"/>
              <w:bottom w:type="dxa" w:w="80"/>
              <w:right w:type="dxa" w:w="120"/>
            </w:tcMar>
          </w:tcPr>
          <w:p>
            <w:pPr>
              <w:spacing w:after="0" w:line="264"/>
            </w:pPr>
            <w:r>
              <w:rPr>
                <w:b w:val="false"/>
                <w:bCs w:val="false"/>
              </w:rPr>
              <w:t xml:space="preserve">Une modification après clôture génère un mouvement d'ajustement et une entrée d'audit avant/après.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RG-21</w:t>
            </w:r>
          </w:p>
        </w:tc>
        <w:tc>
          <w:tcPr>
            <w:tcW w:type="dxa" w:w="2000"/>
            <w:shd w:fill="FFFFFF" w:val="clear"/>
            <w:tcMar>
              <w:top w:type="dxa" w:w="80"/>
              <w:left w:type="dxa" w:w="120"/>
              <w:bottom w:type="dxa" w:w="80"/>
              <w:right w:type="dxa" w:w="120"/>
            </w:tcMar>
          </w:tcPr>
          <w:p>
            <w:pPr>
              <w:spacing w:after="0" w:line="264"/>
            </w:pPr>
            <w:r>
              <w:rPr>
                <w:b w:val="false"/>
                <w:bCs w:val="false"/>
              </w:rPr>
              <w:t xml:space="preserve">Immuabilité</w:t>
            </w:r>
          </w:p>
        </w:tc>
        <w:tc>
          <w:tcPr>
            <w:tcW w:type="dxa" w:w="6126"/>
            <w:shd w:fill="FFFFFF" w:val="clear"/>
            <w:tcMar>
              <w:top w:type="dxa" w:w="80"/>
              <w:left w:type="dxa" w:w="120"/>
              <w:bottom w:type="dxa" w:w="80"/>
              <w:right w:type="dxa" w:w="120"/>
            </w:tcMar>
          </w:tcPr>
          <w:p>
            <w:pPr>
              <w:spacing w:after="0" w:line="264"/>
            </w:pPr>
            <w:r>
              <w:rPr>
                <w:b w:val="false"/>
                <w:bCs w:val="false"/>
              </w:rPr>
              <w:t xml:space="preserve">Une réception validée est immuable ; toute correction passe par un document d'ajustement.</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RG-22</w:t>
            </w:r>
          </w:p>
        </w:tc>
        <w:tc>
          <w:tcPr>
            <w:tcW w:type="dxa" w:w="2000"/>
            <w:shd w:fill="FFFFFF" w:val="clear"/>
            <w:tcMar>
              <w:top w:type="dxa" w:w="80"/>
              <w:left w:type="dxa" w:w="120"/>
              <w:bottom w:type="dxa" w:w="80"/>
              <w:right w:type="dxa" w:w="120"/>
            </w:tcMar>
          </w:tcPr>
          <w:p>
            <w:pPr>
              <w:spacing w:after="0" w:line="264"/>
            </w:pPr>
            <w:r>
              <w:rPr>
                <w:b w:val="false"/>
                <w:bCs w:val="false"/>
              </w:rPr>
              <w:t xml:space="preserve">Confirmation</w:t>
            </w:r>
          </w:p>
        </w:tc>
        <w:tc>
          <w:tcPr>
            <w:tcW w:type="dxa" w:w="6126"/>
            <w:shd w:fill="FFFFFF" w:val="clear"/>
            <w:tcMar>
              <w:top w:type="dxa" w:w="80"/>
              <w:left w:type="dxa" w:w="120"/>
              <w:bottom w:type="dxa" w:w="80"/>
              <w:right w:type="dxa" w:w="120"/>
            </w:tcMar>
          </w:tcPr>
          <w:p>
            <w:pPr>
              <w:spacing w:after="0" w:line="264"/>
            </w:pPr>
            <w:r>
              <w:rPr>
                <w:b w:val="false"/>
                <w:bCs w:val="false"/>
              </w:rPr>
              <w:t xml:space="preserve">L'annulation exige une confirmation explicite et la saisie d'un motif.</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RG-23</w:t>
            </w:r>
          </w:p>
        </w:tc>
        <w:tc>
          <w:tcPr>
            <w:tcW w:type="dxa" w:w="2000"/>
            <w:shd w:fill="FFFFFF" w:val="clear"/>
            <w:tcMar>
              <w:top w:type="dxa" w:w="80"/>
              <w:left w:type="dxa" w:w="120"/>
              <w:bottom w:type="dxa" w:w="80"/>
              <w:right w:type="dxa" w:w="120"/>
            </w:tcMar>
          </w:tcPr>
          <w:p>
            <w:pPr>
              <w:spacing w:after="0" w:line="264"/>
            </w:pPr>
            <w:r>
              <w:rPr>
                <w:b w:val="false"/>
                <w:bCs w:val="false"/>
              </w:rPr>
              <w:t xml:space="preserve">Session unique</w:t>
            </w:r>
          </w:p>
        </w:tc>
        <w:tc>
          <w:tcPr>
            <w:tcW w:type="dxa" w:w="6126"/>
            <w:shd w:fill="FFFFFF" w:val="clear"/>
            <w:tcMar>
              <w:top w:type="dxa" w:w="80"/>
              <w:left w:type="dxa" w:w="120"/>
              <w:bottom w:type="dxa" w:w="80"/>
              <w:right w:type="dxa" w:w="120"/>
            </w:tcMar>
          </w:tcPr>
          <w:p>
            <w:pPr>
              <w:spacing w:after="0" w:line="264"/>
            </w:pPr>
            <w:r>
              <w:rPr>
                <w:b w:val="false"/>
                <w:bCs w:val="false"/>
              </w:rPr>
              <w:t xml:space="preserve">Une seule session ouverte par point de vente ; aucune vente hors session ouverte.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RG-24</w:t>
            </w:r>
          </w:p>
        </w:tc>
        <w:tc>
          <w:tcPr>
            <w:tcW w:type="dxa" w:w="2000"/>
            <w:shd w:fill="FFFFFF" w:val="clear"/>
            <w:tcMar>
              <w:top w:type="dxa" w:w="80"/>
              <w:left w:type="dxa" w:w="120"/>
              <w:bottom w:type="dxa" w:w="80"/>
              <w:right w:type="dxa" w:w="120"/>
            </w:tcMar>
          </w:tcPr>
          <w:p>
            <w:pPr>
              <w:spacing w:after="0" w:line="264"/>
            </w:pPr>
            <w:r>
              <w:rPr>
                <w:b w:val="false"/>
                <w:bCs w:val="false"/>
              </w:rPr>
              <w:t xml:space="preserve">Décrément du stock</w:t>
            </w:r>
          </w:p>
        </w:tc>
        <w:tc>
          <w:tcPr>
            <w:tcW w:type="dxa" w:w="6126"/>
            <w:shd w:fill="FFFFFF" w:val="clear"/>
            <w:tcMar>
              <w:top w:type="dxa" w:w="80"/>
              <w:left w:type="dxa" w:w="120"/>
              <w:bottom w:type="dxa" w:w="80"/>
              <w:right w:type="dxa" w:w="120"/>
            </w:tcMar>
          </w:tcPr>
          <w:p>
            <w:pPr>
              <w:spacing w:after="0" w:line="264"/>
            </w:pPr>
            <w:r>
              <w:rPr>
                <w:b w:val="false"/>
                <w:bCs w:val="false"/>
              </w:rPr>
              <w:t xml:space="preserve">Le stock est décrémenté à la commande. Contrôle informatif à l'ajout au panier, bloquant à la commande.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RG-25</w:t>
            </w:r>
          </w:p>
        </w:tc>
        <w:tc>
          <w:tcPr>
            <w:tcW w:type="dxa" w:w="2000"/>
            <w:shd w:fill="FFFFFF" w:val="clear"/>
            <w:tcMar>
              <w:top w:type="dxa" w:w="80"/>
              <w:left w:type="dxa" w:w="120"/>
              <w:bottom w:type="dxa" w:w="80"/>
              <w:right w:type="dxa" w:w="120"/>
            </w:tcMar>
          </w:tcPr>
          <w:p>
            <w:pPr>
              <w:spacing w:after="0" w:line="264"/>
            </w:pPr>
            <w:r>
              <w:rPr>
                <w:b w:val="false"/>
                <w:bCs w:val="false"/>
              </w:rPr>
              <w:t xml:space="preserve">Panier</w:t>
            </w:r>
          </w:p>
        </w:tc>
        <w:tc>
          <w:tcPr>
            <w:tcW w:type="dxa" w:w="6126"/>
            <w:shd w:fill="FFFFFF" w:val="clear"/>
            <w:tcMar>
              <w:top w:type="dxa" w:w="80"/>
              <w:left w:type="dxa" w:w="120"/>
              <w:bottom w:type="dxa" w:w="80"/>
              <w:right w:type="dxa" w:w="120"/>
            </w:tcMar>
          </w:tcPr>
          <w:p>
            <w:pPr>
              <w:spacing w:after="0" w:line="264"/>
            </w:pPr>
            <w:r>
              <w:rPr>
                <w:b w:val="false"/>
                <w:bCs w:val="false"/>
              </w:rPr>
              <w:t xml:space="preserve">La suppression du panier n'a aucun effet sur le stock ni sur les données.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RG-26</w:t>
            </w:r>
          </w:p>
        </w:tc>
        <w:tc>
          <w:tcPr>
            <w:tcW w:type="dxa" w:w="2000"/>
            <w:shd w:fill="FFFFFF" w:val="clear"/>
            <w:tcMar>
              <w:top w:type="dxa" w:w="80"/>
              <w:left w:type="dxa" w:w="120"/>
              <w:bottom w:type="dxa" w:w="80"/>
              <w:right w:type="dxa" w:w="120"/>
            </w:tcMar>
          </w:tcPr>
          <w:p>
            <w:pPr>
              <w:spacing w:after="0" w:line="264"/>
            </w:pPr>
            <w:r>
              <w:rPr>
                <w:b w:val="false"/>
                <w:bCs w:val="false"/>
              </w:rPr>
              <w:t xml:space="preserve">Numérotation</w:t>
            </w:r>
          </w:p>
        </w:tc>
        <w:tc>
          <w:tcPr>
            <w:tcW w:type="dxa" w:w="6126"/>
            <w:shd w:fill="FFFFFF" w:val="clear"/>
            <w:tcMar>
              <w:top w:type="dxa" w:w="80"/>
              <w:left w:type="dxa" w:w="120"/>
              <w:bottom w:type="dxa" w:w="80"/>
              <w:right w:type="dxa" w:w="120"/>
            </w:tcMar>
          </w:tcPr>
          <w:p>
            <w:pPr>
              <w:spacing w:after="0" w:line="264"/>
            </w:pPr>
            <w:r>
              <w:rPr>
                <w:b w:val="false"/>
                <w:bCs w:val="false"/>
              </w:rPr>
              <w:t xml:space="preserve">Bons de commande et factures numérotés par point de vente et par année, sans réutilisation.</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RG-27</w:t>
            </w:r>
          </w:p>
        </w:tc>
        <w:tc>
          <w:tcPr>
            <w:tcW w:type="dxa" w:w="2000"/>
            <w:shd w:fill="FFFFFF" w:val="clear"/>
            <w:tcMar>
              <w:top w:type="dxa" w:w="80"/>
              <w:left w:type="dxa" w:w="120"/>
              <w:bottom w:type="dxa" w:w="80"/>
              <w:right w:type="dxa" w:w="120"/>
            </w:tcMar>
          </w:tcPr>
          <w:p>
            <w:pPr>
              <w:spacing w:after="0" w:line="264"/>
            </w:pPr>
            <w:r>
              <w:rPr>
                <w:b w:val="false"/>
                <w:bCs w:val="false"/>
              </w:rPr>
              <w:t xml:space="preserve">Idempotence</w:t>
            </w:r>
          </w:p>
        </w:tc>
        <w:tc>
          <w:tcPr>
            <w:tcW w:type="dxa" w:w="6126"/>
            <w:shd w:fill="FFFFFF" w:val="clear"/>
            <w:tcMar>
              <w:top w:type="dxa" w:w="80"/>
              <w:left w:type="dxa" w:w="120"/>
              <w:bottom w:type="dxa" w:w="80"/>
              <w:right w:type="dxa" w:w="120"/>
            </w:tcMar>
          </w:tcPr>
          <w:p>
            <w:pPr>
              <w:spacing w:after="0" w:line="264"/>
            </w:pPr>
            <w:r>
              <w:rPr>
                <w:b w:val="false"/>
                <w:bCs w:val="false"/>
              </w:rPr>
              <w:t xml:space="preserve">Un double envoi de la commande ne crée pas deux commandes.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RG-28</w:t>
            </w:r>
          </w:p>
        </w:tc>
        <w:tc>
          <w:tcPr>
            <w:tcW w:type="dxa" w:w="2000"/>
            <w:shd w:fill="FFFFFF" w:val="clear"/>
            <w:tcMar>
              <w:top w:type="dxa" w:w="80"/>
              <w:left w:type="dxa" w:w="120"/>
              <w:bottom w:type="dxa" w:w="80"/>
              <w:right w:type="dxa" w:w="120"/>
            </w:tcMar>
          </w:tcPr>
          <w:p>
            <w:pPr>
              <w:spacing w:after="0" w:line="264"/>
            </w:pPr>
            <w:r>
              <w:rPr>
                <w:b w:val="false"/>
                <w:bCs w:val="false"/>
              </w:rPr>
              <w:t xml:space="preserve">Session figée</w:t>
            </w:r>
          </w:p>
        </w:tc>
        <w:tc>
          <w:tcPr>
            <w:tcW w:type="dxa" w:w="6126"/>
            <w:shd w:fill="FFFFFF" w:val="clear"/>
            <w:tcMar>
              <w:top w:type="dxa" w:w="80"/>
              <w:left w:type="dxa" w:w="120"/>
              <w:bottom w:type="dxa" w:w="80"/>
              <w:right w:type="dxa" w:w="120"/>
            </w:tcMar>
          </w:tcPr>
          <w:p>
            <w:pPr>
              <w:spacing w:after="0" w:line="264"/>
            </w:pPr>
            <w:r>
              <w:rPr>
                <w:b w:val="false"/>
                <w:bCs w:val="false"/>
              </w:rPr>
              <w:t xml:space="preserve">Une session validée est définitivement figée.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RG-29</w:t>
            </w:r>
          </w:p>
        </w:tc>
        <w:tc>
          <w:tcPr>
            <w:tcW w:type="dxa" w:w="2000"/>
            <w:shd w:fill="FFFFFF" w:val="clear"/>
            <w:tcMar>
              <w:top w:type="dxa" w:w="80"/>
              <w:left w:type="dxa" w:w="120"/>
              <w:bottom w:type="dxa" w:w="80"/>
              <w:right w:type="dxa" w:w="120"/>
            </w:tcMar>
          </w:tcPr>
          <w:p>
            <w:pPr>
              <w:spacing w:after="0" w:line="264"/>
            </w:pPr>
            <w:r>
              <w:rPr>
                <w:b w:val="false"/>
                <w:bCs w:val="false"/>
              </w:rPr>
              <w:t xml:space="preserve">Modification de session</w:t>
            </w:r>
          </w:p>
        </w:tc>
        <w:tc>
          <w:tcPr>
            <w:tcW w:type="dxa" w:w="6126"/>
            <w:shd w:fill="FFFFFF" w:val="clear"/>
            <w:tcMar>
              <w:top w:type="dxa" w:w="80"/>
              <w:left w:type="dxa" w:w="120"/>
              <w:bottom w:type="dxa" w:w="80"/>
              <w:right w:type="dxa" w:w="120"/>
            </w:tcMar>
          </w:tcPr>
          <w:p>
            <w:pPr>
              <w:spacing w:after="0" w:line="264"/>
            </w:pPr>
            <w:r>
              <w:rPr>
                <w:b w:val="false"/>
                <w:bCs w:val="false"/>
              </w:rPr>
              <w:t xml:space="preserve">La demande de modification place la session en EN_MODIFICATION ; seul le super administrateur y intervient, avec ajustement de stock et audit.</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RG-30</w:t>
            </w:r>
          </w:p>
        </w:tc>
        <w:tc>
          <w:tcPr>
            <w:tcW w:type="dxa" w:w="2000"/>
            <w:shd w:fill="FFFFFF" w:val="clear"/>
            <w:tcMar>
              <w:top w:type="dxa" w:w="80"/>
              <w:left w:type="dxa" w:w="120"/>
              <w:bottom w:type="dxa" w:w="80"/>
              <w:right w:type="dxa" w:w="120"/>
            </w:tcMar>
          </w:tcPr>
          <w:p>
            <w:pPr>
              <w:spacing w:after="0" w:line="264"/>
            </w:pPr>
            <w:r>
              <w:rPr>
                <w:b w:val="false"/>
                <w:bCs w:val="false"/>
              </w:rPr>
              <w:t xml:space="preserve">Conversion transfert</w:t>
            </w:r>
          </w:p>
        </w:tc>
        <w:tc>
          <w:tcPr>
            <w:tcW w:type="dxa" w:w="6126"/>
            <w:shd w:fill="FFFFFF" w:val="clear"/>
            <w:tcMar>
              <w:top w:type="dxa" w:w="80"/>
              <w:left w:type="dxa" w:w="120"/>
              <w:bottom w:type="dxa" w:w="80"/>
              <w:right w:type="dxa" w:w="120"/>
            </w:tcMar>
          </w:tcPr>
          <w:p>
            <w:pPr>
              <w:spacing w:after="0" w:line="264"/>
            </w:pPr>
            <w:r>
              <w:rPr>
                <w:b w:val="false"/>
                <w:bCs w:val="false"/>
              </w:rPr>
              <w:t xml:space="preserve">Quantité en bouteilles déduite des demi-casiers et de la capacité ; refus si le résultat n'est pas entier.</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RG-31</w:t>
            </w:r>
          </w:p>
        </w:tc>
        <w:tc>
          <w:tcPr>
            <w:tcW w:type="dxa" w:w="2000"/>
            <w:shd w:fill="FFFFFF" w:val="clear"/>
            <w:tcMar>
              <w:top w:type="dxa" w:w="80"/>
              <w:left w:type="dxa" w:w="120"/>
              <w:bottom w:type="dxa" w:w="80"/>
              <w:right w:type="dxa" w:w="120"/>
            </w:tcMar>
          </w:tcPr>
          <w:p>
            <w:pPr>
              <w:spacing w:after="0" w:line="264"/>
            </w:pPr>
            <w:r>
              <w:rPr>
                <w:b w:val="false"/>
                <w:bCs w:val="false"/>
              </w:rPr>
              <w:t xml:space="preserve">Atomicité du transfert</w:t>
            </w:r>
          </w:p>
        </w:tc>
        <w:tc>
          <w:tcPr>
            <w:tcW w:type="dxa" w:w="6126"/>
            <w:shd w:fill="FFFFFF" w:val="clear"/>
            <w:tcMar>
              <w:top w:type="dxa" w:w="80"/>
              <w:left w:type="dxa" w:w="120"/>
              <w:bottom w:type="dxa" w:w="80"/>
              <w:right w:type="dxa" w:w="120"/>
            </w:tcMar>
          </w:tcPr>
          <w:p>
            <w:pPr>
              <w:spacing w:after="0" w:line="264"/>
            </w:pPr>
            <w:r>
              <w:rPr>
                <w:b w:val="false"/>
                <w:bCs w:val="false"/>
              </w:rPr>
              <w:t xml:space="preserve">Sortie dépôt et entrée bar dans la même transaction, indissociables.</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RG-32</w:t>
            </w:r>
          </w:p>
        </w:tc>
        <w:tc>
          <w:tcPr>
            <w:tcW w:type="dxa" w:w="2000"/>
            <w:shd w:fill="FFFFFF" w:val="clear"/>
            <w:tcMar>
              <w:top w:type="dxa" w:w="80"/>
              <w:left w:type="dxa" w:w="120"/>
              <w:bottom w:type="dxa" w:w="80"/>
              <w:right w:type="dxa" w:w="120"/>
            </w:tcMar>
          </w:tcPr>
          <w:p>
            <w:pPr>
              <w:spacing w:after="0" w:line="264"/>
            </w:pPr>
            <w:r>
              <w:rPr>
                <w:b w:val="false"/>
                <w:bCs w:val="false"/>
              </w:rPr>
              <w:t xml:space="preserve">Cycle du transfert</w:t>
            </w:r>
          </w:p>
        </w:tc>
        <w:tc>
          <w:tcPr>
            <w:tcW w:type="dxa" w:w="6126"/>
            <w:shd w:fill="FFFFFF" w:val="clear"/>
            <w:tcMar>
              <w:top w:type="dxa" w:w="80"/>
              <w:left w:type="dxa" w:w="120"/>
              <w:bottom w:type="dxa" w:w="80"/>
              <w:right w:type="dxa" w:w="120"/>
            </w:tcMar>
          </w:tcPr>
          <w:p>
            <w:pPr>
              <w:spacing w:after="0" w:line="264"/>
            </w:pPr>
            <w:r>
              <w:rPr>
                <w:b w:val="false"/>
                <w:bCs w:val="false"/>
              </w:rPr>
              <w:t xml:space="preserve">Même cycle de vie que la réception, avec séparation des tâches stricte.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RG-33</w:t>
            </w:r>
          </w:p>
        </w:tc>
        <w:tc>
          <w:tcPr>
            <w:tcW w:type="dxa" w:w="2000"/>
            <w:shd w:fill="FFFFFF" w:val="clear"/>
            <w:tcMar>
              <w:top w:type="dxa" w:w="80"/>
              <w:left w:type="dxa" w:w="120"/>
              <w:bottom w:type="dxa" w:w="80"/>
              <w:right w:type="dxa" w:w="120"/>
            </w:tcMar>
          </w:tcPr>
          <w:p>
            <w:pPr>
              <w:spacing w:after="0" w:line="264"/>
            </w:pPr>
            <w:r>
              <w:rPr>
                <w:b w:val="false"/>
                <w:bCs w:val="false"/>
              </w:rPr>
              <w:t xml:space="preserve">Tickets serveurs</w:t>
            </w:r>
          </w:p>
        </w:tc>
        <w:tc>
          <w:tcPr>
            <w:tcW w:type="dxa" w:w="6126"/>
            <w:shd w:fill="FFFFFF" w:val="clear"/>
            <w:tcMar>
              <w:top w:type="dxa" w:w="80"/>
              <w:left w:type="dxa" w:w="120"/>
              <w:bottom w:type="dxa" w:w="80"/>
              <w:right w:type="dxa" w:w="120"/>
            </w:tcMar>
          </w:tcPr>
          <w:p>
            <w:pPr>
              <w:spacing w:after="0" w:line="264"/>
            </w:pPr>
            <w:r>
              <w:rPr>
                <w:b w:val="false"/>
                <w:bCs w:val="false"/>
              </w:rPr>
              <w:t xml:space="preserve">Plusieurs tickets par serveur et par jour ; récapitulatif par serveur, par marque et volume, et global.</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RG-34</w:t>
            </w:r>
          </w:p>
        </w:tc>
        <w:tc>
          <w:tcPr>
            <w:tcW w:type="dxa" w:w="2000"/>
            <w:shd w:fill="FFFFFF" w:val="clear"/>
            <w:tcMar>
              <w:top w:type="dxa" w:w="80"/>
              <w:left w:type="dxa" w:w="120"/>
              <w:bottom w:type="dxa" w:w="80"/>
              <w:right w:type="dxa" w:w="120"/>
            </w:tcMar>
          </w:tcPr>
          <w:p>
            <w:pPr>
              <w:spacing w:after="0" w:line="264"/>
            </w:pPr>
            <w:r>
              <w:rPr>
                <w:b w:val="false"/>
                <w:bCs w:val="false"/>
              </w:rPr>
              <w:t xml:space="preserve">Clôture du bar</w:t>
            </w:r>
          </w:p>
        </w:tc>
        <w:tc>
          <w:tcPr>
            <w:tcW w:type="dxa" w:w="6126"/>
            <w:shd w:fill="FFFFFF" w:val="clear"/>
            <w:tcMar>
              <w:top w:type="dxa" w:w="80"/>
              <w:left w:type="dxa" w:w="120"/>
              <w:bottom w:type="dxa" w:w="80"/>
              <w:right w:type="dxa" w:w="120"/>
            </w:tcMar>
          </w:tcPr>
          <w:p>
            <w:pPr>
              <w:spacing w:after="0" w:line="264"/>
            </w:pPr>
            <w:r>
              <w:rPr>
                <w:b w:val="false"/>
                <w:bCs w:val="false"/>
              </w:rPr>
              <w:t xml:space="preserve">Identique à celle du dépôt : validation définitive ou demande de modification.</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RG-35</w:t>
            </w:r>
          </w:p>
        </w:tc>
        <w:tc>
          <w:tcPr>
            <w:tcW w:type="dxa" w:w="2000"/>
            <w:shd w:fill="FFFFFF" w:val="clear"/>
            <w:tcMar>
              <w:top w:type="dxa" w:w="80"/>
              <w:left w:type="dxa" w:w="120"/>
              <w:bottom w:type="dxa" w:w="80"/>
              <w:right w:type="dxa" w:w="120"/>
            </w:tcMar>
          </w:tcPr>
          <w:p>
            <w:pPr>
              <w:spacing w:after="0" w:line="264"/>
            </w:pPr>
            <w:r>
              <w:rPr>
                <w:b w:val="false"/>
                <w:bCs w:val="false"/>
              </w:rPr>
              <w:t xml:space="preserve">Liens sans droits</w:t>
            </w:r>
          </w:p>
        </w:tc>
        <w:tc>
          <w:tcPr>
            <w:tcW w:type="dxa" w:w="6126"/>
            <w:shd w:fill="FFFFFF" w:val="clear"/>
            <w:tcMar>
              <w:top w:type="dxa" w:w="80"/>
              <w:left w:type="dxa" w:w="120"/>
              <w:bottom w:type="dxa" w:w="80"/>
              <w:right w:type="dxa" w:w="120"/>
            </w:tcMar>
          </w:tcPr>
          <w:p>
            <w:pPr>
              <w:spacing w:after="0" w:line="264"/>
            </w:pPr>
            <w:r>
              <w:rPr>
                <w:b w:val="false"/>
                <w:bCs w:val="false"/>
              </w:rPr>
              <w:t xml:space="preserve">Les liens envoyés ne portent aucun droit et exigent une authentification ; l'utilisateur est ensuite redirigé sur la page demandée.</w:t>
            </w:r>
          </w:p>
        </w:tc>
      </w:tr>
      <w:tr>
        <w:tc>
          <w:tcPr>
            <w:tcW w:type="dxa" w:w="900"/>
            <w:shd w:fill="FFFFFF" w:val="clear"/>
            <w:tcMar>
              <w:top w:type="dxa" w:w="80"/>
              <w:left w:type="dxa" w:w="120"/>
              <w:bottom w:type="dxa" w:w="80"/>
              <w:right w:type="dxa" w:w="120"/>
            </w:tcMar>
          </w:tcPr>
          <w:p>
            <w:pPr>
              <w:spacing w:after="0" w:line="264"/>
            </w:pPr>
            <w:r>
              <w:rPr>
                <w:b w:val="false"/>
                <w:bCs w:val="false"/>
              </w:rPr>
              <w:t xml:space="preserve">RG-36</w:t>
            </w:r>
          </w:p>
        </w:tc>
        <w:tc>
          <w:tcPr>
            <w:tcW w:type="dxa" w:w="2000"/>
            <w:shd w:fill="FFFFFF" w:val="clear"/>
            <w:tcMar>
              <w:top w:type="dxa" w:w="80"/>
              <w:left w:type="dxa" w:w="120"/>
              <w:bottom w:type="dxa" w:w="80"/>
              <w:right w:type="dxa" w:w="120"/>
            </w:tcMar>
          </w:tcPr>
          <w:p>
            <w:pPr>
              <w:spacing w:after="0" w:line="264"/>
            </w:pPr>
            <w:r>
              <w:rPr>
                <w:b w:val="false"/>
                <w:bCs w:val="false"/>
              </w:rPr>
              <w:t xml:space="preserve">Jeton de validation</w:t>
            </w:r>
          </w:p>
        </w:tc>
        <w:tc>
          <w:tcPr>
            <w:tcW w:type="dxa" w:w="6126"/>
            <w:shd w:fill="FFFFFF" w:val="clear"/>
            <w:tcMar>
              <w:top w:type="dxa" w:w="80"/>
              <w:left w:type="dxa" w:w="120"/>
              <w:bottom w:type="dxa" w:w="80"/>
              <w:right w:type="dxa" w:w="120"/>
            </w:tcMar>
          </w:tcPr>
          <w:p>
            <w:pPr>
              <w:spacing w:after="0" w:line="264"/>
            </w:pPr>
            <w:r>
              <w:rPr>
                <w:b w:val="false"/>
                <w:bCs w:val="false"/>
              </w:rPr>
              <w:t xml:space="preserve">Lié au destinataire, à usage unique, valable 72 heures.</w:t>
            </w:r>
          </w:p>
        </w:tc>
      </w:tr>
    </w:tbl>
    <w:p>
      <w:pPr>
        <w:spacing w:after="160"/>
      </w:pPr>
    </w:p>
    <w:p>
      <w:r>
        <w:br w:type="page"/>
      </w:r>
    </w:p>
    <w:p>
      <w:pPr>
        <w:pStyle w:val="Heading1"/>
        <w:spacing w:after="180" w:before="360"/>
      </w:pPr>
      <w:r>
        <w:t xml:space="preserve">Annexe B — Écarts par rapport à l'expression de besoin initiale</w:t>
      </w:r>
    </w:p>
    <w:p>
      <w:pPr>
        <w:spacing w:after="120" w:line="276"/>
      </w:pPr>
      <w:r>
        <w:t xml:space="preserve">Les points suivants s'écartent délibérément du besoin exprimé au départ. Chaque écart corrige une règle qui aurait rendu les données incohérentes, inauditables ou insuffisamment sûres.</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600"/>
        <w:gridCol w:w="8426"/>
      </w:tblGrid>
      <w:tr>
        <w:trPr>
          <w:tblHeader/>
        </w:trPr>
        <w:tc>
          <w:tcPr>
            <w:tcW w:type="dxa" w:w="600"/>
            <w:shd w:fill="096A09" w:val="clear"/>
            <w:tcMar>
              <w:top w:type="dxa" w:w="80"/>
              <w:left w:type="dxa" w:w="120"/>
              <w:bottom w:type="dxa" w:w="80"/>
              <w:right w:type="dxa" w:w="120"/>
            </w:tcMar>
          </w:tcPr>
          <w:p>
            <w:pPr>
              <w:spacing w:after="0" w:line="264"/>
              <w:jc w:val="center"/>
            </w:pPr>
            <w:r>
              <w:rPr>
                <w:b/>
                <w:bCs/>
                <w:color w:val="FFFFFF"/>
              </w:rPr>
              <w:t xml:space="preserve">#</w:t>
            </w:r>
          </w:p>
        </w:tc>
        <w:tc>
          <w:tcPr>
            <w:tcW w:type="dxa" w:w="8426"/>
            <w:shd w:fill="096A09" w:val="clear"/>
            <w:tcMar>
              <w:top w:type="dxa" w:w="80"/>
              <w:left w:type="dxa" w:w="120"/>
              <w:bottom w:type="dxa" w:w="80"/>
              <w:right w:type="dxa" w:w="120"/>
            </w:tcMar>
          </w:tcPr>
          <w:p>
            <w:pPr>
              <w:spacing w:after="0" w:line="264"/>
            </w:pPr>
            <w:r>
              <w:rPr>
                <w:b/>
                <w:bCs/>
                <w:color w:val="FFFFFF"/>
              </w:rPr>
              <w:t xml:space="preserve">Écart et justification</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w:t>
            </w:r>
          </w:p>
        </w:tc>
        <w:tc>
          <w:tcPr>
            <w:tcW w:type="dxa" w:w="8426"/>
            <w:shd w:fill="FFFFFF" w:val="clear"/>
            <w:tcMar>
              <w:top w:type="dxa" w:w="80"/>
              <w:left w:type="dxa" w:w="120"/>
              <w:bottom w:type="dxa" w:w="80"/>
              <w:right w:type="dxa" w:w="120"/>
            </w:tcMar>
          </w:tcPr>
          <w:p>
            <w:pPr>
              <w:spacing w:after="0" w:line="264"/>
            </w:pPr>
            <w:r>
              <w:rPr>
                <w:b w:val="false"/>
                <w:bCs w:val="false"/>
              </w:rPr>
              <w:t xml:space="preserve">La suppression physique en base lors de l'annulation d'une réception est remplacée par une annulation logique avec contre-passation (RG-18). Une suppression réelle casse l'intégrité référentielle et rend toute comptabilité invérifiable.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2</w:t>
            </w:r>
          </w:p>
        </w:tc>
        <w:tc>
          <w:tcPr>
            <w:tcW w:type="dxa" w:w="8426"/>
            <w:shd w:fill="FFFFFF" w:val="clear"/>
            <w:tcMar>
              <w:top w:type="dxa" w:w="80"/>
              <w:left w:type="dxa" w:w="120"/>
              <w:bottom w:type="dxa" w:w="80"/>
              <w:right w:type="dxa" w:w="120"/>
            </w:tcMar>
          </w:tcPr>
          <w:p>
            <w:pPr>
              <w:spacing w:after="0" w:line="264"/>
            </w:pPr>
            <w:r>
              <w:rPr>
                <w:b w:val="false"/>
                <w:bCs w:val="false"/>
              </w:rPr>
              <w:t xml:space="preserve">Le prix attaché au casier est remplacé par une entité Tarif datée et un prix figé sur les lignes (RG-08, RG-09). Sans cela, changer un prix réécrit l'historique des ventes déjà réalisées.</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3</w:t>
            </w:r>
          </w:p>
        </w:tc>
        <w:tc>
          <w:tcPr>
            <w:tcW w:type="dxa" w:w="8426"/>
            <w:shd w:fill="FFFFFF" w:val="clear"/>
            <w:tcMar>
              <w:top w:type="dxa" w:w="80"/>
              <w:left w:type="dxa" w:w="120"/>
              <w:bottom w:type="dxa" w:w="80"/>
              <w:right w:type="dxa" w:w="120"/>
            </w:tcMar>
          </w:tcPr>
          <w:p>
            <w:pPr>
              <w:spacing w:after="0" w:line="264"/>
            </w:pPr>
            <w:r>
              <w:rPr>
                <w:b w:val="false"/>
                <w:bCs w:val="false"/>
              </w:rPr>
              <w:t xml:space="preserve">Les quantités exprimées en 0,5 sont remplacées par un entier de demi-casiers (RG-11).</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4</w:t>
            </w:r>
          </w:p>
        </w:tc>
        <w:tc>
          <w:tcPr>
            <w:tcW w:type="dxa" w:w="8426"/>
            <w:shd w:fill="FFFFFF" w:val="clear"/>
            <w:tcMar>
              <w:top w:type="dxa" w:w="80"/>
              <w:left w:type="dxa" w:w="120"/>
              <w:bottom w:type="dxa" w:w="80"/>
              <w:right w:type="dxa" w:w="120"/>
            </w:tcMar>
          </w:tcPr>
          <w:p>
            <w:pPr>
              <w:spacing w:after="0" w:line="264"/>
            </w:pPr>
            <w:r>
              <w:rPr>
                <w:b w:val="false"/>
                <w:bCs w:val="false"/>
              </w:rPr>
              <w:t xml:space="preserve">Le code OTP passe de 4 à 6 chiffres, avec durée de validité, limitation des tentatives et des renvois (RG-03). Quatre chiffres n'offrent que 10 000 combinaisons.</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5</w:t>
            </w:r>
          </w:p>
        </w:tc>
        <w:tc>
          <w:tcPr>
            <w:tcW w:type="dxa" w:w="8426"/>
            <w:shd w:fill="FFFFFF" w:val="clear"/>
            <w:tcMar>
              <w:top w:type="dxa" w:w="80"/>
              <w:left w:type="dxa" w:w="120"/>
              <w:bottom w:type="dxa" w:w="80"/>
              <w:right w:type="dxa" w:w="120"/>
            </w:tcMar>
          </w:tcPr>
          <w:p>
            <w:pPr>
              <w:spacing w:after="0" w:line="264"/>
            </w:pPr>
            <w:r>
              <w:rPr>
                <w:b w:val="false"/>
                <w:bCs w:val="false"/>
              </w:rPr>
              <w:t xml:space="preserve">Le fournisseur, absent du besoin initial, est ajouté au référentiel : sans lui, une réception ne peut pas être tracée.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6</w:t>
            </w:r>
          </w:p>
        </w:tc>
        <w:tc>
          <w:tcPr>
            <w:tcW w:type="dxa" w:w="8426"/>
            <w:shd w:fill="FFFFFF" w:val="clear"/>
            <w:tcMar>
              <w:top w:type="dxa" w:w="80"/>
              <w:left w:type="dxa" w:w="120"/>
              <w:bottom w:type="dxa" w:w="80"/>
              <w:right w:type="dxa" w:w="120"/>
            </w:tcMar>
          </w:tcPr>
          <w:p>
            <w:pPr>
              <w:spacing w:after="0" w:line="264"/>
            </w:pPr>
            <w:r>
              <w:rPr>
                <w:b w:val="false"/>
                <w:bCs w:val="false"/>
              </w:rPr>
              <w:t xml:space="preserve">Le transfert dépôt → bar, mentionné mais non décrit, est spécifié. Sans lui, les deux stocks sont déconnectés.</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7</w:t>
            </w:r>
          </w:p>
        </w:tc>
        <w:tc>
          <w:tcPr>
            <w:tcW w:type="dxa" w:w="8426"/>
            <w:shd w:fill="FFFFFF" w:val="clear"/>
            <w:tcMar>
              <w:top w:type="dxa" w:w="80"/>
              <w:left w:type="dxa" w:w="120"/>
              <w:bottom w:type="dxa" w:w="80"/>
              <w:right w:type="dxa" w:w="120"/>
            </w:tcMar>
          </w:tcPr>
          <w:p>
            <w:pPr>
              <w:spacing w:after="0" w:line="264"/>
            </w:pPr>
            <w:r>
              <w:rPr>
                <w:b w:val="false"/>
                <w:bCs w:val="false"/>
              </w:rPr>
              <w:t xml:space="preserve">La session de vente est introduite comme entité de premier plan : la « journée de vente » du besoin initial n'avait aucun support.</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8</w:t>
            </w:r>
          </w:p>
        </w:tc>
        <w:tc>
          <w:tcPr>
            <w:tcW w:type="dxa" w:w="8426"/>
            <w:shd w:fill="FFFFFF" w:val="clear"/>
            <w:tcMar>
              <w:top w:type="dxa" w:w="80"/>
              <w:left w:type="dxa" w:w="120"/>
              <w:bottom w:type="dxa" w:w="80"/>
              <w:right w:type="dxa" w:w="120"/>
            </w:tcMar>
          </w:tcPr>
          <w:p>
            <w:pPr>
              <w:spacing w:after="0" w:line="264"/>
            </w:pPr>
            <w:r>
              <w:rPr>
                <w:b w:val="false"/>
                <w:bCs w:val="false"/>
              </w:rPr>
              <w:t xml:space="preserve">La notion de point de vente est introduite pour permettre plusieurs bars sans refonte.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9</w:t>
            </w:r>
          </w:p>
        </w:tc>
        <w:tc>
          <w:tcPr>
            <w:tcW w:type="dxa" w:w="8426"/>
            <w:shd w:fill="FFFFFF" w:val="clear"/>
            <w:tcMar>
              <w:top w:type="dxa" w:w="80"/>
              <w:left w:type="dxa" w:w="120"/>
              <w:bottom w:type="dxa" w:w="80"/>
              <w:right w:type="dxa" w:w="120"/>
            </w:tcMar>
          </w:tcPr>
          <w:p>
            <w:pPr>
              <w:spacing w:after="0" w:line="264"/>
            </w:pPr>
            <w:r>
              <w:rPr>
                <w:b w:val="false"/>
                <w:bCs w:val="false"/>
              </w:rPr>
              <w:t xml:space="preserve">Les serveurs sont modélisés comme une donnée de référentiel et non comme des comptes applicatifs, avec des tickets par serveur (RG-33).</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10</w:t>
            </w:r>
          </w:p>
        </w:tc>
        <w:tc>
          <w:tcPr>
            <w:tcW w:type="dxa" w:w="8426"/>
            <w:shd w:fill="FFFFFF" w:val="clear"/>
            <w:tcMar>
              <w:top w:type="dxa" w:w="80"/>
              <w:left w:type="dxa" w:w="120"/>
              <w:bottom w:type="dxa" w:w="80"/>
              <w:right w:type="dxa" w:w="120"/>
            </w:tcMar>
          </w:tcPr>
          <w:p>
            <w:pPr>
              <w:spacing w:after="0" w:line="264"/>
            </w:pPr>
            <w:r>
              <w:rPr>
                <w:b w:val="false"/>
                <w:bCs w:val="false"/>
              </w:rPr>
              <w:t xml:space="preserve">La suppression d'un utilisateur est remplacée par un archivage (RG-05).</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11</w:t>
            </w:r>
          </w:p>
        </w:tc>
        <w:tc>
          <w:tcPr>
            <w:tcW w:type="dxa" w:w="8426"/>
            <w:shd w:fill="FFFFFF" w:val="clear"/>
            <w:tcMar>
              <w:top w:type="dxa" w:w="80"/>
              <w:left w:type="dxa" w:w="120"/>
              <w:bottom w:type="dxa" w:w="80"/>
              <w:right w:type="dxa" w:w="120"/>
            </w:tcMar>
          </w:tcPr>
          <w:p>
            <w:pPr>
              <w:spacing w:after="0" w:line="264"/>
            </w:pPr>
            <w:r>
              <w:rPr>
                <w:b w:val="false"/>
                <w:bCs w:val="false"/>
              </w:rPr>
              <w:t xml:space="preserve">La séparation des tâches est ajoutée sur les transferts : on ne valide pas son propre bon de transfert. Sur les réceptions et les sessions de vente, elle a été assouplie au profit de la réversibilité avant validation (RG-01).</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12</w:t>
            </w:r>
          </w:p>
        </w:tc>
        <w:tc>
          <w:tcPr>
            <w:tcW w:type="dxa" w:w="8426"/>
            <w:shd w:fill="FFFFFF" w:val="clear"/>
            <w:tcMar>
              <w:top w:type="dxa" w:w="80"/>
              <w:left w:type="dxa" w:w="120"/>
              <w:bottom w:type="dxa" w:w="80"/>
              <w:right w:type="dxa" w:w="120"/>
            </w:tcMar>
          </w:tcPr>
          <w:p>
            <w:pPr>
              <w:spacing w:after="0" w:line="264"/>
            </w:pPr>
            <w:r>
              <w:rPr>
                <w:b w:val="false"/>
                <w:bCs w:val="false"/>
              </w:rPr>
              <w:t xml:space="preserve">Le journal des mouvements de stock est ajouté : sans lui, aucun contrôle ni audit n'est possible.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13</w:t>
            </w:r>
          </w:p>
        </w:tc>
        <w:tc>
          <w:tcPr>
            <w:tcW w:type="dxa" w:w="8426"/>
            <w:shd w:fill="FFFFFF" w:val="clear"/>
            <w:tcMar>
              <w:top w:type="dxa" w:w="80"/>
              <w:left w:type="dxa" w:w="120"/>
              <w:bottom w:type="dxa" w:w="80"/>
              <w:right w:type="dxa" w:w="120"/>
            </w:tcMar>
          </w:tcPr>
          <w:p>
            <w:pPr>
              <w:spacing w:after="0" w:line="264"/>
            </w:pPr>
            <w:r>
              <w:rPr>
                <w:b w:val="false"/>
                <w:bCs w:val="false"/>
              </w:rPr>
              <w:t xml:space="preserve">L'idempotence est ajoutée sur la commande et sur les liens de validation (RG-27, RG-36).</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14</w:t>
            </w:r>
          </w:p>
        </w:tc>
        <w:tc>
          <w:tcPr>
            <w:tcW w:type="dxa" w:w="8426"/>
            <w:shd w:fill="FFFFFF" w:val="clear"/>
            <w:tcMar>
              <w:top w:type="dxa" w:w="80"/>
              <w:left w:type="dxa" w:w="120"/>
              <w:bottom w:type="dxa" w:w="80"/>
              <w:right w:type="dxa" w:w="120"/>
            </w:tcMar>
          </w:tcPr>
          <w:p>
            <w:pPr>
              <w:spacing w:after="0" w:line="264"/>
            </w:pPr>
            <w:r>
              <w:rPr>
                <w:b w:val="false"/>
                <w:bCs w:val="false"/>
              </w:rPr>
              <w:t xml:space="preserve">Le contrôle de stock négatif, absent du besoin initial, est explicité (RG-15).</w:t>
            </w:r>
          </w:p>
        </w:tc>
      </w:tr>
    </w:tbl>
    <w:p>
      <w:pPr>
        <w:spacing w:after="160"/>
      </w:pPr>
    </w:p>
    <w:p>
      <w:r>
        <w:br w:type="page"/>
      </w:r>
    </w:p>
    <w:p>
      <w:pPr>
        <w:pStyle w:val="Heading1"/>
        <w:spacing w:after="180" w:before="360"/>
      </w:pPr>
      <w:r>
        <w:t xml:space="preserve">Annexe C — Arbitrages et points ouverts</w:t>
      </w:r>
    </w:p>
    <w:p>
      <w:pPr>
        <w:spacing w:after="120" w:line="276"/>
      </w:pPr>
      <w:r>
        <w:t xml:space="preserve">Les questions suivantes ont été posées lors du cadrage et ont reçu une réponse de la maîtrise d'ouvrage.</w:t>
      </w:r>
    </w:p>
    <w:tbl>
      <w:tblPr>
        <w:tblW w:type="dxa" w:w="9026"/>
        <w:tblBorders>
          <w:top w:val="single" w:color="BFBFBF" w:sz="2"/>
          <w:left w:val="single" w:color="BFBFBF" w:sz="2"/>
          <w:bottom w:val="single" w:color="BFBFBF" w:sz="2"/>
          <w:right w:val="single" w:color="BFBFBF" w:sz="2"/>
          <w:insideH w:val="single" w:color="DDDDDD" w:sz="2"/>
          <w:insideV w:val="single" w:color="DDDDDD" w:sz="2"/>
        </w:tblBorders>
      </w:tblPr>
      <w:tblGrid>
        <w:gridCol w:w="600"/>
        <w:gridCol w:w="4200"/>
        <w:gridCol w:w="4226"/>
      </w:tblGrid>
      <w:tr>
        <w:trPr>
          <w:tblHeader/>
        </w:trPr>
        <w:tc>
          <w:tcPr>
            <w:tcW w:type="dxa" w:w="600"/>
            <w:shd w:fill="096A09" w:val="clear"/>
            <w:tcMar>
              <w:top w:type="dxa" w:w="80"/>
              <w:left w:type="dxa" w:w="120"/>
              <w:bottom w:type="dxa" w:w="80"/>
              <w:right w:type="dxa" w:w="120"/>
            </w:tcMar>
          </w:tcPr>
          <w:p>
            <w:pPr>
              <w:spacing w:after="0" w:line="264"/>
              <w:jc w:val="center"/>
            </w:pPr>
            <w:r>
              <w:rPr>
                <w:b/>
                <w:bCs/>
                <w:color w:val="FFFFFF"/>
              </w:rPr>
              <w:t xml:space="preserve">#</w:t>
            </w:r>
          </w:p>
        </w:tc>
        <w:tc>
          <w:tcPr>
            <w:tcW w:type="dxa" w:w="4200"/>
            <w:shd w:fill="096A09" w:val="clear"/>
            <w:tcMar>
              <w:top w:type="dxa" w:w="80"/>
              <w:left w:type="dxa" w:w="120"/>
              <w:bottom w:type="dxa" w:w="80"/>
              <w:right w:type="dxa" w:w="120"/>
            </w:tcMar>
          </w:tcPr>
          <w:p>
            <w:pPr>
              <w:spacing w:after="0" w:line="264"/>
            </w:pPr>
            <w:r>
              <w:rPr>
                <w:b/>
                <w:bCs/>
                <w:color w:val="FFFFFF"/>
              </w:rPr>
              <w:t xml:space="preserve">Question</w:t>
            </w:r>
          </w:p>
        </w:tc>
        <w:tc>
          <w:tcPr>
            <w:tcW w:type="dxa" w:w="4226"/>
            <w:shd w:fill="096A09" w:val="clear"/>
            <w:tcMar>
              <w:top w:type="dxa" w:w="80"/>
              <w:left w:type="dxa" w:w="120"/>
              <w:bottom w:type="dxa" w:w="80"/>
              <w:right w:type="dxa" w:w="120"/>
            </w:tcMar>
          </w:tcPr>
          <w:p>
            <w:pPr>
              <w:spacing w:after="0" w:line="264"/>
            </w:pPr>
            <w:r>
              <w:rPr>
                <w:b/>
                <w:bCs/>
                <w:color w:val="FFFFFF"/>
              </w:rPr>
              <w:t xml:space="preserve">Réponse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w:t>
            </w:r>
          </w:p>
        </w:tc>
        <w:tc>
          <w:tcPr>
            <w:tcW w:type="dxa" w:w="4200"/>
            <w:shd w:fill="FFFFFF" w:val="clear"/>
            <w:tcMar>
              <w:top w:type="dxa" w:w="80"/>
              <w:left w:type="dxa" w:w="120"/>
              <w:bottom w:type="dxa" w:w="80"/>
              <w:right w:type="dxa" w:w="120"/>
            </w:tcMar>
          </w:tcPr>
          <w:p>
            <w:pPr>
              <w:spacing w:after="0" w:line="264"/>
            </w:pPr>
            <w:r>
              <w:rPr>
                <w:b w:val="false"/>
                <w:bCs w:val="false"/>
              </w:rPr>
              <w:t xml:space="preserve">Devise et format d'affichage confirmés ?</w:t>
            </w:r>
          </w:p>
        </w:tc>
        <w:tc>
          <w:tcPr>
            <w:tcW w:type="dxa" w:w="4226"/>
            <w:shd w:fill="FFFFFF" w:val="clear"/>
            <w:tcMar>
              <w:top w:type="dxa" w:w="80"/>
              <w:left w:type="dxa" w:w="120"/>
              <w:bottom w:type="dxa" w:w="80"/>
              <w:right w:type="dxa" w:w="120"/>
            </w:tcMar>
          </w:tcPr>
          <w:p>
            <w:pPr>
              <w:spacing w:after="0" w:line="264"/>
            </w:pPr>
            <w:r>
              <w:rPr>
                <w:b w:val="false"/>
                <w:bCs w:val="false"/>
              </w:rPr>
              <w:t xml:space="preserve">FCFA, sans décimale.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2</w:t>
            </w:r>
          </w:p>
        </w:tc>
        <w:tc>
          <w:tcPr>
            <w:tcW w:type="dxa" w:w="4200"/>
            <w:shd w:fill="FFFFFF" w:val="clear"/>
            <w:tcMar>
              <w:top w:type="dxa" w:w="80"/>
              <w:left w:type="dxa" w:w="120"/>
              <w:bottom w:type="dxa" w:w="80"/>
              <w:right w:type="dxa" w:w="120"/>
            </w:tcMar>
          </w:tcPr>
          <w:p>
            <w:pPr>
              <w:spacing w:after="0" w:line="264"/>
            </w:pPr>
            <w:r>
              <w:rPr>
                <w:b w:val="false"/>
                <w:bCs w:val="false"/>
              </w:rPr>
              <w:t xml:space="preserve">Gestion de la consigne (casiers et bouteilles vides) en v1 ou v2 ?</w:t>
            </w:r>
          </w:p>
        </w:tc>
        <w:tc>
          <w:tcPr>
            <w:tcW w:type="dxa" w:w="4226"/>
            <w:shd w:fill="FFFFFF" w:val="clear"/>
            <w:tcMar>
              <w:top w:type="dxa" w:w="80"/>
              <w:left w:type="dxa" w:w="120"/>
              <w:bottom w:type="dxa" w:w="80"/>
              <w:right w:type="dxa" w:w="120"/>
            </w:tcMar>
          </w:tcPr>
          <w:p>
            <w:pPr>
              <w:spacing w:after="0" w:line="264"/>
            </w:pPr>
            <w:r>
              <w:rPr>
                <w:b w:val="false"/>
                <w:bCs w:val="false"/>
              </w:rPr>
              <w:t xml:space="preserve">Souhaitée en v1.</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3</w:t>
            </w:r>
          </w:p>
        </w:tc>
        <w:tc>
          <w:tcPr>
            <w:tcW w:type="dxa" w:w="4200"/>
            <w:shd w:fill="FFFFFF" w:val="clear"/>
            <w:tcMar>
              <w:top w:type="dxa" w:w="80"/>
              <w:left w:type="dxa" w:w="120"/>
              <w:bottom w:type="dxa" w:w="80"/>
              <w:right w:type="dxa" w:w="120"/>
            </w:tcMar>
          </w:tcPr>
          <w:p>
            <w:pPr>
              <w:spacing w:after="0" w:line="264"/>
            </w:pPr>
            <w:r>
              <w:rPr>
                <w:b w:val="false"/>
                <w:bCs w:val="false"/>
              </w:rPr>
              <w:t xml:space="preserve">Vente à crédit ou clients à échéance ?</w:t>
            </w:r>
          </w:p>
        </w:tc>
        <w:tc>
          <w:tcPr>
            <w:tcW w:type="dxa" w:w="4226"/>
            <w:shd w:fill="FFFFFF" w:val="clear"/>
            <w:tcMar>
              <w:top w:type="dxa" w:w="80"/>
              <w:left w:type="dxa" w:w="120"/>
              <w:bottom w:type="dxa" w:w="80"/>
              <w:right w:type="dxa" w:w="120"/>
            </w:tcMar>
          </w:tcPr>
          <w:p>
            <w:pPr>
              <w:spacing w:after="0" w:line="264"/>
            </w:pPr>
            <w:r>
              <w:rPr>
                <w:b w:val="false"/>
                <w:bCs w:val="false"/>
              </w:rPr>
              <w:t xml:space="preserve">Non, pas de vente à crédit.</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4</w:t>
            </w:r>
          </w:p>
        </w:tc>
        <w:tc>
          <w:tcPr>
            <w:tcW w:type="dxa" w:w="4200"/>
            <w:shd w:fill="FFFFFF" w:val="clear"/>
            <w:tcMar>
              <w:top w:type="dxa" w:w="80"/>
              <w:left w:type="dxa" w:w="120"/>
              <w:bottom w:type="dxa" w:w="80"/>
              <w:right w:type="dxa" w:w="120"/>
            </w:tcMar>
          </w:tcPr>
          <w:p>
            <w:pPr>
              <w:spacing w:after="0" w:line="264"/>
            </w:pPr>
            <w:r>
              <w:rPr>
                <w:b w:val="false"/>
                <w:bCs w:val="false"/>
              </w:rPr>
              <w:t xml:space="preserve">Modes de paiement à gérer ?</w:t>
            </w:r>
          </w:p>
        </w:tc>
        <w:tc>
          <w:tcPr>
            <w:tcW w:type="dxa" w:w="4226"/>
            <w:shd w:fill="FFFFFF" w:val="clear"/>
            <w:tcMar>
              <w:top w:type="dxa" w:w="80"/>
              <w:left w:type="dxa" w:w="120"/>
              <w:bottom w:type="dxa" w:w="80"/>
              <w:right w:type="dxa" w:w="120"/>
            </w:tcMar>
          </w:tcPr>
          <w:p>
            <w:pPr>
              <w:spacing w:after="0" w:line="264"/>
            </w:pPr>
            <w:r>
              <w:rPr>
                <w:b w:val="false"/>
                <w:bCs w:val="false"/>
              </w:rPr>
              <w:t xml:space="preserve">Espèces, mobile money, carte bancaire.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5</w:t>
            </w:r>
          </w:p>
        </w:tc>
        <w:tc>
          <w:tcPr>
            <w:tcW w:type="dxa" w:w="4200"/>
            <w:shd w:fill="FFFFFF" w:val="clear"/>
            <w:tcMar>
              <w:top w:type="dxa" w:w="80"/>
              <w:left w:type="dxa" w:w="120"/>
              <w:bottom w:type="dxa" w:w="80"/>
              <w:right w:type="dxa" w:w="120"/>
            </w:tcMar>
          </w:tcPr>
          <w:p>
            <w:pPr>
              <w:spacing w:after="0" w:line="264"/>
            </w:pPr>
            <w:r>
              <w:rPr>
                <w:b w:val="false"/>
                <w:bCs w:val="false"/>
              </w:rPr>
              <w:t xml:space="preserve">Mentions fiscales sur la facture ?</w:t>
            </w:r>
          </w:p>
        </w:tc>
        <w:tc>
          <w:tcPr>
            <w:tcW w:type="dxa" w:w="4226"/>
            <w:shd w:fill="FFFFFF" w:val="clear"/>
            <w:tcMar>
              <w:top w:type="dxa" w:w="80"/>
              <w:left w:type="dxa" w:w="120"/>
              <w:bottom w:type="dxa" w:w="80"/>
              <w:right w:type="dxa" w:w="120"/>
            </w:tcMar>
          </w:tcPr>
          <w:p>
            <w:pPr>
              <w:spacing w:after="0" w:line="264"/>
            </w:pPr>
            <w:r>
              <w:rPr>
                <w:b w:val="false"/>
                <w:bCs w:val="false"/>
              </w:rPr>
              <w:t xml:space="preserve">Numéro de contribuable et TVA attendus.</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6</w:t>
            </w:r>
          </w:p>
        </w:tc>
        <w:tc>
          <w:tcPr>
            <w:tcW w:type="dxa" w:w="4200"/>
            <w:shd w:fill="FFFFFF" w:val="clear"/>
            <w:tcMar>
              <w:top w:type="dxa" w:w="80"/>
              <w:left w:type="dxa" w:w="120"/>
              <w:bottom w:type="dxa" w:w="80"/>
              <w:right w:type="dxa" w:w="120"/>
            </w:tcMar>
          </w:tcPr>
          <w:p>
            <w:pPr>
              <w:spacing w:after="0" w:line="264"/>
            </w:pPr>
            <w:r>
              <w:rPr>
                <w:b w:val="false"/>
                <w:bCs w:val="false"/>
              </w:rPr>
              <w:t xml:space="preserve">Combien de bars rattachés au dépôt ?</w:t>
            </w:r>
          </w:p>
        </w:tc>
        <w:tc>
          <w:tcPr>
            <w:tcW w:type="dxa" w:w="4226"/>
            <w:shd w:fill="FFFFFF" w:val="clear"/>
            <w:tcMar>
              <w:top w:type="dxa" w:w="80"/>
              <w:left w:type="dxa" w:w="120"/>
              <w:bottom w:type="dxa" w:w="80"/>
              <w:right w:type="dxa" w:w="120"/>
            </w:tcMar>
          </w:tcPr>
          <w:p>
            <w:pPr>
              <w:spacing w:after="0" w:line="264"/>
            </w:pPr>
            <w:r>
              <w:rPr>
                <w:b w:val="false"/>
                <w:bCs w:val="false"/>
              </w:rPr>
              <w:t xml:space="preserve">Un seul pour le moment, avec possibilité d'évolution.</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7</w:t>
            </w:r>
          </w:p>
        </w:tc>
        <w:tc>
          <w:tcPr>
            <w:tcW w:type="dxa" w:w="4200"/>
            <w:shd w:fill="FFFFFF" w:val="clear"/>
            <w:tcMar>
              <w:top w:type="dxa" w:w="80"/>
              <w:left w:type="dxa" w:w="120"/>
              <w:bottom w:type="dxa" w:w="80"/>
              <w:right w:type="dxa" w:w="120"/>
            </w:tcMar>
          </w:tcPr>
          <w:p>
            <w:pPr>
              <w:spacing w:after="0" w:line="264"/>
            </w:pPr>
            <w:r>
              <w:rPr>
                <w:b w:val="false"/>
                <w:bCs w:val="false"/>
              </w:rPr>
              <w:t xml:space="preserve">Comptes applicatifs pour les serveurs ?</w:t>
            </w:r>
          </w:p>
        </w:tc>
        <w:tc>
          <w:tcPr>
            <w:tcW w:type="dxa" w:w="4226"/>
            <w:shd w:fill="FFFFFF" w:val="clear"/>
            <w:tcMar>
              <w:top w:type="dxa" w:w="80"/>
              <w:left w:type="dxa" w:w="120"/>
              <w:bottom w:type="dxa" w:w="80"/>
              <w:right w:type="dxa" w:w="120"/>
            </w:tcMar>
          </w:tcPr>
          <w:p>
            <w:pPr>
              <w:spacing w:after="0" w:line="264"/>
            </w:pPr>
            <w:r>
              <w:rPr>
                <w:b w:val="false"/>
                <w:bCs w:val="false"/>
              </w:rPr>
              <w:t xml:space="preserve">Oui, à terme.</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8</w:t>
            </w:r>
          </w:p>
        </w:tc>
        <w:tc>
          <w:tcPr>
            <w:tcW w:type="dxa" w:w="4200"/>
            <w:shd w:fill="FFFFFF" w:val="clear"/>
            <w:tcMar>
              <w:top w:type="dxa" w:w="80"/>
              <w:left w:type="dxa" w:w="120"/>
              <w:bottom w:type="dxa" w:w="80"/>
              <w:right w:type="dxa" w:w="120"/>
            </w:tcMar>
          </w:tcPr>
          <w:p>
            <w:pPr>
              <w:spacing w:after="0" w:line="264"/>
            </w:pPr>
            <w:r>
              <w:rPr>
                <w:b w:val="false"/>
                <w:bCs w:val="false"/>
              </w:rPr>
              <w:t xml:space="preserve">Nature du prix de cession dépôt → bar ?</w:t>
            </w:r>
          </w:p>
        </w:tc>
        <w:tc>
          <w:tcPr>
            <w:tcW w:type="dxa" w:w="4226"/>
            <w:shd w:fill="FFFFFF" w:val="clear"/>
            <w:tcMar>
              <w:top w:type="dxa" w:w="80"/>
              <w:left w:type="dxa" w:w="120"/>
              <w:bottom w:type="dxa" w:w="80"/>
              <w:right w:type="dxa" w:w="120"/>
            </w:tcMar>
          </w:tcPr>
          <w:p>
            <w:pPr>
              <w:spacing w:after="0" w:line="264"/>
            </w:pPr>
            <w:r>
              <w:rPr>
                <w:b w:val="false"/>
                <w:bCs w:val="false"/>
              </w:rPr>
              <w:t xml:space="preserve">Tarif interne, distinct du prix public.</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9</w:t>
            </w:r>
          </w:p>
        </w:tc>
        <w:tc>
          <w:tcPr>
            <w:tcW w:type="dxa" w:w="4200"/>
            <w:shd w:fill="FFFFFF" w:val="clear"/>
            <w:tcMar>
              <w:top w:type="dxa" w:w="80"/>
              <w:left w:type="dxa" w:w="120"/>
              <w:bottom w:type="dxa" w:w="80"/>
              <w:right w:type="dxa" w:w="120"/>
            </w:tcMar>
          </w:tcPr>
          <w:p>
            <w:pPr>
              <w:spacing w:after="0" w:line="264"/>
            </w:pPr>
            <w:r>
              <w:rPr>
                <w:b w:val="false"/>
                <w:bCs w:val="false"/>
              </w:rPr>
              <w:t xml:space="preserve">Inventaire physique périodique avec régularisation ?</w:t>
            </w:r>
          </w:p>
        </w:tc>
        <w:tc>
          <w:tcPr>
            <w:tcW w:type="dxa" w:w="4226"/>
            <w:shd w:fill="FFFFFF" w:val="clear"/>
            <w:tcMar>
              <w:top w:type="dxa" w:w="80"/>
              <w:left w:type="dxa" w:w="120"/>
              <w:bottom w:type="dxa" w:w="80"/>
              <w:right w:type="dxa" w:w="120"/>
            </w:tcMar>
          </w:tcPr>
          <w:p>
            <w:pPr>
              <w:spacing w:after="0" w:line="264"/>
            </w:pPr>
            <w:r>
              <w:rPr>
                <w:b w:val="false"/>
                <w:bCs w:val="false"/>
              </w:rPr>
              <w:t xml:space="preserve">Oui.</w:t>
            </w:r>
          </w:p>
        </w:tc>
      </w:tr>
      <w:tr>
        <w:tc>
          <w:tcPr>
            <w:tcW w:type="dxa" w:w="600"/>
            <w:shd w:fill="FFFFFF" w:val="clear"/>
            <w:tcMar>
              <w:top w:type="dxa" w:w="80"/>
              <w:left w:type="dxa" w:w="120"/>
              <w:bottom w:type="dxa" w:w="80"/>
              <w:right w:type="dxa" w:w="120"/>
            </w:tcMar>
          </w:tcPr>
          <w:p>
            <w:pPr>
              <w:spacing w:after="0" w:line="264"/>
              <w:jc w:val="center"/>
            </w:pPr>
            <w:r>
              <w:rPr>
                <w:b w:val="false"/>
                <w:bCs w:val="false"/>
              </w:rPr>
              <w:t xml:space="preserve">10</w:t>
            </w:r>
          </w:p>
        </w:tc>
        <w:tc>
          <w:tcPr>
            <w:tcW w:type="dxa" w:w="4200"/>
            <w:shd w:fill="FFFFFF" w:val="clear"/>
            <w:tcMar>
              <w:top w:type="dxa" w:w="80"/>
              <w:left w:type="dxa" w:w="120"/>
              <w:bottom w:type="dxa" w:w="80"/>
              <w:right w:type="dxa" w:w="120"/>
            </w:tcMar>
          </w:tcPr>
          <w:p>
            <w:pPr>
              <w:spacing w:after="0" w:line="264"/>
            </w:pPr>
            <w:r>
              <w:rPr>
                <w:b w:val="false"/>
                <w:bCs w:val="false"/>
              </w:rPr>
              <w:t xml:space="preserve">Volumétrie attendue ?</w:t>
            </w:r>
          </w:p>
        </w:tc>
        <w:tc>
          <w:tcPr>
            <w:tcW w:type="dxa" w:w="4226"/>
            <w:shd w:fill="FFFFFF" w:val="clear"/>
            <w:tcMar>
              <w:top w:type="dxa" w:w="80"/>
              <w:left w:type="dxa" w:w="120"/>
              <w:bottom w:type="dxa" w:w="80"/>
              <w:right w:type="dxa" w:w="120"/>
            </w:tcMar>
          </w:tcPr>
          <w:p>
            <w:pPr>
              <w:spacing w:after="0" w:line="264"/>
            </w:pPr>
            <w:r>
              <w:rPr>
                <w:b w:val="false"/>
                <w:bCs w:val="false"/>
              </w:rPr>
              <w:t xml:space="preserve">Moins de 20 utilisateurs par jour ; plus de 300 lignes de vente par jour, dépôt et maquis confondus.</w:t>
            </w:r>
          </w:p>
        </w:tc>
      </w:tr>
    </w:tbl>
    <w:p>
      <w:pPr>
        <w:spacing w:after="160"/>
      </w:pPr>
    </w:p>
    <w:p>
      <w:pPr>
        <w:spacing w:after="120" w:line="276"/>
      </w:pPr>
      <w:r>
        <w:rPr>
          <w:b/>
          <w:bCs/>
        </w:rPr>
        <w:t xml:space="preserve">Points à trancher avant la version suivante. </w:t>
      </w:r>
      <w:r>
        <w:t xml:space="preserve">Trois réponses divergent des hypothèses retenues au chapitre 3 et n'ont donc pas été mises en œuvre dans la version actuelle : la gestion de la consigne, attendue en v1 alors que l'hypothèse H6 la reporte en v2 ; les mentions fiscales sur la facture, attendues alors que l'hypothèse H4 les exclut ; et l'inventaire physique périodique avec régularisation, qui n'est décrit dans aucun chapitre. Ces trois sujets constituent le périmètre naturel d'une version 2 et doivent faire l'objet d'un arbitrage explicite.</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595959"/>
        <w:sz w:val="16"/>
        <w:szCs w:val="16"/>
      </w:rPr>
      <w:t xml:space="preserve">OBV Gestion — Spécifications fonctionnelles   ·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6E3D6" w:sz="6" w:space="6"/>
      </w:pBdr>
      <w:spacing w:after="180" w:before="360"/>
    </w:pPr>
    <w:rPr>
      <w:rFonts w:ascii="Calibri" w:cs="Calibri" w:eastAsia="Calibri" w:hAnsi="Calibri"/>
      <w:b/>
      <w:bCs/>
      <w:color w:val="096A09"/>
      <w:sz w:val="32"/>
      <w:szCs w:val="32"/>
    </w:rPr>
  </w:style>
  <w:style w:type="paragraph" w:styleId="Heading2">
    <w:name w:val="Heading 2"/>
    <w:basedOn w:val="Normal"/>
    <w:next w:val="Normal"/>
    <w:qFormat/>
    <w:pPr>
      <w:spacing w:after="140" w:before="280"/>
    </w:pPr>
    <w:rPr>
      <w:rFonts w:ascii="Calibri" w:cs="Calibri" w:eastAsia="Calibri" w:hAnsi="Calibri"/>
      <w:b/>
      <w:bCs/>
      <w:color w:val="096A09"/>
      <w:sz w:val="26"/>
      <w:szCs w:val="26"/>
    </w:rPr>
  </w:style>
  <w:style w:type="paragraph" w:styleId="Heading3">
    <w:name w:val="Heading 3"/>
    <w:basedOn w:val="Normal"/>
    <w:next w:val="Normal"/>
    <w:qFormat/>
    <w:pPr>
      <w:spacing w:after="120" w:before="22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OBV Gestion — Spécifications fonctionnelles</dc:title>
  <dc:creator>ASSOMA Technology</dc:creator>
  <dc:description>Spécifications fonctionnelles de l’application OBV Gestion</dc:description>
  <cp:lastModifiedBy>Un-named</cp:lastModifiedBy>
  <cp:revision>1</cp:revision>
  <dcterms:created xsi:type="dcterms:W3CDTF">2026-09-02T17:46:13.259Z</dcterms:created>
  <dcterms:modified xsi:type="dcterms:W3CDTF">2026-09-02T17:46:13.260Z</dcterms:modified>
</cp:coreProperties>
</file>

<file path=docProps/custom.xml><?xml version="1.0" encoding="utf-8"?>
<Properties xmlns="http://schemas.openxmlformats.org/officeDocument/2006/custom-properties" xmlns:vt="http://schemas.openxmlformats.org/officeDocument/2006/docPropsVTypes"/>
</file>