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left w:val="none"/>
          <w:bottom w:val="none"/>
          <w:right w:val="none"/>
          <w:insideH w:val="none"/>
          <w:insideV w:val="none"/>
        </w:tblBorders>
      </w:tblPr>
      <w:tblGrid>
        <w:gridCol w:w="9026"/>
      </w:tblGrid>
      <w:tr>
        <w:tc>
          <w:tcPr>
            <w:tcW w:type="dxa" w:w="9026"/>
            <w:shd w:fill="096A09" w:val="clear"/>
            <w:tcMar>
              <w:top w:type="dxa" w:w="130"/>
              <w:left w:type="dxa" w:w="200"/>
              <w:bottom w:type="dxa" w:w="130"/>
              <w:right w:type="dxa" w:w="200"/>
            </w:tcMar>
          </w:tcPr>
          <w:p>
            <w:pPr>
              <w:spacing w:after="0"/>
            </w:pPr>
            <w:r>
              <w:rPr>
                <w:rFonts w:ascii="Consolas" w:cs="Consolas" w:eastAsia="Consolas" w:hAnsi="Consolas"/>
                <w:color w:val="FFFFFF"/>
                <w:spacing w:val="40"/>
                <w:sz w:val="17"/>
                <w:szCs w:val="17"/>
              </w:rPr>
              <w:t xml:space="preserve">ASSOMA TECHNOLOGY</w:t>
            </w:r>
          </w:p>
        </w:tc>
      </w:tr>
    </w:tbl>
    <w:p>
      <w:pPr>
        <w:spacing w:after="2600"/>
      </w:pPr>
    </w:p>
    <w:p>
      <w:pPr>
        <w:spacing w:after="160"/>
      </w:pPr>
      <w:r>
        <w:rPr>
          <w:rFonts w:ascii="Cambria" w:cs="Cambria" w:eastAsia="Cambria" w:hAnsi="Cambria"/>
          <w:b/>
          <w:bCs/>
          <w:color w:val="096A09"/>
          <w:sz w:val="84"/>
          <w:szCs w:val="84"/>
        </w:rPr>
        <w:t xml:space="preserve">OBV Gestion</w:t>
      </w:r>
    </w:p>
    <w:p>
      <w:pPr>
        <w:pBdr>
          <w:bottom w:val="single" w:color="CC5500" w:sz="24" w:space="10"/>
        </w:pBdr>
        <w:spacing w:after="220"/>
      </w:pPr>
      <w:r>
        <w:rPr>
          <w:rFonts w:ascii="Cambria" w:cs="Cambria" w:eastAsia="Cambria" w:hAnsi="Cambria"/>
          <w:color w:val="1B1B1B"/>
          <w:sz w:val="46"/>
          <w:szCs w:val="46"/>
        </w:rPr>
        <w:t xml:space="preserve">Document d'architecture</w:t>
      </w:r>
    </w:p>
    <w:p>
      <w:pPr>
        <w:spacing w:after="1600"/>
      </w:pPr>
      <w:r>
        <w:rPr>
          <w:rFonts w:ascii="Calibri" w:cs="Calibri" w:eastAsia="Calibri" w:hAnsi="Calibri"/>
          <w:color w:val="5A6357"/>
          <w:sz w:val="24"/>
          <w:szCs w:val="24"/>
        </w:rPr>
        <w:t xml:space="preserve">Découpage en modules, sens des dépendances et interactions entre services</w:t>
      </w:r>
    </w:p>
    <w:tbl>
      <w:tblPr>
        <w:tblW w:type="dxa" w:w="9026"/>
        <w:tblBorders>
          <w:top w:val="none"/>
          <w:left w:val="none"/>
          <w:bottom w:val="none"/>
          <w:right w:val="none"/>
          <w:insideH w:val="single" w:color="D4DCD0" w:sz="3"/>
          <w:insideV w:val="none"/>
        </w:tblBorders>
      </w:tblPr>
      <w:tblGrid>
        <w:gridCol w:w="2600"/>
        <w:gridCol w:w="6426"/>
      </w:tblGrid>
      <w:tr>
        <w:tc>
          <w:tcPr>
            <w:tcW w:type="dxa" w:w="2600"/>
            <w:tcMar>
              <w:top w:type="dxa" w:w="130"/>
              <w:left w:type="dxa" w:w="0"/>
              <w:bottom w:type="dxa" w:w="130"/>
              <w:right w:type="dxa" w:w="160"/>
            </w:tcMar>
          </w:tcPr>
          <w:p>
            <w:pPr>
              <w:spacing w:after="0"/>
            </w:pPr>
            <w:r>
              <w:rPr>
                <w:rFonts w:ascii="Consolas" w:cs="Consolas" w:eastAsia="Consolas" w:hAnsi="Consolas"/>
                <w:color w:val="CC5500"/>
                <w:spacing w:val="25"/>
                <w:sz w:val="16"/>
                <w:szCs w:val="16"/>
              </w:rPr>
              <w:t xml:space="preserve">VERSION</w:t>
            </w:r>
          </w:p>
        </w:tc>
        <w:tc>
          <w:tcPr>
            <w:tcW w:type="dxa" w:w="6426"/>
            <w:tcMar>
              <w:top w:type="dxa" w:w="130"/>
              <w:left w:type="dxa" w:w="0"/>
              <w:bottom w:type="dxa" w:w="130"/>
              <w:right w:type="dxa" w:w="0"/>
            </w:tcMar>
          </w:tcPr>
          <w:p>
            <w:pPr>
              <w:spacing w:after="0"/>
            </w:pPr>
            <w:r>
              <w:rPr>
                <w:rFonts w:ascii="Calibri" w:cs="Calibri" w:eastAsia="Calibri" w:hAnsi="Calibri"/>
                <w:color w:val="1B1B1B"/>
                <w:sz w:val="20"/>
                <w:szCs w:val="20"/>
              </w:rPr>
              <w:t xml:space="preserve">1.0</w:t>
            </w:r>
          </w:p>
        </w:tc>
      </w:tr>
      <w:tr>
        <w:tc>
          <w:tcPr>
            <w:tcW w:type="dxa" w:w="2600"/>
            <w:tcMar>
              <w:top w:type="dxa" w:w="130"/>
              <w:left w:type="dxa" w:w="0"/>
              <w:bottom w:type="dxa" w:w="130"/>
              <w:right w:type="dxa" w:w="160"/>
            </w:tcMar>
          </w:tcPr>
          <w:p>
            <w:pPr>
              <w:spacing w:after="0"/>
            </w:pPr>
            <w:r>
              <w:rPr>
                <w:rFonts w:ascii="Consolas" w:cs="Consolas" w:eastAsia="Consolas" w:hAnsi="Consolas"/>
                <w:color w:val="CC5500"/>
                <w:spacing w:val="25"/>
                <w:sz w:val="16"/>
                <w:szCs w:val="16"/>
              </w:rPr>
              <w:t xml:space="preserve">DATE</w:t>
            </w:r>
          </w:p>
        </w:tc>
        <w:tc>
          <w:tcPr>
            <w:tcW w:type="dxa" w:w="6426"/>
            <w:tcMar>
              <w:top w:type="dxa" w:w="130"/>
              <w:left w:type="dxa" w:w="0"/>
              <w:bottom w:type="dxa" w:w="130"/>
              <w:right w:type="dxa" w:w="0"/>
            </w:tcMar>
          </w:tcPr>
          <w:p>
            <w:pPr>
              <w:spacing w:after="0"/>
            </w:pPr>
            <w:r>
              <w:rPr>
                <w:rFonts w:ascii="Calibri" w:cs="Calibri" w:eastAsia="Calibri" w:hAnsi="Calibri"/>
                <w:color w:val="1B1B1B"/>
                <w:sz w:val="20"/>
                <w:szCs w:val="20"/>
              </w:rPr>
              <w:t xml:space="preserve">Septembre 2026</w:t>
            </w:r>
          </w:p>
        </w:tc>
      </w:tr>
      <w:tr>
        <w:tc>
          <w:tcPr>
            <w:tcW w:type="dxa" w:w="2600"/>
            <w:tcMar>
              <w:top w:type="dxa" w:w="130"/>
              <w:left w:type="dxa" w:w="0"/>
              <w:bottom w:type="dxa" w:w="130"/>
              <w:right w:type="dxa" w:w="160"/>
            </w:tcMar>
          </w:tcPr>
          <w:p>
            <w:pPr>
              <w:spacing w:after="0"/>
            </w:pPr>
            <w:r>
              <w:rPr>
                <w:rFonts w:ascii="Consolas" w:cs="Consolas" w:eastAsia="Consolas" w:hAnsi="Consolas"/>
                <w:color w:val="CC5500"/>
                <w:spacing w:val="25"/>
                <w:sz w:val="16"/>
                <w:szCs w:val="16"/>
              </w:rPr>
              <w:t xml:space="preserve">PÉRIMÈTRE</w:t>
            </w:r>
          </w:p>
        </w:tc>
        <w:tc>
          <w:tcPr>
            <w:tcW w:type="dxa" w:w="6426"/>
            <w:tcMar>
              <w:top w:type="dxa" w:w="130"/>
              <w:left w:type="dxa" w:w="0"/>
              <w:bottom w:type="dxa" w:w="130"/>
              <w:right w:type="dxa" w:w="0"/>
            </w:tcMar>
          </w:tcPr>
          <w:p>
            <w:pPr>
              <w:spacing w:after="0"/>
            </w:pPr>
            <w:r>
              <w:rPr>
                <w:rFonts w:ascii="Calibri" w:cs="Calibri" w:eastAsia="Calibri" w:hAnsi="Calibri"/>
                <w:color w:val="1B1B1B"/>
                <w:sz w:val="20"/>
                <w:szCs w:val="20"/>
              </w:rPr>
              <w:t xml:space="preserve">Architecture logicielle. Le comportement fonctionnel fait l'objet d'un document distinct.</w:t>
            </w:r>
          </w:p>
        </w:tc>
      </w:tr>
      <w:tr>
        <w:tc>
          <w:tcPr>
            <w:tcW w:type="dxa" w:w="2600"/>
            <w:tcMar>
              <w:top w:type="dxa" w:w="130"/>
              <w:left w:type="dxa" w:w="0"/>
              <w:bottom w:type="dxa" w:w="130"/>
              <w:right w:type="dxa" w:w="160"/>
            </w:tcMar>
          </w:tcPr>
          <w:p>
            <w:pPr>
              <w:spacing w:after="0"/>
            </w:pPr>
            <w:r>
              <w:rPr>
                <w:rFonts w:ascii="Consolas" w:cs="Consolas" w:eastAsia="Consolas" w:hAnsi="Consolas"/>
                <w:color w:val="CC5500"/>
                <w:spacing w:val="25"/>
                <w:sz w:val="16"/>
                <w:szCs w:val="16"/>
              </w:rPr>
              <w:t xml:space="preserve">DESTINATAIRES</w:t>
            </w:r>
          </w:p>
        </w:tc>
        <w:tc>
          <w:tcPr>
            <w:tcW w:type="dxa" w:w="6426"/>
            <w:tcMar>
              <w:top w:type="dxa" w:w="130"/>
              <w:left w:type="dxa" w:w="0"/>
              <w:bottom w:type="dxa" w:w="130"/>
              <w:right w:type="dxa" w:w="0"/>
            </w:tcMar>
          </w:tcPr>
          <w:p>
            <w:pPr>
              <w:spacing w:after="0"/>
            </w:pPr>
            <w:r>
              <w:rPr>
                <w:rFonts w:ascii="Calibri" w:cs="Calibri" w:eastAsia="Calibri" w:hAnsi="Calibri"/>
                <w:color w:val="1B1B1B"/>
                <w:sz w:val="20"/>
                <w:szCs w:val="20"/>
              </w:rPr>
              <w:t xml:space="preserve">Équipe de développement, intégrateurs, mainteneurs</w:t>
            </w:r>
          </w:p>
        </w:tc>
      </w:tr>
      <w:tr>
        <w:tc>
          <w:tcPr>
            <w:tcW w:type="dxa" w:w="2600"/>
            <w:tcMar>
              <w:top w:type="dxa" w:w="130"/>
              <w:left w:type="dxa" w:w="0"/>
              <w:bottom w:type="dxa" w:w="130"/>
              <w:right w:type="dxa" w:w="160"/>
            </w:tcMar>
          </w:tcPr>
          <w:p>
            <w:pPr>
              <w:spacing w:after="0"/>
            </w:pPr>
            <w:r>
              <w:rPr>
                <w:rFonts w:ascii="Consolas" w:cs="Consolas" w:eastAsia="Consolas" w:hAnsi="Consolas"/>
                <w:color w:val="CC5500"/>
                <w:spacing w:val="25"/>
                <w:sz w:val="16"/>
                <w:szCs w:val="16"/>
              </w:rPr>
              <w:t xml:space="preserve">SOURCE VERSIONNÉE</w:t>
            </w:r>
          </w:p>
        </w:tc>
        <w:tc>
          <w:tcPr>
            <w:tcW w:type="dxa" w:w="6426"/>
            <w:tcMar>
              <w:top w:type="dxa" w:w="130"/>
              <w:left w:type="dxa" w:w="0"/>
              <w:bottom w:type="dxa" w:w="130"/>
              <w:right w:type="dxa" w:w="0"/>
            </w:tcMar>
          </w:tcPr>
          <w:p>
            <w:pPr>
              <w:spacing w:after="0"/>
            </w:pPr>
            <w:r>
              <w:rPr>
                <w:rFonts w:ascii="Calibri" w:cs="Calibri" w:eastAsia="Calibri" w:hAnsi="Calibri"/>
                <w:color w:val="1B1B1B"/>
                <w:sz w:val="20"/>
                <w:szCs w:val="20"/>
              </w:rPr>
              <w:t xml:space="preserve">docs/architecture.md</w:t>
            </w:r>
          </w:p>
        </w:tc>
      </w:tr>
    </w:tbl>
    <w:p>
      <w:pPr>
        <w:spacing w:after="2000"/>
      </w:pPr>
    </w:p>
    <w:tbl>
      <w:tblPr>
        <w:tblW w:type="dxa" w:w="9026"/>
        <w:tblBorders>
          <w:top w:val="none"/>
          <w:left w:val="none"/>
          <w:bottom w:val="none"/>
          <w:right w:val="none"/>
          <w:insideH w:val="none"/>
          <w:insideV w:val="none"/>
        </w:tblBorders>
      </w:tblPr>
      <w:tblGrid>
        <w:gridCol w:w="9026"/>
      </w:tblGrid>
      <w:tr>
        <w:tc>
          <w:tcPr>
            <w:tcW w:type="dxa" w:w="9026"/>
            <w:shd w:fill="EDF3EB" w:val="clear"/>
            <w:tcMar>
              <w:top w:type="dxa" w:w="110"/>
              <w:left w:type="dxa" w:w="200"/>
              <w:bottom w:type="dxa" w:w="110"/>
              <w:right w:type="dxa" w:w="200"/>
            </w:tcMar>
          </w:tcPr>
          <w:p>
            <w:pPr>
              <w:spacing w:after="0"/>
            </w:pPr>
            <w:r>
              <w:rPr>
                <w:rFonts w:ascii="Consolas" w:cs="Consolas" w:eastAsia="Consolas" w:hAnsi="Consolas"/>
                <w:color w:val="096A09"/>
                <w:spacing w:val="40"/>
                <w:sz w:val="17"/>
                <w:szCs w:val="17"/>
              </w:rPr>
              <w:t xml:space="preserve">CINQ MODULES · 29 PORTS · 36 ADAPTATEURS · 10 SCHÉMAS</w:t>
            </w:r>
          </w:p>
        </w:tc>
      </w:tr>
    </w:tbl>
    <w:p>
      <w:pPr>
        <w:sectPr>
          <w:pgSz w:w="11906" w:h="16838" w:orient="portrait"/>
          <w:pgMar w:top="1440" w:right="1440" w:bottom="1440" w:left="1440" w:header="708" w:footer="708" w:gutter="0"/>
          <w:pgNumType/>
          <w:docGrid w:linePitch="360"/>
        </w:sectPr>
      </w:pPr>
    </w:p>
    <w:p>
      <w:pPr>
        <w:pBdr>
          <w:bottom w:val="single" w:color="CC5500" w:sz="24" w:space="10"/>
        </w:pBdr>
        <w:spacing w:after="260" w:before="240"/>
      </w:pPr>
      <w:r>
        <w:rPr>
          <w:rFonts w:ascii="Cambria" w:cs="Cambria" w:eastAsia="Cambria" w:hAnsi="Cambria"/>
          <w:b/>
          <w:bCs/>
          <w:color w:val="096A09"/>
          <w:sz w:val="48"/>
          <w:szCs w:val="48"/>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4DCD0" w:sz="10" w:space="10"/>
        </w:pBdr>
        <w:spacing w:after="220" w:before="460"/>
      </w:pPr>
      <w:r>
        <w:rPr>
          <w:rFonts w:ascii="Consolas" w:cs="Consolas" w:eastAsia="Consolas" w:hAnsi="Consolas"/>
          <w:b/>
          <w:bCs/>
          <w:color w:val="CC5500"/>
          <w:sz w:val="28"/>
          <w:szCs w:val="28"/>
        </w:rPr>
        <w:t xml:space="preserve">01   </w:t>
      </w:r>
      <w:r>
        <w:rPr>
          <w:rFonts w:ascii="Cambria" w:cs="Cambria" w:eastAsia="Cambria" w:hAnsi="Cambria"/>
          <w:b/>
          <w:bCs/>
          <w:color w:val="096A09"/>
          <w:sz w:val="32"/>
          <w:szCs w:val="32"/>
        </w:rPr>
        <w:t xml:space="preserve">Vue d'ensemble</w:t>
      </w:r>
    </w:p>
    <w:p>
      <w:pPr>
        <w:spacing w:after="140" w:line="288"/>
      </w:pPr>
      <w:r>
        <w:rPr>
          <w:rFonts w:ascii="Calibri" w:cs="Calibri" w:eastAsia="Calibri" w:hAnsi="Calibri"/>
          <w:sz w:val="21"/>
          <w:szCs w:val="21"/>
        </w:rPr>
        <w:t xml:space="preserve">OBV Gestion est une application web à deux tiers : une application monopage Angular, et une API REST Spring Boot qui porte l'intégralité de la logique métier. </w:t>
      </w:r>
      <w:r>
        <w:rPr>
          <w:rFonts w:ascii="Calibri" w:cs="Calibri" w:eastAsia="Calibri" w:hAnsi="Calibri"/>
          <w:b/>
          <w:bCs/>
          <w:sz w:val="21"/>
          <w:szCs w:val="21"/>
        </w:rPr>
        <w:t xml:space="preserve">Aucun calcul métier n'est réalisé côté navigateur</w:t>
      </w:r>
      <w:r>
        <w:rPr>
          <w:rFonts w:ascii="Calibri" w:cs="Calibri" w:eastAsia="Calibri" w:hAnsi="Calibri"/>
          <w:sz w:val="21"/>
          <w:szCs w:val="21"/>
        </w:rPr>
        <w:t xml:space="preserve"> — le frontend affiche, saisit et valide la forme des données, rien de plus. C'est ce qui permet d'ouvrir plus tard un second client (application mobile, borne) sans réécrire une règle.</w:t>
      </w:r>
    </w:p>
    <w:p>
      <w:pPr>
        <w:spacing w:after="100" w:before="260"/>
        <w:jc w:val="center"/>
      </w:pPr>
      <w:r>
        <w:drawing>
          <wp:inline distT="0" distB="0" distL="0" distR="0">
            <wp:extent cx="5715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33575"/>
                    </a:xfrm>
                    <a:prstGeom prst="rect">
                      <a:avLst/>
                    </a:prstGeom>
                  </pic:spPr>
                </pic:pic>
              </a:graphicData>
            </a:graphic>
          </wp:inline>
        </w:drawing>
      </w:r>
    </w:p>
    <w:tbl>
      <w:tblPr>
        <w:tblW w:type="dxa" w:w="9026"/>
        <w:tblBorders>
          <w:top w:val="single" w:color="1FA055" w:sz="6"/>
          <w:left w:val="none"/>
          <w:bottom w:val="none"/>
          <w:right w:val="none"/>
          <w:insideH w:val="none"/>
          <w:insideV w:val="none"/>
        </w:tblBorders>
      </w:tblPr>
      <w:tblGrid>
        <w:gridCol w:w="9026"/>
      </w:tblGrid>
      <w:tr>
        <w:tc>
          <w:tcPr>
            <w:tcW w:type="dxa" w:w="9026"/>
            <w:tcMar>
              <w:top w:type="dxa" w:w="100"/>
              <w:left w:type="dxa" w:w="0"/>
              <w:bottom w:type="dxa" w:w="60"/>
              <w:right w:type="dxa" w:w="0"/>
            </w:tcMar>
          </w:tcPr>
          <w:p>
            <w:pPr>
              <w:spacing w:after="0" w:line="264"/>
            </w:pPr>
            <w:r>
              <w:rPr>
                <w:rFonts w:ascii="Calibri" w:cs="Calibri" w:eastAsia="Calibri" w:hAnsi="Calibri"/>
                <w:b/>
                <w:bCs/>
                <w:color w:val="096A09"/>
                <w:sz w:val="18"/>
                <w:szCs w:val="18"/>
              </w:rPr>
              <w:t xml:space="preserve">Figure 1 — </w:t>
            </w:r>
            <w:r>
              <w:rPr>
                <w:rFonts w:ascii="Calibri" w:cs="Calibri" w:eastAsia="Calibri" w:hAnsi="Calibri"/>
                <w:b/>
                <w:bCs/>
                <w:color w:val="1B1B1B"/>
                <w:sz w:val="18"/>
                <w:szCs w:val="18"/>
              </w:rPr>
              <w:t xml:space="preserve">Le périmètre du système. </w:t>
            </w:r>
            <w:r>
              <w:rPr>
                <w:rFonts w:ascii="Calibri" w:cs="Calibri" w:eastAsia="Calibri" w:hAnsi="Calibri"/>
                <w:color w:val="5A6357"/>
                <w:sz w:val="18"/>
                <w:szCs w:val="18"/>
              </w:rPr>
              <w:t xml:space="preserve">Tout ce qui est à droite de l'API est une ressource externe, remplaçable par configuration. PostgreSQL et Redis ne portent pas le même type de donnée : la distinction est détaillée en section 9.</w:t>
            </w:r>
          </w:p>
        </w:tc>
      </w:tr>
    </w:tbl>
    <w:p>
      <w:pPr>
        <w:spacing w:after="180"/>
      </w:pPr>
    </w:p>
    <w:p>
      <w:pPr>
        <w:pStyle w:val="Heading1"/>
        <w:pBdr>
          <w:bottom w:val="single" w:color="D4DCD0" w:sz="10" w:space="10"/>
        </w:pBdr>
        <w:spacing w:after="220" w:before="460"/>
      </w:pPr>
      <w:r>
        <w:rPr>
          <w:rFonts w:ascii="Consolas" w:cs="Consolas" w:eastAsia="Consolas" w:hAnsi="Consolas"/>
          <w:b/>
          <w:bCs/>
          <w:color w:val="CC5500"/>
          <w:sz w:val="28"/>
          <w:szCs w:val="28"/>
        </w:rPr>
        <w:t xml:space="preserve">02   </w:t>
      </w:r>
      <w:r>
        <w:rPr>
          <w:rFonts w:ascii="Cambria" w:cs="Cambria" w:eastAsia="Cambria" w:hAnsi="Cambria"/>
          <w:b/>
          <w:bCs/>
          <w:color w:val="096A09"/>
          <w:sz w:val="32"/>
          <w:szCs w:val="32"/>
        </w:rPr>
        <w:t xml:space="preserve">La règle de dépendance</w:t>
      </w:r>
    </w:p>
    <w:p>
      <w:pPr>
        <w:spacing w:after="140" w:line="288"/>
      </w:pPr>
      <w:r>
        <w:rPr>
          <w:rFonts w:ascii="Calibri" w:cs="Calibri" w:eastAsia="Calibri" w:hAnsi="Calibri"/>
          <w:sz w:val="21"/>
          <w:szCs w:val="21"/>
        </w:rPr>
        <w:t xml:space="preserve">Le backend est découpé en cinq modules Maven. La règle qui les organise tient en une phrase : </w:t>
      </w:r>
      <w:r>
        <w:rPr>
          <w:rFonts w:ascii="Calibri" w:cs="Calibri" w:eastAsia="Calibri" w:hAnsi="Calibri"/>
          <w:b/>
          <w:bCs/>
          <w:sz w:val="21"/>
          <w:szCs w:val="21"/>
        </w:rPr>
        <w:t xml:space="preserve">les dépendances pointent toujours vers le métier, jamais l'inverse.</w:t>
      </w:r>
      <w:r>
        <w:rPr>
          <w:rFonts w:ascii="Calibri" w:cs="Calibri" w:eastAsia="Calibri" w:hAnsi="Calibri"/>
          <w:sz w:val="21"/>
          <w:szCs w:val="21"/>
        </w:rPr>
        <w:t xml:space="preserve"> C'est la seule contrainte d'architecture réellement structurante du projet ; tout le reste en découle.</w:t>
      </w:r>
    </w:p>
    <w:p>
      <w:pPr>
        <w:spacing w:after="100" w:before="26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28875"/>
                    </a:xfrm>
                    <a:prstGeom prst="rect">
                      <a:avLst/>
                    </a:prstGeom>
                  </pic:spPr>
                </pic:pic>
              </a:graphicData>
            </a:graphic>
          </wp:inline>
        </w:drawing>
      </w:r>
    </w:p>
    <w:tbl>
      <w:tblPr>
        <w:tblW w:type="dxa" w:w="9026"/>
        <w:tblBorders>
          <w:top w:val="single" w:color="1FA055" w:sz="6"/>
          <w:left w:val="none"/>
          <w:bottom w:val="none"/>
          <w:right w:val="none"/>
          <w:insideH w:val="none"/>
          <w:insideV w:val="none"/>
        </w:tblBorders>
      </w:tblPr>
      <w:tblGrid>
        <w:gridCol w:w="9026"/>
      </w:tblGrid>
      <w:tr>
        <w:tc>
          <w:tcPr>
            <w:tcW w:type="dxa" w:w="9026"/>
            <w:tcMar>
              <w:top w:type="dxa" w:w="100"/>
              <w:left w:type="dxa" w:w="0"/>
              <w:bottom w:type="dxa" w:w="60"/>
              <w:right w:type="dxa" w:w="0"/>
            </w:tcMar>
          </w:tcPr>
          <w:p>
            <w:pPr>
              <w:spacing w:after="0" w:line="264"/>
            </w:pPr>
            <w:r>
              <w:rPr>
                <w:rFonts w:ascii="Calibri" w:cs="Calibri" w:eastAsia="Calibri" w:hAnsi="Calibri"/>
                <w:b/>
                <w:bCs/>
                <w:color w:val="096A09"/>
                <w:sz w:val="18"/>
                <w:szCs w:val="18"/>
              </w:rPr>
              <w:t xml:space="preserve">Figure 2 — </w:t>
            </w:r>
            <w:r>
              <w:rPr>
                <w:rFonts w:ascii="Calibri" w:cs="Calibri" w:eastAsia="Calibri" w:hAnsi="Calibri"/>
                <w:b/>
                <w:bCs/>
                <w:color w:val="1B1B1B"/>
                <w:sz w:val="18"/>
                <w:szCs w:val="18"/>
              </w:rPr>
              <w:t xml:space="preserve">Aucune flèche ne remonte. </w:t>
            </w:r>
            <w:r>
              <w:rPr>
                <w:rFonts w:ascii="Calibri" w:cs="Calibri" w:eastAsia="Calibri" w:hAnsi="Calibri"/>
                <w:color w:val="5A6357"/>
                <w:sz w:val="18"/>
                <w:szCs w:val="18"/>
              </w:rPr>
              <w:t xml:space="preserve">obv-domain ignore l'existence de PostgreSQL, du web et de Redis. On peut changer de base de données ou exposer autre chose que REST sans toucher une ligne de règle métier. La courte flèche entre obv-api et obv-infrastructure existe bien : l'API a besoin des briques de sécurité concrètes pour construire sa chaîne de filtres.</w:t>
            </w:r>
          </w:p>
        </w:tc>
      </w:tr>
    </w:tbl>
    <w:p>
      <w:pPr>
        <w:spacing w:after="180"/>
      </w:pPr>
    </w:p>
    <w:tbl>
      <w:tblPr>
        <w:tblW w:type="dxa" w:w="9026"/>
        <w:tblBorders>
          <w:top w:val="none"/>
          <w:left w:val="single" w:color="CC5500" w:sz="18"/>
          <w:bottom w:val="none"/>
          <w:right w:val="none"/>
          <w:insideH w:val="none"/>
          <w:insideV w:val="none"/>
        </w:tblBorders>
      </w:tblPr>
      <w:tblGrid>
        <w:gridCol w:w="9026"/>
      </w:tblGrid>
      <w:tr>
        <w:tc>
          <w:tcPr>
            <w:tcW w:type="dxa" w:w="9026"/>
            <w:shd w:fill="FAEDE3" w:val="clear"/>
            <w:tcMar>
              <w:top w:type="dxa" w:w="160"/>
              <w:left w:type="dxa" w:w="220"/>
              <w:bottom w:type="dxa" w:w="160"/>
              <w:right w:type="dxa" w:w="220"/>
            </w:tcMar>
          </w:tcPr>
          <w:p>
            <w:pPr>
              <w:spacing w:after="90"/>
            </w:pPr>
            <w:r>
              <w:rPr>
                <w:rFonts w:ascii="Consolas" w:cs="Consolas" w:eastAsia="Consolas" w:hAnsi="Consolas"/>
                <w:color w:val="CC5500"/>
                <w:spacing w:val="30"/>
                <w:sz w:val="17"/>
                <w:szCs w:val="17"/>
              </w:rPr>
              <w:t xml:space="preserve">NUANCE À CONNAÎTRE</w:t>
            </w:r>
          </w:p>
          <w:p>
            <w:pPr>
              <w:spacing w:after="120" w:line="288"/>
            </w:pPr>
            <w:r>
              <w:rPr>
                <w:rFonts w:ascii="Calibri" w:cs="Calibri" w:eastAsia="Calibri" w:hAnsi="Calibri"/>
                <w:sz w:val="21"/>
                <w:szCs w:val="21"/>
              </w:rPr>
              <w:t xml:space="preserve">Le domaine n'est pas totalement isolé de toute technique : les 28 entités métier portent leurs annotations de mapping JPA (</w:t>
            </w:r>
            <w:r>
              <w:rPr>
                <w:rFonts w:ascii="Consolas" w:cs="Consolas" w:eastAsia="Consolas" w:hAnsi="Consolas"/>
                <w:color w:val="3D4A38"/>
                <w:sz w:val="18"/>
                <w:szCs w:val="18"/>
              </w:rPr>
              <w:t xml:space="preserve">@Entity</w:t>
            </w:r>
            <w:r>
              <w:rPr>
                <w:rFonts w:ascii="Calibri" w:cs="Calibri" w:eastAsia="Calibri" w:hAnsi="Calibri"/>
                <w:sz w:val="21"/>
                <w:szCs w:val="21"/>
              </w:rPr>
              <w:t xml:space="preserve">, </w:t>
            </w:r>
            <w:r>
              <w:rPr>
                <w:rFonts w:ascii="Consolas" w:cs="Consolas" w:eastAsia="Consolas" w:hAnsi="Consolas"/>
                <w:color w:val="3D4A38"/>
                <w:sz w:val="18"/>
                <w:szCs w:val="18"/>
              </w:rPr>
              <w:t xml:space="preserve">@Audited</w:t>
            </w:r>
            <w:r>
              <w:rPr>
                <w:rFonts w:ascii="Calibri" w:cs="Calibri" w:eastAsia="Calibri" w:hAnsi="Calibri"/>
                <w:sz w:val="21"/>
                <w:szCs w:val="21"/>
              </w:rPr>
              <w:t xml:space="preserve">). C'est un choix pragmatique — il évite d'entretenir un second jeu de classes de persistance et leur traduction.</w:t>
            </w:r>
          </w:p>
          <w:p>
            <w:pPr>
              <w:spacing w:after="0" w:line="288"/>
            </w:pPr>
            <w:r>
              <w:rPr>
                <w:rFonts w:ascii="Calibri" w:cs="Calibri" w:eastAsia="Calibri" w:hAnsi="Calibri"/>
                <w:sz w:val="21"/>
                <w:szCs w:val="21"/>
              </w:rPr>
              <w:t xml:space="preserve">En contrepartie, </w:t>
            </w:r>
            <w:r>
              <w:rPr>
                <w:rFonts w:ascii="Consolas" w:cs="Consolas" w:eastAsia="Consolas" w:hAnsi="Consolas"/>
                <w:color w:val="3D4A38"/>
                <w:sz w:val="18"/>
                <w:szCs w:val="18"/>
              </w:rPr>
              <w:t xml:space="preserve">obv-domain</w:t>
            </w:r>
            <w:r>
              <w:rPr>
                <w:rFonts w:ascii="Calibri" w:cs="Calibri" w:eastAsia="Calibri" w:hAnsi="Calibri"/>
                <w:sz w:val="21"/>
                <w:szCs w:val="21"/>
              </w:rPr>
              <w:t xml:space="preserve"> dépend de </w:t>
            </w:r>
            <w:r>
              <w:rPr>
                <w:rFonts w:ascii="Consolas" w:cs="Consolas" w:eastAsia="Consolas" w:hAnsi="Consolas"/>
                <w:color w:val="3D4A38"/>
                <w:sz w:val="18"/>
                <w:szCs w:val="18"/>
              </w:rPr>
              <w:t xml:space="preserve">jakarta.persistence-api</w:t>
            </w:r>
            <w:r>
              <w:rPr>
                <w:rFonts w:ascii="Calibri" w:cs="Calibri" w:eastAsia="Calibri" w:hAnsi="Calibri"/>
                <w:sz w:val="21"/>
                <w:szCs w:val="21"/>
              </w:rPr>
              <w:t xml:space="preserve"> et d'</w:t>
            </w:r>
            <w:r>
              <w:rPr>
                <w:rFonts w:ascii="Consolas" w:cs="Consolas" w:eastAsia="Consolas" w:hAnsi="Consolas"/>
                <w:color w:val="3D4A38"/>
                <w:sz w:val="18"/>
                <w:szCs w:val="18"/>
              </w:rPr>
              <w:t xml:space="preserve">hibernate-envers</w:t>
            </w:r>
            <w:r>
              <w:rPr>
                <w:rFonts w:ascii="Calibri" w:cs="Calibri" w:eastAsia="Calibri" w:hAnsi="Calibri"/>
                <w:sz w:val="21"/>
                <w:szCs w:val="21"/>
              </w:rPr>
              <w:t xml:space="preserve">. Ce qui reste strictement exclu du domaine : Spring, le web, Redis, et tout accès aux données — qui passe systématiquement par un port.</w:t>
            </w:r>
          </w:p>
        </w:tc>
      </w:tr>
    </w:tbl>
    <w:p>
      <w:pPr>
        <w:spacing w:after="220"/>
      </w:pPr>
    </w:p>
    <w:p>
      <w:pPr>
        <w:pStyle w:val="Heading1"/>
        <w:pBdr>
          <w:bottom w:val="single" w:color="D4DCD0" w:sz="10" w:space="10"/>
        </w:pBdr>
        <w:spacing w:after="220" w:before="460"/>
      </w:pPr>
      <w:r>
        <w:rPr>
          <w:rFonts w:ascii="Consolas" w:cs="Consolas" w:eastAsia="Consolas" w:hAnsi="Consolas"/>
          <w:b/>
          <w:bCs/>
          <w:color w:val="CC5500"/>
          <w:sz w:val="28"/>
          <w:szCs w:val="28"/>
        </w:rPr>
        <w:t xml:space="preserve">03   </w:t>
      </w:r>
      <w:r>
        <w:rPr>
          <w:rFonts w:ascii="Cambria" w:cs="Cambria" w:eastAsia="Cambria" w:hAnsi="Cambria"/>
          <w:b/>
          <w:bCs/>
          <w:color w:val="096A09"/>
          <w:sz w:val="32"/>
          <w:szCs w:val="32"/>
        </w:rPr>
        <w:t xml:space="preserve">Les cinq modules</w:t>
      </w:r>
    </w:p>
    <w:p>
      <w:pPr>
        <w:pStyle w:val="Heading2"/>
        <w:spacing w:after="120" w:before="320"/>
      </w:pPr>
      <w:r>
        <w:rPr>
          <w:rFonts w:ascii="Calibri" w:cs="Calibri" w:eastAsia="Calibri" w:hAnsi="Calibri"/>
          <w:b/>
          <w:bCs/>
          <w:color w:val="1B1B1B"/>
          <w:sz w:val="23"/>
          <w:szCs w:val="23"/>
        </w:rPr>
        <w:t xml:space="preserve">Qui contient quoi</w:t>
      </w:r>
    </w:p>
    <w:tbl>
      <w:tblPr>
        <w:tblW w:type="dxa" w:w="9026"/>
        <w:tblBorders>
          <w:top w:val="none"/>
          <w:left w:val="none"/>
          <w:bottom w:val="none"/>
          <w:right w:val="none"/>
          <w:insideH w:val="none"/>
          <w:insideV w:val="none"/>
        </w:tblBorders>
      </w:tblPr>
      <w:tblGrid>
        <w:gridCol w:w="1900"/>
        <w:gridCol w:w="2300"/>
        <w:gridCol w:w="3126"/>
        <w:gridCol w:w="1700"/>
      </w:tblGrid>
      <w:tr>
        <w:trPr>
          <w:tblHeader/>
        </w:trPr>
        <w:tc>
          <w:tcPr>
            <w:tcW w:type="dxa" w:w="1900"/>
            <w:tcBorders>
              <w:top w:val="none"/>
              <w:left w:val="none"/>
              <w:bottom w:val="none"/>
              <w:right w:val="none"/>
            </w:tcBorders>
            <w:shd w:fill="096A09" w:val="clear"/>
            <w:tcMar>
              <w:top w:type="dxa" w:w="90"/>
              <w:left w:type="dxa" w:w="60"/>
              <w:bottom w:type="dxa" w:w="90"/>
              <w:right w:type="dxa" w:w="120"/>
            </w:tcMar>
            <w:vAlign w:val="top"/>
          </w:tcPr>
          <w:p>
            <w:pPr>
              <w:spacing w:after="0" w:line="264"/>
            </w:pPr>
            <w:r>
              <w:rPr>
                <w:rFonts w:ascii="Calibri" w:cs="Calibri" w:eastAsia="Calibri" w:hAnsi="Calibri"/>
                <w:b/>
                <w:bCs/>
                <w:color w:val="FFFFFF"/>
                <w:spacing w:val="20"/>
                <w:sz w:val="17"/>
                <w:szCs w:val="17"/>
              </w:rPr>
              <w:t xml:space="preserve">MODULE</w:t>
            </w:r>
          </w:p>
        </w:tc>
        <w:tc>
          <w:tcPr>
            <w:tcW w:type="dxa" w:w="2300"/>
            <w:tcBorders>
              <w:top w:val="none"/>
              <w:left w:val="none"/>
              <w:bottom w:val="none"/>
              <w:right w:val="none"/>
            </w:tcBorders>
            <w:shd w:fill="096A09" w:val="clear"/>
            <w:tcMar>
              <w:top w:type="dxa" w:w="90"/>
              <w:left w:type="dxa" w:w="120"/>
              <w:bottom w:type="dxa" w:w="90"/>
              <w:right w:type="dxa" w:w="120"/>
            </w:tcMar>
            <w:vAlign w:val="top"/>
          </w:tcPr>
          <w:p>
            <w:pPr>
              <w:spacing w:after="0" w:line="264"/>
            </w:pPr>
            <w:r>
              <w:rPr>
                <w:rFonts w:ascii="Calibri" w:cs="Calibri" w:eastAsia="Calibri" w:hAnsi="Calibri"/>
                <w:b/>
                <w:bCs/>
                <w:color w:val="FFFFFF"/>
                <w:spacing w:val="20"/>
                <w:sz w:val="17"/>
                <w:szCs w:val="17"/>
              </w:rPr>
              <w:t xml:space="preserve">RÔLE</w:t>
            </w:r>
          </w:p>
        </w:tc>
        <w:tc>
          <w:tcPr>
            <w:tcW w:type="dxa" w:w="3126"/>
            <w:tcBorders>
              <w:top w:val="none"/>
              <w:left w:val="none"/>
              <w:bottom w:val="none"/>
              <w:right w:val="none"/>
            </w:tcBorders>
            <w:shd w:fill="096A09" w:val="clear"/>
            <w:tcMar>
              <w:top w:type="dxa" w:w="90"/>
              <w:left w:type="dxa" w:w="120"/>
              <w:bottom w:type="dxa" w:w="90"/>
              <w:right w:type="dxa" w:w="120"/>
            </w:tcMar>
            <w:vAlign w:val="top"/>
          </w:tcPr>
          <w:p>
            <w:pPr>
              <w:spacing w:after="0" w:line="264"/>
            </w:pPr>
            <w:r>
              <w:rPr>
                <w:rFonts w:ascii="Calibri" w:cs="Calibri" w:eastAsia="Calibri" w:hAnsi="Calibri"/>
                <w:b/>
                <w:bCs/>
                <w:color w:val="FFFFFF"/>
                <w:spacing w:val="20"/>
                <w:sz w:val="17"/>
                <w:szCs w:val="17"/>
              </w:rPr>
              <w:t xml:space="preserve">CONTENU</w:t>
            </w:r>
          </w:p>
        </w:tc>
        <w:tc>
          <w:tcPr>
            <w:tcW w:type="dxa" w:w="1700"/>
            <w:tcBorders>
              <w:top w:val="none"/>
              <w:left w:val="none"/>
              <w:bottom w:val="none"/>
              <w:right w:val="none"/>
            </w:tcBorders>
            <w:shd w:fill="096A09" w:val="clear"/>
            <w:tcMar>
              <w:top w:type="dxa" w:w="90"/>
              <w:left w:type="dxa" w:w="120"/>
              <w:bottom w:type="dxa" w:w="90"/>
              <w:right w:type="dxa" w:w="120"/>
            </w:tcMar>
            <w:vAlign w:val="top"/>
          </w:tcPr>
          <w:p>
            <w:pPr>
              <w:spacing w:after="0" w:line="264"/>
            </w:pPr>
            <w:r>
              <w:rPr>
                <w:rFonts w:ascii="Calibri" w:cs="Calibri" w:eastAsia="Calibri" w:hAnsi="Calibri"/>
                <w:b/>
                <w:bCs/>
                <w:color w:val="FFFFFF"/>
                <w:spacing w:val="20"/>
                <w:sz w:val="17"/>
                <w:szCs w:val="17"/>
              </w:rPr>
              <w:t xml:space="preserve">DÉPEND DE</w:t>
            </w:r>
          </w:p>
        </w:tc>
      </w:tr>
      <w:tr>
        <w:tc>
          <w:tcPr>
            <w:tcW w:type="dxa" w:w="19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obv-domain</w:t>
            </w:r>
          </w:p>
        </w:tc>
        <w:tc>
          <w:tcPr>
            <w:tcW w:type="dxa" w:w="23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Le métier, indépendant de toute infrastructure.</w:t>
            </w:r>
          </w:p>
        </w:tc>
        <w:tc>
          <w:tcPr>
            <w:tcW w:type="dxa" w:w="31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75 classes : 28 entités, énumérations, objets valeur, 19 exceptions métier.</w:t>
            </w:r>
          </w:p>
        </w:tc>
        <w:tc>
          <w:tcPr>
            <w:tcW w:type="dxa" w:w="17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w:t>
            </w:r>
          </w:p>
        </w:tc>
      </w:tr>
      <w:tr>
        <w:tc>
          <w:tcPr>
            <w:tcW w:type="dxa" w:w="19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obv-application</w:t>
            </w:r>
          </w:p>
        </w:tc>
        <w:tc>
          <w:tcPr>
            <w:tcW w:type="dxa" w:w="23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Orchestration des cas d'usage, expression des besoins techniques.</w:t>
            </w:r>
          </w:p>
        </w:tc>
        <w:tc>
          <w:tcPr>
            <w:tcW w:type="dxa" w:w="31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20 services, 29 ports.</w:t>
            </w:r>
          </w:p>
        </w:tc>
        <w:tc>
          <w:tcPr>
            <w:tcW w:type="dxa" w:w="17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domain</w:t>
            </w:r>
          </w:p>
        </w:tc>
      </w:tr>
      <w:tr>
        <w:tc>
          <w:tcPr>
            <w:tcW w:type="dxa" w:w="19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obv-infrastructure</w:t>
            </w:r>
          </w:p>
        </w:tc>
        <w:tc>
          <w:tcPr>
            <w:tcW w:type="dxa" w:w="23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Réalisation technique des ports.</w:t>
            </w:r>
          </w:p>
        </w:tc>
        <w:tc>
          <w:tcPr>
            <w:tcW w:type="dxa" w:w="31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36 adaptateurs : JPA, Redis, JWT, PDF, notifications.</w:t>
            </w:r>
          </w:p>
        </w:tc>
        <w:tc>
          <w:tcPr>
            <w:tcW w:type="dxa" w:w="17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application, domain</w:t>
            </w:r>
          </w:p>
        </w:tc>
      </w:tr>
      <w:tr>
        <w:tc>
          <w:tcPr>
            <w:tcW w:type="dxa" w:w="19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obv-api</w:t>
            </w:r>
          </w:p>
        </w:tc>
        <w:tc>
          <w:tcPr>
            <w:tcW w:type="dxa" w:w="23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Exposition HTTP.</w:t>
            </w:r>
          </w:p>
        </w:tc>
        <w:tc>
          <w:tcPr>
            <w:tcW w:type="dxa" w:w="31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20 contrôleurs, DTO, filtres de sécurité, gestion d'erreurs.</w:t>
            </w:r>
          </w:p>
        </w:tc>
        <w:tc>
          <w:tcPr>
            <w:tcW w:type="dxa" w:w="17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application, infrastructure</w:t>
            </w:r>
          </w:p>
        </w:tc>
      </w:tr>
      <w:tr>
        <w:tc>
          <w:tcPr>
            <w:tcW w:type="dxa" w:w="1900"/>
            <w:tcBorders>
              <w:top w:val="none"/>
              <w:left w:val="none"/>
              <w:bottom w:val="single" w:color="D4DCD0" w:sz="6"/>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obv-bootstrap</w:t>
            </w:r>
          </w:p>
        </w:tc>
        <w:tc>
          <w:tcPr>
            <w:tcW w:type="dxa" w:w="2300"/>
            <w:tcBorders>
              <w:top w:val="none"/>
              <w:left w:val="none"/>
              <w:bottom w:val="single" w:color="D4DCD0" w:sz="6"/>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Assemblage et démarrage.</w:t>
            </w:r>
          </w:p>
        </w:tc>
        <w:tc>
          <w:tcPr>
            <w:tcW w:type="dxa" w:w="3126"/>
            <w:tcBorders>
              <w:top w:val="none"/>
              <w:left w:val="none"/>
              <w:bottom w:val="single" w:color="D4DCD0" w:sz="6"/>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Classe main, profils, 34 changesets Liquibase.</w:t>
            </w:r>
          </w:p>
        </w:tc>
        <w:tc>
          <w:tcPr>
            <w:tcW w:type="dxa" w:w="1700"/>
            <w:tcBorders>
              <w:top w:val="none"/>
              <w:left w:val="none"/>
              <w:bottom w:val="single" w:color="D4DCD0" w:sz="6"/>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tous</w:t>
            </w:r>
          </w:p>
        </w:tc>
      </w:tr>
    </w:tbl>
    <w:p>
      <w:pPr>
        <w:spacing w:after="220"/>
      </w:pPr>
    </w:p>
    <w:p>
      <w:pPr>
        <w:pStyle w:val="Heading2"/>
        <w:spacing w:after="120" w:before="320"/>
      </w:pPr>
      <w:r>
        <w:rPr>
          <w:rFonts w:ascii="Calibri" w:cs="Calibri" w:eastAsia="Calibri" w:hAnsi="Calibri"/>
          <w:b/>
          <w:bCs/>
          <w:color w:val="1B1B1B"/>
          <w:sz w:val="23"/>
          <w:szCs w:val="23"/>
        </w:rPr>
        <w:t xml:space="preserve">obv-domain — organisé par sous-domaine, pas par couche technique</w:t>
      </w:r>
    </w:p>
    <w:p>
      <w:pPr>
        <w:spacing w:after="140" w:line="288"/>
      </w:pPr>
      <w:r>
        <w:rPr>
          <w:rFonts w:ascii="Calibri" w:cs="Calibri" w:eastAsia="Calibri" w:hAnsi="Calibri"/>
          <w:sz w:val="21"/>
          <w:szCs w:val="21"/>
        </w:rPr>
        <w:t xml:space="preserve">Il n'y a pas de paquet </w:t>
      </w:r>
      <w:r>
        <w:rPr>
          <w:rFonts w:ascii="Consolas" w:cs="Consolas" w:eastAsia="Consolas" w:hAnsi="Consolas"/>
          <w:color w:val="3D4A38"/>
          <w:sz w:val="18"/>
          <w:szCs w:val="18"/>
        </w:rPr>
        <w:t xml:space="preserve">entities</w:t>
      </w:r>
      <w:r>
        <w:rPr>
          <w:rFonts w:ascii="Calibri" w:cs="Calibri" w:eastAsia="Calibri" w:hAnsi="Calibri"/>
          <w:sz w:val="21"/>
          <w:szCs w:val="21"/>
        </w:rPr>
        <w:t xml:space="preserve"> ni </w:t>
      </w:r>
      <w:r>
        <w:rPr>
          <w:rFonts w:ascii="Consolas" w:cs="Consolas" w:eastAsia="Consolas" w:hAnsi="Consolas"/>
          <w:color w:val="3D4A38"/>
          <w:sz w:val="18"/>
          <w:szCs w:val="18"/>
        </w:rPr>
        <w:t xml:space="preserve">models</w:t>
      </w:r>
      <w:r>
        <w:rPr>
          <w:rFonts w:ascii="Calibri" w:cs="Calibri" w:eastAsia="Calibri" w:hAnsi="Calibri"/>
          <w:sz w:val="21"/>
          <w:szCs w:val="21"/>
        </w:rPr>
        <w:t xml:space="preserve"> : le découpage suit le métier. Les règles de gestion vivent </w:t>
      </w:r>
      <w:r>
        <w:rPr>
          <w:rFonts w:ascii="Calibri" w:cs="Calibri" w:eastAsia="Calibri" w:hAnsi="Calibri"/>
          <w:b/>
          <w:bCs/>
          <w:sz w:val="21"/>
          <w:szCs w:val="21"/>
        </w:rPr>
        <w:t xml:space="preserve">dans les entités</w:t>
      </w:r>
      <w:r>
        <w:rPr>
          <w:rFonts w:ascii="Calibri" w:cs="Calibri" w:eastAsia="Calibri" w:hAnsi="Calibri"/>
          <w:sz w:val="21"/>
          <w:szCs w:val="21"/>
        </w:rPr>
        <w:t xml:space="preserve">, pas dans les services. </w:t>
      </w:r>
      <w:r>
        <w:rPr>
          <w:rFonts w:ascii="Consolas" w:cs="Consolas" w:eastAsia="Consolas" w:hAnsi="Consolas"/>
          <w:color w:val="3D4A38"/>
          <w:sz w:val="18"/>
          <w:szCs w:val="18"/>
        </w:rPr>
        <w:t xml:space="preserve">Reception.cloturer()</w:t>
      </w:r>
      <w:r>
        <w:rPr>
          <w:rFonts w:ascii="Calibri" w:cs="Calibri" w:eastAsia="Calibri" w:hAnsi="Calibri"/>
          <w:sz w:val="21"/>
          <w:szCs w:val="21"/>
        </w:rPr>
        <w:t xml:space="preserve"> refuse une réception qui n'est pas au statut brouillon ; </w:t>
      </w:r>
      <w:r>
        <w:rPr>
          <w:rFonts w:ascii="Consolas" w:cs="Consolas" w:eastAsia="Consolas" w:hAnsi="Consolas"/>
          <w:color w:val="3D4A38"/>
          <w:sz w:val="18"/>
          <w:szCs w:val="18"/>
        </w:rPr>
        <w:t xml:space="preserve">SessionVente.valider()</w:t>
      </w:r>
      <w:r>
        <w:rPr>
          <w:rFonts w:ascii="Calibri" w:cs="Calibri" w:eastAsia="Calibri" w:hAnsi="Calibri"/>
          <w:sz w:val="21"/>
          <w:szCs w:val="21"/>
        </w:rPr>
        <w:t xml:space="preserve"> vérifie ses propres préconditions. Les services ne font que les enchaîner.</w:t>
      </w:r>
    </w:p>
    <w:tbl>
      <w:tblPr>
        <w:tblW w:type="dxa" w:w="9026"/>
        <w:tblBorders>
          <w:top w:val="none"/>
          <w:left w:val="none"/>
          <w:bottom w:val="none"/>
          <w:right w:val="none"/>
          <w:insideH w:val="none"/>
          <w:insideV w:val="none"/>
        </w:tblBorders>
      </w:tblPr>
      <w:tblGrid>
        <w:gridCol w:w="2000"/>
        <w:gridCol w:w="7026"/>
      </w:tblGrid>
      <w:tr>
        <w:trPr>
          <w:tblHeader/>
        </w:trPr>
        <w:tc>
          <w:tcPr>
            <w:tcW w:type="dxa" w:w="2000"/>
            <w:tcBorders>
              <w:top w:val="none"/>
              <w:left w:val="none"/>
              <w:bottom w:val="none"/>
              <w:right w:val="none"/>
            </w:tcBorders>
            <w:shd w:fill="096A09" w:val="clear"/>
            <w:tcMar>
              <w:top w:type="dxa" w:w="90"/>
              <w:left w:type="dxa" w:w="60"/>
              <w:bottom w:type="dxa" w:w="90"/>
              <w:right w:type="dxa" w:w="120"/>
            </w:tcMar>
            <w:vAlign w:val="top"/>
          </w:tcPr>
          <w:p>
            <w:pPr>
              <w:spacing w:after="0" w:line="264"/>
            </w:pPr>
            <w:r>
              <w:rPr>
                <w:rFonts w:ascii="Calibri" w:cs="Calibri" w:eastAsia="Calibri" w:hAnsi="Calibri"/>
                <w:b/>
                <w:bCs/>
                <w:color w:val="FFFFFF"/>
                <w:spacing w:val="20"/>
                <w:sz w:val="17"/>
                <w:szCs w:val="17"/>
              </w:rPr>
              <w:t xml:space="preserve">PAQUET</w:t>
            </w:r>
          </w:p>
        </w:tc>
        <w:tc>
          <w:tcPr>
            <w:tcW w:type="dxa" w:w="7026"/>
            <w:tcBorders>
              <w:top w:val="none"/>
              <w:left w:val="none"/>
              <w:bottom w:val="none"/>
              <w:right w:val="none"/>
            </w:tcBorders>
            <w:shd w:fill="096A09" w:val="clear"/>
            <w:tcMar>
              <w:top w:type="dxa" w:w="90"/>
              <w:left w:type="dxa" w:w="120"/>
              <w:bottom w:type="dxa" w:w="90"/>
              <w:right w:type="dxa" w:w="120"/>
            </w:tcMar>
            <w:vAlign w:val="top"/>
          </w:tcPr>
          <w:p>
            <w:pPr>
              <w:spacing w:after="0" w:line="264"/>
            </w:pPr>
            <w:r>
              <w:rPr>
                <w:rFonts w:ascii="Calibri" w:cs="Calibri" w:eastAsia="Calibri" w:hAnsi="Calibri"/>
                <w:b/>
                <w:bCs/>
                <w:color w:val="FFFFFF"/>
                <w:spacing w:val="20"/>
                <w:sz w:val="17"/>
                <w:szCs w:val="17"/>
              </w:rPr>
              <w:t xml:space="preserve">CONTENU PRINCIPAL</w:t>
            </w:r>
          </w:p>
        </w:tc>
      </w:tr>
      <w:tr>
        <w:tc>
          <w:tcPr>
            <w:tcW w:type="dxa" w:w="2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commun</w:t>
            </w:r>
          </w:p>
        </w:tc>
        <w:tc>
          <w:tcPr>
            <w:tcW w:type="dxa" w:w="70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Montant, JetonOpaque, Hachage, exceptions de base</w:t>
            </w:r>
          </w:p>
        </w:tc>
      </w:tr>
      <w:tr>
        <w:tc>
          <w:tcPr>
            <w:tcW w:type="dxa" w:w="2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utilisateur</w:t>
            </w:r>
          </w:p>
        </w:tc>
        <w:tc>
          <w:tcPr>
            <w:tcW w:type="dxa" w:w="70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Utilisateur, Affectation, JetonActivation, CodeOtp, Permission</w:t>
            </w:r>
          </w:p>
        </w:tc>
      </w:tr>
      <w:tr>
        <w:tc>
          <w:tcPr>
            <w:tcW w:type="dxa" w:w="2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referentiel</w:t>
            </w:r>
          </w:p>
        </w:tc>
        <w:tc>
          <w:tcPr>
            <w:tcW w:type="dxa" w:w="70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Marque, Volume, Produit, Conditionnement, Tarif, Client, Fournisseur, Serveur, PointDeVente</w:t>
            </w:r>
          </w:p>
        </w:tc>
      </w:tr>
      <w:tr>
        <w:tc>
          <w:tcPr>
            <w:tcW w:type="dxa" w:w="2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stock</w:t>
            </w:r>
          </w:p>
        </w:tc>
        <w:tc>
          <w:tcPr>
            <w:tcW w:type="dxa" w:w="70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Stock, MouvementStock, MouvementDemande</w:t>
            </w:r>
          </w:p>
        </w:tc>
      </w:tr>
      <w:tr>
        <w:tc>
          <w:tcPr>
            <w:tcW w:type="dxa" w:w="2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reception</w:t>
            </w:r>
          </w:p>
        </w:tc>
        <w:tc>
          <w:tcPr>
            <w:tcW w:type="dxa" w:w="70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Reception, LigneReception, JetonValidationReception</w:t>
            </w:r>
          </w:p>
        </w:tc>
      </w:tr>
      <w:tr>
        <w:tc>
          <w:tcPr>
            <w:tcW w:type="dxa" w:w="2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vente</w:t>
            </w:r>
          </w:p>
        </w:tc>
        <w:tc>
          <w:tcPr>
            <w:tcW w:type="dxa" w:w="70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SessionVente, Vente, LigneVente, Panier, CompteurDocument</w:t>
            </w:r>
          </w:p>
        </w:tc>
      </w:tr>
      <w:tr>
        <w:tc>
          <w:tcPr>
            <w:tcW w:type="dxa" w:w="2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transfert</w:t>
            </w:r>
          </w:p>
        </w:tc>
        <w:tc>
          <w:tcPr>
            <w:tcW w:type="dxa" w:w="70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BonTransfert, LigneTransfert</w:t>
            </w:r>
          </w:p>
        </w:tc>
      </w:tr>
      <w:tr>
        <w:tc>
          <w:tcPr>
            <w:tcW w:type="dxa" w:w="2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bar</w:t>
            </w:r>
          </w:p>
        </w:tc>
        <w:tc>
          <w:tcPr>
            <w:tcW w:type="dxa" w:w="70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TicketServeur, LigneTicketServeur</w:t>
            </w:r>
          </w:p>
        </w:tc>
      </w:tr>
      <w:tr>
        <w:tc>
          <w:tcPr>
            <w:tcW w:type="dxa" w:w="2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notification</w:t>
            </w:r>
          </w:p>
        </w:tc>
        <w:tc>
          <w:tcPr>
            <w:tcW w:type="dxa" w:w="70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NotificationOutbox, CanalNotification</w:t>
            </w:r>
          </w:p>
        </w:tc>
      </w:tr>
      <w:tr>
        <w:tc>
          <w:tcPr>
            <w:tcW w:type="dxa" w:w="2000"/>
            <w:tcBorders>
              <w:top w:val="none"/>
              <w:left w:val="none"/>
              <w:bottom w:val="single" w:color="D4DCD0" w:sz="6"/>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audit</w:t>
            </w:r>
          </w:p>
        </w:tc>
        <w:tc>
          <w:tcPr>
            <w:tcW w:type="dxa" w:w="7026"/>
            <w:tcBorders>
              <w:top w:val="none"/>
              <w:left w:val="none"/>
              <w:bottom w:val="single" w:color="D4DCD0" w:sz="6"/>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Auditable, JournalAction</w:t>
            </w:r>
          </w:p>
        </w:tc>
      </w:tr>
    </w:tbl>
    <w:p>
      <w:pPr>
        <w:spacing w:after="220"/>
      </w:pPr>
    </w:p>
    <w:p>
      <w:pPr>
        <w:pStyle w:val="Heading2"/>
        <w:spacing w:after="120" w:before="320"/>
      </w:pPr>
      <w:r>
        <w:rPr>
          <w:rFonts w:ascii="Calibri" w:cs="Calibri" w:eastAsia="Calibri" w:hAnsi="Calibri"/>
          <w:b/>
          <w:bCs/>
          <w:color w:val="1B1B1B"/>
          <w:sz w:val="23"/>
          <w:szCs w:val="23"/>
        </w:rPr>
        <w:t xml:space="preserve">obv-application — deux choses de nature différente</w:t>
      </w:r>
    </w:p>
    <w:p>
      <w:pPr>
        <w:spacing w:after="140" w:line="288"/>
      </w:pPr>
      <w:r>
        <w:rPr>
          <w:rFonts w:ascii="Calibri" w:cs="Calibri" w:eastAsia="Calibri" w:hAnsi="Calibri"/>
          <w:sz w:val="21"/>
          <w:szCs w:val="21"/>
        </w:rPr>
        <w:t xml:space="preserve">Ce module contient d'une part </w:t>
      </w:r>
      <w:r>
        <w:rPr>
          <w:rFonts w:ascii="Calibri" w:cs="Calibri" w:eastAsia="Calibri" w:hAnsi="Calibri"/>
          <w:b/>
          <w:bCs/>
          <w:sz w:val="21"/>
          <w:szCs w:val="21"/>
        </w:rPr>
        <w:t xml:space="preserve">20 services</w:t>
      </w:r>
      <w:r>
        <w:rPr>
          <w:rFonts w:ascii="Calibri" w:cs="Calibri" w:eastAsia="Calibri" w:hAnsi="Calibri"/>
          <w:sz w:val="21"/>
          <w:szCs w:val="21"/>
        </w:rPr>
        <w:t xml:space="preserve"> qui orchestrent un cas d'usage complet et portent la frontière transactionnelle ; d'autre part </w:t>
      </w:r>
      <w:r>
        <w:rPr>
          <w:rFonts w:ascii="Calibri" w:cs="Calibri" w:eastAsia="Calibri" w:hAnsi="Calibri"/>
          <w:b/>
          <w:bCs/>
          <w:sz w:val="21"/>
          <w:szCs w:val="21"/>
        </w:rPr>
        <w:t xml:space="preserve">29 ports</w:t>
      </w:r>
      <w:r>
        <w:rPr>
          <w:rFonts w:ascii="Calibri" w:cs="Calibri" w:eastAsia="Calibri" w:hAnsi="Calibri"/>
          <w:sz w:val="21"/>
          <w:szCs w:val="21"/>
        </w:rPr>
        <w:t xml:space="preserve">, de simples interfaces Java qui expriment </w:t>
      </w:r>
      <w:r>
        <w:rPr>
          <w:rFonts w:ascii="Calibri" w:cs="Calibri" w:eastAsia="Calibri" w:hAnsi="Calibri"/>
          <w:i/>
          <w:iCs/>
          <w:sz w:val="21"/>
          <w:szCs w:val="21"/>
        </w:rPr>
        <w:t xml:space="preserve">ce dont le métier a besoin</w:t>
      </w:r>
      <w:r>
        <w:rPr>
          <w:rFonts w:ascii="Calibri" w:cs="Calibri" w:eastAsia="Calibri" w:hAnsi="Calibri"/>
          <w:sz w:val="21"/>
          <w:szCs w:val="21"/>
        </w:rPr>
        <w:t xml:space="preserve">, sans dire comment le fournir. C'est ce second point qui rend l'inversion de dépendance possible.</w:t>
      </w:r>
    </w:p>
    <w:p>
      <w:r>
        <w:br w:type="page"/>
      </w:r>
    </w:p>
    <w:p>
      <w:pPr>
        <w:pStyle w:val="Heading1"/>
        <w:pBdr>
          <w:bottom w:val="single" w:color="D4DCD0" w:sz="10" w:space="10"/>
        </w:pBdr>
        <w:spacing w:after="220" w:before="460"/>
      </w:pPr>
      <w:r>
        <w:rPr>
          <w:rFonts w:ascii="Consolas" w:cs="Consolas" w:eastAsia="Consolas" w:hAnsi="Consolas"/>
          <w:b/>
          <w:bCs/>
          <w:color w:val="CC5500"/>
          <w:sz w:val="28"/>
          <w:szCs w:val="28"/>
        </w:rPr>
        <w:t xml:space="preserve">04   </w:t>
      </w:r>
      <w:r>
        <w:rPr>
          <w:rFonts w:ascii="Cambria" w:cs="Cambria" w:eastAsia="Cambria" w:hAnsi="Cambria"/>
          <w:b/>
          <w:bCs/>
          <w:color w:val="096A09"/>
          <w:sz w:val="32"/>
          <w:szCs w:val="32"/>
        </w:rPr>
        <w:t xml:space="preserve">Port et adaptateur</w:t>
      </w:r>
    </w:p>
    <w:p>
      <w:pPr>
        <w:spacing w:after="140" w:line="288"/>
      </w:pPr>
      <w:r>
        <w:rPr>
          <w:rFonts w:ascii="Calibri" w:cs="Calibri" w:eastAsia="Calibri" w:hAnsi="Calibri"/>
          <w:sz w:val="21"/>
          <w:szCs w:val="21"/>
        </w:rPr>
        <w:t xml:space="preserve">Le service ne connaît qu'une interface. Au démarrage, Spring y injecte l'adaptateur. Le service reste testable sans base de données, et l'adaptateur peut être remplacé sans rien changer au métier.</w:t>
      </w:r>
    </w:p>
    <w:p>
      <w:pPr>
        <w:spacing w:after="100" w:before="260"/>
        <w:jc w:val="center"/>
      </w:pPr>
      <w:r>
        <w:drawing>
          <wp:inline distT="0" distB="0" distL="0" distR="0">
            <wp:extent cx="5715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266825"/>
                    </a:xfrm>
                    <a:prstGeom prst="rect">
                      <a:avLst/>
                    </a:prstGeom>
                  </pic:spPr>
                </pic:pic>
              </a:graphicData>
            </a:graphic>
          </wp:inline>
        </w:drawing>
      </w:r>
    </w:p>
    <w:tbl>
      <w:tblPr>
        <w:tblW w:type="dxa" w:w="9026"/>
        <w:tblBorders>
          <w:top w:val="single" w:color="1FA055" w:sz="6"/>
          <w:left w:val="none"/>
          <w:bottom w:val="none"/>
          <w:right w:val="none"/>
          <w:insideH w:val="none"/>
          <w:insideV w:val="none"/>
        </w:tblBorders>
      </w:tblPr>
      <w:tblGrid>
        <w:gridCol w:w="9026"/>
      </w:tblGrid>
      <w:tr>
        <w:tc>
          <w:tcPr>
            <w:tcW w:type="dxa" w:w="9026"/>
            <w:tcMar>
              <w:top w:type="dxa" w:w="100"/>
              <w:left w:type="dxa" w:w="0"/>
              <w:bottom w:type="dxa" w:w="60"/>
              <w:right w:type="dxa" w:w="0"/>
            </w:tcMar>
          </w:tcPr>
          <w:p>
            <w:pPr>
              <w:spacing w:after="0" w:line="264"/>
            </w:pPr>
            <w:r>
              <w:rPr>
                <w:rFonts w:ascii="Calibri" w:cs="Calibri" w:eastAsia="Calibri" w:hAnsi="Calibri"/>
                <w:b/>
                <w:bCs/>
                <w:color w:val="096A09"/>
                <w:sz w:val="18"/>
                <w:szCs w:val="18"/>
              </w:rPr>
              <w:t xml:space="preserve">Figure 3 — </w:t>
            </w:r>
            <w:r>
              <w:rPr>
                <w:rFonts w:ascii="Calibri" w:cs="Calibri" w:eastAsia="Calibri" w:hAnsi="Calibri"/>
                <w:b/>
                <w:bCs/>
                <w:color w:val="1B1B1B"/>
                <w:sz w:val="18"/>
                <w:szCs w:val="18"/>
              </w:rPr>
              <w:t xml:space="preserve">L'inversion de dépendance en une image. </w:t>
            </w:r>
            <w:r>
              <w:rPr>
                <w:rFonts w:ascii="Calibri" w:cs="Calibri" w:eastAsia="Calibri" w:hAnsi="Calibri"/>
                <w:color w:val="5A6357"/>
                <w:sz w:val="18"/>
                <w:szCs w:val="18"/>
              </w:rPr>
              <w:t xml:space="preserve">Les deux flèches se rejoignent sur le port, en venant de côtés opposés : le métier appelle l'interface, l'infrastructure la réalise. C'est ce croisement qui fait que la flèche entre les modules descend, alors que l'appel, lui, va vers la base.</w:t>
            </w:r>
          </w:p>
        </w:tc>
      </w:tr>
    </w:tbl>
    <w:p>
      <w:pPr>
        <w:spacing w:after="180"/>
      </w:pPr>
    </w:p>
    <w:p>
      <w:pPr>
        <w:pStyle w:val="Heading2"/>
        <w:spacing w:after="120" w:before="320"/>
      </w:pPr>
      <w:r>
        <w:rPr>
          <w:rFonts w:ascii="Calibri" w:cs="Calibri" w:eastAsia="Calibri" w:hAnsi="Calibri"/>
          <w:b/>
          <w:bCs/>
          <w:color w:val="1B1B1B"/>
          <w:sz w:val="23"/>
          <w:szCs w:val="23"/>
        </w:rPr>
        <w:t xml:space="preserve">Les 29 ports, par famille</w:t>
      </w:r>
    </w:p>
    <w:tbl>
      <w:tblPr>
        <w:tblW w:type="dxa" w:w="9026"/>
        <w:tblBorders>
          <w:top w:val="none"/>
          <w:left w:val="none"/>
          <w:bottom w:val="none"/>
          <w:right w:val="none"/>
          <w:insideH w:val="none"/>
          <w:insideV w:val="none"/>
        </w:tblBorders>
      </w:tblPr>
      <w:tblGrid>
        <w:gridCol w:w="1500"/>
        <w:gridCol w:w="5726"/>
        <w:gridCol w:w="1800"/>
      </w:tblGrid>
      <w:tr>
        <w:trPr>
          <w:tblHeader/>
        </w:trPr>
        <w:tc>
          <w:tcPr>
            <w:tcW w:type="dxa" w:w="1500"/>
            <w:tcBorders>
              <w:top w:val="none"/>
              <w:left w:val="none"/>
              <w:bottom w:val="none"/>
              <w:right w:val="none"/>
            </w:tcBorders>
            <w:shd w:fill="096A09" w:val="clear"/>
            <w:tcMar>
              <w:top w:type="dxa" w:w="90"/>
              <w:left w:type="dxa" w:w="60"/>
              <w:bottom w:type="dxa" w:w="90"/>
              <w:right w:type="dxa" w:w="120"/>
            </w:tcMar>
            <w:vAlign w:val="top"/>
          </w:tcPr>
          <w:p>
            <w:pPr>
              <w:spacing w:after="0" w:line="264"/>
            </w:pPr>
            <w:r>
              <w:rPr>
                <w:rFonts w:ascii="Calibri" w:cs="Calibri" w:eastAsia="Calibri" w:hAnsi="Calibri"/>
                <w:b/>
                <w:bCs/>
                <w:color w:val="FFFFFF"/>
                <w:spacing w:val="20"/>
                <w:sz w:val="17"/>
                <w:szCs w:val="17"/>
              </w:rPr>
              <w:t xml:space="preserve">FAMILLE</w:t>
            </w:r>
          </w:p>
        </w:tc>
        <w:tc>
          <w:tcPr>
            <w:tcW w:type="dxa" w:w="5726"/>
            <w:tcBorders>
              <w:top w:val="none"/>
              <w:left w:val="none"/>
              <w:bottom w:val="none"/>
              <w:right w:val="none"/>
            </w:tcBorders>
            <w:shd w:fill="096A09" w:val="clear"/>
            <w:tcMar>
              <w:top w:type="dxa" w:w="90"/>
              <w:left w:type="dxa" w:w="120"/>
              <w:bottom w:type="dxa" w:w="90"/>
              <w:right w:type="dxa" w:w="120"/>
            </w:tcMar>
            <w:vAlign w:val="top"/>
          </w:tcPr>
          <w:p>
            <w:pPr>
              <w:spacing w:after="0" w:line="264"/>
            </w:pPr>
            <w:r>
              <w:rPr>
                <w:rFonts w:ascii="Calibri" w:cs="Calibri" w:eastAsia="Calibri" w:hAnsi="Calibri"/>
                <w:b/>
                <w:bCs/>
                <w:color w:val="FFFFFF"/>
                <w:spacing w:val="20"/>
                <w:sz w:val="17"/>
                <w:szCs w:val="17"/>
              </w:rPr>
              <w:t xml:space="preserve">PORTS</w:t>
            </w:r>
          </w:p>
        </w:tc>
        <w:tc>
          <w:tcPr>
            <w:tcW w:type="dxa" w:w="1800"/>
            <w:tcBorders>
              <w:top w:val="none"/>
              <w:left w:val="none"/>
              <w:bottom w:val="none"/>
              <w:right w:val="none"/>
            </w:tcBorders>
            <w:shd w:fill="096A09" w:val="clear"/>
            <w:tcMar>
              <w:top w:type="dxa" w:w="90"/>
              <w:left w:type="dxa" w:w="120"/>
              <w:bottom w:type="dxa" w:w="90"/>
              <w:right w:type="dxa" w:w="120"/>
            </w:tcMar>
            <w:vAlign w:val="top"/>
          </w:tcPr>
          <w:p>
            <w:pPr>
              <w:spacing w:after="0" w:line="264"/>
            </w:pPr>
            <w:r>
              <w:rPr>
                <w:rFonts w:ascii="Calibri" w:cs="Calibri" w:eastAsia="Calibri" w:hAnsi="Calibri"/>
                <w:b/>
                <w:bCs/>
                <w:color w:val="FFFFFF"/>
                <w:spacing w:val="20"/>
                <w:sz w:val="17"/>
                <w:szCs w:val="17"/>
              </w:rPr>
              <w:t xml:space="preserve">SUPPORT</w:t>
            </w:r>
          </w:p>
        </w:tc>
      </w:tr>
      <w:tr>
        <w:tc>
          <w:tcPr>
            <w:tcW w:type="dxa" w:w="15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Référentiel</w:t>
            </w:r>
          </w:p>
        </w:tc>
        <w:tc>
          <w:tcPr>
            <w:tcW w:type="dxa" w:w="57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onsolas" w:cs="Consolas" w:eastAsia="Consolas" w:hAnsi="Consolas"/>
                <w:color w:val="3D4A38"/>
                <w:sz w:val="18"/>
                <w:szCs w:val="18"/>
              </w:rPr>
              <w:t xml:space="preserve">MarqueRepository, VolumeRepository, ProduitRepository, ConditionnementRepository, FournisseurRepository, ClientRepository, ServeurRepository, PointDeVenteRepository, TarifRepository</w:t>
            </w:r>
          </w:p>
        </w:tc>
        <w:tc>
          <w:tcPr>
            <w:tcW w:type="dxa" w:w="18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PostgreSQL</w:t>
            </w:r>
          </w:p>
        </w:tc>
      </w:tr>
      <w:tr>
        <w:tc>
          <w:tcPr>
            <w:tcW w:type="dxa" w:w="15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Documents</w:t>
            </w:r>
          </w:p>
        </w:tc>
        <w:tc>
          <w:tcPr>
            <w:tcW w:type="dxa" w:w="57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onsolas" w:cs="Consolas" w:eastAsia="Consolas" w:hAnsi="Consolas"/>
                <w:color w:val="3D4A38"/>
                <w:sz w:val="18"/>
                <w:szCs w:val="18"/>
              </w:rPr>
              <w:t xml:space="preserve">ReceptionRepository, VenteRepository, SessionVenteRepository, BonTransfertRepository, TicketServeurRepository, CompteurDocumentRepository</w:t>
            </w:r>
          </w:p>
        </w:tc>
        <w:tc>
          <w:tcPr>
            <w:tcW w:type="dxa" w:w="18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PostgreSQL</w:t>
            </w:r>
          </w:p>
        </w:tc>
      </w:tr>
      <w:tr>
        <w:tc>
          <w:tcPr>
            <w:tcW w:type="dxa" w:w="15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Stock</w:t>
            </w:r>
          </w:p>
        </w:tc>
        <w:tc>
          <w:tcPr>
            <w:tcW w:type="dxa" w:w="57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onsolas" w:cs="Consolas" w:eastAsia="Consolas" w:hAnsi="Consolas"/>
                <w:color w:val="3D4A38"/>
                <w:sz w:val="18"/>
                <w:szCs w:val="18"/>
              </w:rPr>
              <w:t xml:space="preserve">StockRepository, MouvementStockRepository</w:t>
            </w:r>
          </w:p>
        </w:tc>
        <w:tc>
          <w:tcPr>
            <w:tcW w:type="dxa" w:w="18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PostgreSQL</w:t>
            </w:r>
          </w:p>
        </w:tc>
      </w:tr>
      <w:tr>
        <w:tc>
          <w:tcPr>
            <w:tcW w:type="dxa" w:w="15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Utilisateurs</w:t>
            </w:r>
          </w:p>
        </w:tc>
        <w:tc>
          <w:tcPr>
            <w:tcW w:type="dxa" w:w="57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onsolas" w:cs="Consolas" w:eastAsia="Consolas" w:hAnsi="Consolas"/>
                <w:color w:val="3D4A38"/>
                <w:sz w:val="18"/>
                <w:szCs w:val="18"/>
              </w:rPr>
              <w:t xml:space="preserve">UtilisateurRepository, JetonActivationRepository, JetonValidationReceptionRepository</w:t>
            </w:r>
          </w:p>
        </w:tc>
        <w:tc>
          <w:tcPr>
            <w:tcW w:type="dxa" w:w="18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PostgreSQL</w:t>
            </w:r>
          </w:p>
        </w:tc>
      </w:tr>
      <w:tr>
        <w:tc>
          <w:tcPr>
            <w:tcW w:type="dxa" w:w="15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Sécurité</w:t>
            </w:r>
          </w:p>
        </w:tc>
        <w:tc>
          <w:tcPr>
            <w:tcW w:type="dxa" w:w="57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onsolas" w:cs="Consolas" w:eastAsia="Consolas" w:hAnsi="Consolas"/>
                <w:color w:val="3D4A38"/>
                <w:sz w:val="18"/>
                <w:szCs w:val="18"/>
              </w:rPr>
              <w:t xml:space="preserve">EmetteurAccessToken, HacheurMotDePasse</w:t>
            </w:r>
          </w:p>
        </w:tc>
        <w:tc>
          <w:tcPr>
            <w:tcW w:type="dxa" w:w="18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JJWT, Argon2id</w:t>
            </w:r>
          </w:p>
        </w:tc>
      </w:tr>
      <w:tr>
        <w:tc>
          <w:tcPr>
            <w:tcW w:type="dxa" w:w="15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État volatil</w:t>
            </w:r>
          </w:p>
        </w:tc>
        <w:tc>
          <w:tcPr>
            <w:tcW w:type="dxa" w:w="57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onsolas" w:cs="Consolas" w:eastAsia="Consolas" w:hAnsi="Consolas"/>
                <w:color w:val="3D4A38"/>
                <w:sz w:val="18"/>
                <w:szCs w:val="18"/>
              </w:rPr>
              <w:t xml:space="preserve">PanierRepository, GestionnaireOtp, GestionnaireRefreshToken, LimiteurConnexion</w:t>
            </w:r>
          </w:p>
        </w:tc>
        <w:tc>
          <w:tcPr>
            <w:tcW w:type="dxa" w:w="18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Redis</w:t>
            </w:r>
          </w:p>
        </w:tc>
      </w:tr>
      <w:tr>
        <w:tc>
          <w:tcPr>
            <w:tcW w:type="dxa" w:w="1500"/>
            <w:tcBorders>
              <w:top w:val="none"/>
              <w:left w:val="none"/>
              <w:bottom w:val="single" w:color="D4DCD0" w:sz="6"/>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Sorties</w:t>
            </w:r>
          </w:p>
        </w:tc>
        <w:tc>
          <w:tcPr>
            <w:tcW w:type="dxa" w:w="5726"/>
            <w:tcBorders>
              <w:top w:val="none"/>
              <w:left w:val="none"/>
              <w:bottom w:val="single" w:color="D4DCD0" w:sz="6"/>
              <w:right w:val="none"/>
            </w:tcBorders>
            <w:tcMar>
              <w:top w:type="dxa" w:w="90"/>
              <w:left w:type="dxa" w:w="120"/>
              <w:bottom w:type="dxa" w:w="90"/>
              <w:right w:type="dxa" w:w="120"/>
            </w:tcMar>
            <w:vAlign w:val="top"/>
          </w:tcPr>
          <w:p>
            <w:pPr>
              <w:spacing w:after="0" w:line="264"/>
            </w:pPr>
            <w:r>
              <w:rPr>
                <w:rFonts w:ascii="Consolas" w:cs="Consolas" w:eastAsia="Consolas" w:hAnsi="Consolas"/>
                <w:color w:val="3D4A38"/>
                <w:sz w:val="18"/>
                <w:szCs w:val="18"/>
              </w:rPr>
              <w:t xml:space="preserve">NotificationService, DocumentVentePdfGenerator, Journalisateur</w:t>
            </w:r>
          </w:p>
        </w:tc>
        <w:tc>
          <w:tcPr>
            <w:tcW w:type="dxa" w:w="1800"/>
            <w:tcBorders>
              <w:top w:val="none"/>
              <w:left w:val="none"/>
              <w:bottom w:val="single" w:color="D4DCD0" w:sz="6"/>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file en base, PDF</w:t>
            </w:r>
          </w:p>
        </w:tc>
      </w:tr>
    </w:tbl>
    <w:p>
      <w:pPr>
        <w:spacing w:after="220"/>
      </w:pPr>
    </w:p>
    <w:p>
      <w:pPr>
        <w:spacing w:after="140" w:line="288"/>
      </w:pPr>
      <w:r>
        <w:rPr>
          <w:rFonts w:ascii="Calibri" w:cs="Calibri" w:eastAsia="Calibri" w:hAnsi="Calibri"/>
          <w:sz w:val="21"/>
          <w:szCs w:val="21"/>
        </w:rPr>
        <w:t xml:space="preserve">Un port n'est jamais la copie d'une API technique : </w:t>
      </w:r>
      <w:r>
        <w:rPr>
          <w:rFonts w:ascii="Consolas" w:cs="Consolas" w:eastAsia="Consolas" w:hAnsi="Consolas"/>
          <w:color w:val="3D4A38"/>
          <w:sz w:val="18"/>
          <w:szCs w:val="18"/>
        </w:rPr>
        <w:t xml:space="preserve">LimiteurConnexion</w:t>
      </w:r>
      <w:r>
        <w:rPr>
          <w:rFonts w:ascii="Calibri" w:cs="Calibri" w:eastAsia="Calibri" w:hAnsi="Calibri"/>
          <w:sz w:val="21"/>
          <w:szCs w:val="21"/>
        </w:rPr>
        <w:t xml:space="preserve"> exprime « compter les échecs et verrouiller », pas « incrémenter une clé Redis ». </w:t>
      </w:r>
      <w:r>
        <w:rPr>
          <w:rFonts w:ascii="Calibri" w:cs="Calibri" w:eastAsia="Calibri" w:hAnsi="Calibri"/>
          <w:sz w:val="21"/>
          <w:szCs w:val="21"/>
        </w:rPr>
        <w:t xml:space="preserve">C'est cette formulation en termes métier qui permet d'en changer l'implémentation sans propager le changement.</w:t>
      </w:r>
    </w:p>
    <w:p>
      <w:r>
        <w:br w:type="page"/>
      </w:r>
    </w:p>
    <w:p>
      <w:pPr>
        <w:pStyle w:val="Heading1"/>
        <w:pBdr>
          <w:bottom w:val="single" w:color="D4DCD0" w:sz="10" w:space="10"/>
        </w:pBdr>
        <w:spacing w:after="220" w:before="460"/>
      </w:pPr>
      <w:r>
        <w:rPr>
          <w:rFonts w:ascii="Consolas" w:cs="Consolas" w:eastAsia="Consolas" w:hAnsi="Consolas"/>
          <w:b/>
          <w:bCs/>
          <w:color w:val="CC5500"/>
          <w:sz w:val="28"/>
          <w:szCs w:val="28"/>
        </w:rPr>
        <w:t xml:space="preserve">05   </w:t>
      </w:r>
      <w:r>
        <w:rPr>
          <w:rFonts w:ascii="Cambria" w:cs="Cambria" w:eastAsia="Cambria" w:hAnsi="Cambria"/>
          <w:b/>
          <w:bCs/>
          <w:color w:val="096A09"/>
          <w:sz w:val="32"/>
          <w:szCs w:val="32"/>
        </w:rPr>
        <w:t xml:space="preserve">Interactions entre services</w:t>
      </w:r>
    </w:p>
    <w:p>
      <w:pPr>
        <w:spacing w:after="140" w:line="288"/>
      </w:pPr>
      <w:r>
        <w:rPr>
          <w:rFonts w:ascii="Calibri" w:cs="Calibri" w:eastAsia="Calibri" w:hAnsi="Calibri"/>
          <w:sz w:val="21"/>
          <w:szCs w:val="21"/>
        </w:rPr>
        <w:t xml:space="preserve">C'est le point central de cette architecture. Cinq services de processus coexistent — réception, vente au dépôt, session de vente, transfert, ticket serveur — et </w:t>
      </w:r>
      <w:r>
        <w:rPr>
          <w:rFonts w:ascii="Calibri" w:cs="Calibri" w:eastAsia="Calibri" w:hAnsi="Calibri"/>
          <w:b/>
          <w:bCs/>
          <w:sz w:val="21"/>
          <w:szCs w:val="21"/>
        </w:rPr>
        <w:t xml:space="preserve">ils ne se connaissent pas</w:t>
      </w:r>
      <w:r>
        <w:rPr>
          <w:rFonts w:ascii="Calibri" w:cs="Calibri" w:eastAsia="Calibri" w:hAnsi="Calibri"/>
          <w:sz w:val="21"/>
          <w:szCs w:val="21"/>
        </w:rPr>
        <w:t xml:space="preserve">. Ils communiquent indirectement, à travers l'état du stock.</w:t>
      </w:r>
    </w:p>
    <w:p>
      <w:pPr>
        <w:spacing w:after="100" w:before="26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47925"/>
                    </a:xfrm>
                    <a:prstGeom prst="rect">
                      <a:avLst/>
                    </a:prstGeom>
                  </pic:spPr>
                </pic:pic>
              </a:graphicData>
            </a:graphic>
          </wp:inline>
        </w:drawing>
      </w:r>
    </w:p>
    <w:tbl>
      <w:tblPr>
        <w:tblW w:type="dxa" w:w="9026"/>
        <w:tblBorders>
          <w:top w:val="single" w:color="1FA055" w:sz="6"/>
          <w:left w:val="none"/>
          <w:bottom w:val="none"/>
          <w:right w:val="none"/>
          <w:insideH w:val="none"/>
          <w:insideV w:val="none"/>
        </w:tblBorders>
      </w:tblPr>
      <w:tblGrid>
        <w:gridCol w:w="9026"/>
      </w:tblGrid>
      <w:tr>
        <w:tc>
          <w:tcPr>
            <w:tcW w:type="dxa" w:w="9026"/>
            <w:tcMar>
              <w:top w:type="dxa" w:w="100"/>
              <w:left w:type="dxa" w:w="0"/>
              <w:bottom w:type="dxa" w:w="60"/>
              <w:right w:type="dxa" w:w="0"/>
            </w:tcMar>
          </w:tcPr>
          <w:p>
            <w:pPr>
              <w:spacing w:after="0" w:line="264"/>
            </w:pPr>
            <w:r>
              <w:rPr>
                <w:rFonts w:ascii="Calibri" w:cs="Calibri" w:eastAsia="Calibri" w:hAnsi="Calibri"/>
                <w:b/>
                <w:bCs/>
                <w:color w:val="096A09"/>
                <w:sz w:val="18"/>
                <w:szCs w:val="18"/>
              </w:rPr>
              <w:t xml:space="preserve">Figure 4 — </w:t>
            </w:r>
            <w:r>
              <w:rPr>
                <w:rFonts w:ascii="Calibri" w:cs="Calibri" w:eastAsia="Calibri" w:hAnsi="Calibri"/>
                <w:b/>
                <w:bCs/>
                <w:color w:val="1B1B1B"/>
                <w:sz w:val="18"/>
                <w:szCs w:val="18"/>
              </w:rPr>
              <w:t xml:space="preserve">Un goulot volontaire. </w:t>
            </w:r>
            <w:r>
              <w:rPr>
                <w:rFonts w:ascii="Calibri" w:cs="Calibri" w:eastAsia="Calibri" w:hAnsi="Calibri"/>
                <w:color w:val="5A6357"/>
                <w:sz w:val="18"/>
                <w:szCs w:val="18"/>
              </w:rPr>
              <w:t xml:space="preserve">Toute variation de stock, quelle qu'en soit l'origine, passe par StockService.appliquer(...), qui écrit le solde et la ligne de journal dans la même transaction. C'est ce passage obligé qui garantit l'invariant « solde = somme des mouvements » (RG-14), et qui rend impossible une écriture de stock oubliée.</w:t>
            </w:r>
          </w:p>
        </w:tc>
      </w:tr>
    </w:tbl>
    <w:p>
      <w:pPr>
        <w:spacing w:after="180"/>
      </w:pPr>
    </w:p>
    <w:p>
      <w:pPr>
        <w:pStyle w:val="Heading2"/>
        <w:spacing w:after="120" w:before="320"/>
      </w:pPr>
      <w:r>
        <w:rPr>
          <w:rFonts w:ascii="Calibri" w:cs="Calibri" w:eastAsia="Calibri" w:hAnsi="Calibri"/>
          <w:b/>
          <w:bCs/>
          <w:color w:val="1B1B1B"/>
          <w:sz w:val="23"/>
          <w:szCs w:val="23"/>
        </w:rPr>
        <w:t xml:space="preserve">Trois observations qui structurent la lecture du code</w:t>
      </w:r>
    </w:p>
    <w:p>
      <w:pPr>
        <w:pStyle w:val="ListParagraph"/>
        <w:numPr>
          <w:ilvl w:val="0"/>
          <w:numId w:val="2"/>
        </w:numPr>
        <w:spacing w:after="90" w:line="288"/>
      </w:pPr>
      <w:r>
        <w:rPr>
          <w:rFonts w:ascii="Calibri" w:cs="Calibri" w:eastAsia="Calibri" w:hAnsi="Calibri"/>
          <w:b/>
          <w:bCs/>
          <w:sz w:val="21"/>
          <w:szCs w:val="21"/>
        </w:rPr>
        <w:t xml:space="preserve">StockService est le point de convergence.</w:t>
      </w:r>
      <w:r>
        <w:rPr>
          <w:rFonts w:ascii="Calibri" w:cs="Calibri" w:eastAsia="Calibri" w:hAnsi="Calibri"/>
          <w:sz w:val="21"/>
          <w:szCs w:val="21"/>
        </w:rPr>
        <w:t xml:space="preserve"> Cinq services l'appellent, et il est le seul à écrire dans la table </w:t>
      </w:r>
      <w:r>
        <w:rPr>
          <w:rFonts w:ascii="Consolas" w:cs="Consolas" w:eastAsia="Consolas" w:hAnsi="Consolas"/>
          <w:color w:val="3D4A38"/>
          <w:sz w:val="18"/>
          <w:szCs w:val="18"/>
        </w:rPr>
        <w:t xml:space="preserve">stock</w:t>
      </w:r>
      <w:r>
        <w:rPr>
          <w:rFonts w:ascii="Calibri" w:cs="Calibri" w:eastAsia="Calibri" w:hAnsi="Calibri"/>
          <w:sz w:val="21"/>
          <w:szCs w:val="21"/>
        </w:rPr>
        <w:t xml:space="preserve">.</w:t>
      </w:r>
    </w:p>
    <w:p>
      <w:pPr>
        <w:pStyle w:val="ListParagraph"/>
        <w:numPr>
          <w:ilvl w:val="0"/>
          <w:numId w:val="2"/>
        </w:numPr>
        <w:spacing w:after="90" w:line="288"/>
      </w:pPr>
      <w:r>
        <w:rPr>
          <w:rFonts w:ascii="Calibri" w:cs="Calibri" w:eastAsia="Calibri" w:hAnsi="Calibri"/>
          <w:b/>
          <w:bCs/>
          <w:sz w:val="21"/>
          <w:szCs w:val="21"/>
        </w:rPr>
        <w:t xml:space="preserve">SessionVenteService agrège.</w:t>
      </w:r>
      <w:r>
        <w:rPr>
          <w:rFonts w:ascii="Calibri" w:cs="Calibri" w:eastAsia="Calibri" w:hAnsi="Calibri"/>
          <w:sz w:val="21"/>
          <w:szCs w:val="21"/>
        </w:rPr>
        <w:t xml:space="preserve"> À la clôture, il a besoin des ventes du dépôt et des tickets du bar pour produire le récapitulatif. C'est la seule dépendance directe entre deux services de processus.</w:t>
      </w:r>
    </w:p>
    <w:p>
      <w:pPr>
        <w:pStyle w:val="ListParagraph"/>
        <w:numPr>
          <w:ilvl w:val="0"/>
          <w:numId w:val="2"/>
        </w:numPr>
        <w:spacing w:after="90" w:line="288"/>
      </w:pPr>
      <w:r>
        <w:rPr>
          <w:rFonts w:ascii="Calibri" w:cs="Calibri" w:eastAsia="Calibri" w:hAnsi="Calibri"/>
          <w:b/>
          <w:bCs/>
          <w:sz w:val="21"/>
          <w:szCs w:val="21"/>
        </w:rPr>
        <w:t xml:space="preserve">Les autres s'ignorent.</w:t>
      </w:r>
      <w:r>
        <w:rPr>
          <w:rFonts w:ascii="Calibri" w:cs="Calibri" w:eastAsia="Calibri" w:hAnsi="Calibri"/>
          <w:sz w:val="21"/>
          <w:szCs w:val="21"/>
        </w:rPr>
        <w:t xml:space="preserve"> </w:t>
      </w:r>
      <w:r>
        <w:rPr>
          <w:rFonts w:ascii="Consolas" w:cs="Consolas" w:eastAsia="Consolas" w:hAnsi="Consolas"/>
          <w:color w:val="3D4A38"/>
          <w:sz w:val="18"/>
          <w:szCs w:val="18"/>
        </w:rPr>
        <w:t xml:space="preserve">ReceptionService</w:t>
      </w:r>
      <w:r>
        <w:rPr>
          <w:rFonts w:ascii="Calibri" w:cs="Calibri" w:eastAsia="Calibri" w:hAnsi="Calibri"/>
          <w:sz w:val="21"/>
          <w:szCs w:val="21"/>
        </w:rPr>
        <w:t xml:space="preserve">, </w:t>
      </w:r>
      <w:r>
        <w:rPr>
          <w:rFonts w:ascii="Consolas" w:cs="Consolas" w:eastAsia="Consolas" w:hAnsi="Consolas"/>
          <w:color w:val="3D4A38"/>
          <w:sz w:val="18"/>
          <w:szCs w:val="18"/>
        </w:rPr>
        <w:t xml:space="preserve">TransfertService</w:t>
      </w:r>
      <w:r>
        <w:rPr>
          <w:rFonts w:ascii="Calibri" w:cs="Calibri" w:eastAsia="Calibri" w:hAnsi="Calibri"/>
          <w:sz w:val="21"/>
          <w:szCs w:val="21"/>
        </w:rPr>
        <w:t xml:space="preserve"> et </w:t>
      </w:r>
      <w:r>
        <w:rPr>
          <w:rFonts w:ascii="Consolas" w:cs="Consolas" w:eastAsia="Consolas" w:hAnsi="Consolas"/>
          <w:color w:val="3D4A38"/>
          <w:sz w:val="18"/>
          <w:szCs w:val="18"/>
        </w:rPr>
        <w:t xml:space="preserve">VenteService</w:t>
      </w:r>
      <w:r>
        <w:rPr>
          <w:rFonts w:ascii="Calibri" w:cs="Calibri" w:eastAsia="Calibri" w:hAnsi="Calibri"/>
          <w:sz w:val="21"/>
          <w:szCs w:val="21"/>
        </w:rPr>
        <w:t xml:space="preserve"> ne se citent jamais. Ajouter un nouveau processus métier ne demande donc d'en modifier aucun.</w:t>
      </w:r>
    </w:p>
    <w:p>
      <w:pPr>
        <w:spacing w:after="120"/>
      </w:pPr>
    </w:p>
    <w:p>
      <w:pPr>
        <w:pStyle w:val="Heading2"/>
        <w:spacing w:after="120" w:before="320"/>
      </w:pPr>
      <w:r>
        <w:rPr>
          <w:rFonts w:ascii="Calibri" w:cs="Calibri" w:eastAsia="Calibri" w:hAnsi="Calibri"/>
          <w:b/>
          <w:bCs/>
          <w:color w:val="1B1B1B"/>
          <w:sz w:val="23"/>
          <w:szCs w:val="23"/>
        </w:rPr>
        <w:t xml:space="preserve">Qui écrit quoi</w:t>
      </w:r>
    </w:p>
    <w:p>
      <w:pPr>
        <w:spacing w:after="140" w:line="288"/>
      </w:pPr>
      <w:r>
        <w:rPr>
          <w:rFonts w:ascii="Calibri" w:cs="Calibri" w:eastAsia="Calibri" w:hAnsi="Calibri"/>
          <w:sz w:val="21"/>
          <w:szCs w:val="21"/>
        </w:rPr>
        <w:t xml:space="preserve">Aucun service n'écrit dans une table dont un autre est propriétaire. Cette règle de propriété est ce qui rend les frontières transactionnelles sûres.</w:t>
      </w:r>
    </w:p>
    <w:tbl>
      <w:tblPr>
        <w:tblW w:type="dxa" w:w="9026"/>
        <w:tblBorders>
          <w:top w:val="none"/>
          <w:left w:val="none"/>
          <w:bottom w:val="none"/>
          <w:right w:val="none"/>
          <w:insideH w:val="none"/>
          <w:insideV w:val="none"/>
        </w:tblBorders>
      </w:tblPr>
      <w:tblGrid>
        <w:gridCol w:w="2200"/>
        <w:gridCol w:w="3400"/>
        <w:gridCol w:w="3426"/>
      </w:tblGrid>
      <w:tr>
        <w:trPr>
          <w:tblHeader/>
        </w:trPr>
        <w:tc>
          <w:tcPr>
            <w:tcW w:type="dxa" w:w="2200"/>
            <w:tcBorders>
              <w:top w:val="none"/>
              <w:left w:val="none"/>
              <w:bottom w:val="none"/>
              <w:right w:val="none"/>
            </w:tcBorders>
            <w:shd w:fill="096A09" w:val="clear"/>
            <w:tcMar>
              <w:top w:type="dxa" w:w="90"/>
              <w:left w:type="dxa" w:w="60"/>
              <w:bottom w:type="dxa" w:w="90"/>
              <w:right w:type="dxa" w:w="120"/>
            </w:tcMar>
            <w:vAlign w:val="top"/>
          </w:tcPr>
          <w:p>
            <w:pPr>
              <w:spacing w:after="0" w:line="264"/>
            </w:pPr>
            <w:r>
              <w:rPr>
                <w:rFonts w:ascii="Calibri" w:cs="Calibri" w:eastAsia="Calibri" w:hAnsi="Calibri"/>
                <w:b/>
                <w:bCs/>
                <w:color w:val="FFFFFF"/>
                <w:spacing w:val="20"/>
                <w:sz w:val="17"/>
                <w:szCs w:val="17"/>
              </w:rPr>
              <w:t xml:space="preserve">SERVICE</w:t>
            </w:r>
          </w:p>
        </w:tc>
        <w:tc>
          <w:tcPr>
            <w:tcW w:type="dxa" w:w="3400"/>
            <w:tcBorders>
              <w:top w:val="none"/>
              <w:left w:val="none"/>
              <w:bottom w:val="none"/>
              <w:right w:val="none"/>
            </w:tcBorders>
            <w:shd w:fill="096A09" w:val="clear"/>
            <w:tcMar>
              <w:top w:type="dxa" w:w="90"/>
              <w:left w:type="dxa" w:w="120"/>
              <w:bottom w:type="dxa" w:w="90"/>
              <w:right w:type="dxa" w:w="120"/>
            </w:tcMar>
            <w:vAlign w:val="top"/>
          </w:tcPr>
          <w:p>
            <w:pPr>
              <w:spacing w:after="0" w:line="264"/>
            </w:pPr>
            <w:r>
              <w:rPr>
                <w:rFonts w:ascii="Calibri" w:cs="Calibri" w:eastAsia="Calibri" w:hAnsi="Calibri"/>
                <w:b/>
                <w:bCs/>
                <w:color w:val="FFFFFF"/>
                <w:spacing w:val="20"/>
                <w:sz w:val="17"/>
                <w:szCs w:val="17"/>
              </w:rPr>
              <w:t xml:space="preserve">ÉCRIT DANS</w:t>
            </w:r>
          </w:p>
        </w:tc>
        <w:tc>
          <w:tcPr>
            <w:tcW w:type="dxa" w:w="3426"/>
            <w:tcBorders>
              <w:top w:val="none"/>
              <w:left w:val="none"/>
              <w:bottom w:val="none"/>
              <w:right w:val="none"/>
            </w:tcBorders>
            <w:shd w:fill="096A09" w:val="clear"/>
            <w:tcMar>
              <w:top w:type="dxa" w:w="90"/>
              <w:left w:type="dxa" w:w="120"/>
              <w:bottom w:type="dxa" w:w="90"/>
              <w:right w:type="dxa" w:w="120"/>
            </w:tcMar>
            <w:vAlign w:val="top"/>
          </w:tcPr>
          <w:p>
            <w:pPr>
              <w:spacing w:after="0" w:line="264"/>
            </w:pPr>
            <w:r>
              <w:rPr>
                <w:rFonts w:ascii="Calibri" w:cs="Calibri" w:eastAsia="Calibri" w:hAnsi="Calibri"/>
                <w:b/>
                <w:bCs/>
                <w:color w:val="FFFFFF"/>
                <w:spacing w:val="20"/>
                <w:sz w:val="17"/>
                <w:szCs w:val="17"/>
              </w:rPr>
              <w:t xml:space="preserve">LIT</w:t>
            </w:r>
          </w:p>
        </w:tc>
      </w:tr>
      <w:tr>
        <w:tc>
          <w:tcPr>
            <w:tcW w:type="dxa" w:w="22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StockService</w:t>
            </w:r>
          </w:p>
        </w:tc>
        <w:tc>
          <w:tcPr>
            <w:tcW w:type="dxa" w:w="34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onsolas" w:cs="Consolas" w:eastAsia="Consolas" w:hAnsi="Consolas"/>
                <w:color w:val="3D4A38"/>
                <w:sz w:val="18"/>
                <w:szCs w:val="18"/>
              </w:rPr>
              <w:t xml:space="preserve">stock, mouvement_stock</w:t>
            </w:r>
          </w:p>
        </w:tc>
        <w:tc>
          <w:tcPr>
            <w:tcW w:type="dxa" w:w="34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w:t>
            </w:r>
          </w:p>
        </w:tc>
      </w:tr>
      <w:tr>
        <w:tc>
          <w:tcPr>
            <w:tcW w:type="dxa" w:w="22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ReceptionService</w:t>
            </w:r>
          </w:p>
        </w:tc>
        <w:tc>
          <w:tcPr>
            <w:tcW w:type="dxa" w:w="34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onsolas" w:cs="Consolas" w:eastAsia="Consolas" w:hAnsi="Consolas"/>
                <w:color w:val="3D4A38"/>
                <w:sz w:val="18"/>
                <w:szCs w:val="18"/>
              </w:rPr>
              <w:t xml:space="preserve">reception, ligne_reception</w:t>
            </w:r>
          </w:p>
        </w:tc>
        <w:tc>
          <w:tcPr>
            <w:tcW w:type="dxa" w:w="34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référentiel, tarifs, utilisateurs</w:t>
            </w:r>
          </w:p>
        </w:tc>
      </w:tr>
      <w:tr>
        <w:tc>
          <w:tcPr>
            <w:tcW w:type="dxa" w:w="22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VenteService</w:t>
            </w:r>
          </w:p>
        </w:tc>
        <w:tc>
          <w:tcPr>
            <w:tcW w:type="dxa" w:w="34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onsolas" w:cs="Consolas" w:eastAsia="Consolas" w:hAnsi="Consolas"/>
                <w:color w:val="3D4A38"/>
                <w:sz w:val="18"/>
                <w:szCs w:val="18"/>
              </w:rPr>
              <w:t xml:space="preserve">vente, ligne_vente, compteur_document</w:t>
            </w:r>
          </w:p>
        </w:tc>
        <w:tc>
          <w:tcPr>
            <w:tcW w:type="dxa" w:w="34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panier, session, référentiel, tarifs</w:t>
            </w:r>
          </w:p>
        </w:tc>
      </w:tr>
      <w:tr>
        <w:tc>
          <w:tcPr>
            <w:tcW w:type="dxa" w:w="22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SessionVenteService</w:t>
            </w:r>
          </w:p>
        </w:tc>
        <w:tc>
          <w:tcPr>
            <w:tcW w:type="dxa" w:w="34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onsolas" w:cs="Consolas" w:eastAsia="Consolas" w:hAnsi="Consolas"/>
                <w:color w:val="3D4A38"/>
                <w:sz w:val="18"/>
                <w:szCs w:val="18"/>
              </w:rPr>
              <w:t xml:space="preserve">session_vente</w:t>
            </w:r>
          </w:p>
        </w:tc>
        <w:tc>
          <w:tcPr>
            <w:tcW w:type="dxa" w:w="34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ventes, tickets, stock</w:t>
            </w:r>
          </w:p>
        </w:tc>
      </w:tr>
      <w:tr>
        <w:tc>
          <w:tcPr>
            <w:tcW w:type="dxa" w:w="22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TransfertService</w:t>
            </w:r>
          </w:p>
        </w:tc>
        <w:tc>
          <w:tcPr>
            <w:tcW w:type="dxa" w:w="34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onsolas" w:cs="Consolas" w:eastAsia="Consolas" w:hAnsi="Consolas"/>
                <w:color w:val="3D4A38"/>
                <w:sz w:val="18"/>
                <w:szCs w:val="18"/>
              </w:rPr>
              <w:t xml:space="preserve">bon_transfert, ligne_transfert</w:t>
            </w:r>
          </w:p>
        </w:tc>
        <w:tc>
          <w:tcPr>
            <w:tcW w:type="dxa" w:w="34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référentiel, tarifs, stock</w:t>
            </w:r>
          </w:p>
        </w:tc>
      </w:tr>
      <w:tr>
        <w:tc>
          <w:tcPr>
            <w:tcW w:type="dxa" w:w="22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TicketServeurService</w:t>
            </w:r>
          </w:p>
        </w:tc>
        <w:tc>
          <w:tcPr>
            <w:tcW w:type="dxa" w:w="34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onsolas" w:cs="Consolas" w:eastAsia="Consolas" w:hAnsi="Consolas"/>
                <w:color w:val="3D4A38"/>
                <w:sz w:val="18"/>
                <w:szCs w:val="18"/>
              </w:rPr>
              <w:t xml:space="preserve">ticket_serveur, ligne_ticket_serveur</w:t>
            </w:r>
          </w:p>
        </w:tc>
        <w:tc>
          <w:tcPr>
            <w:tcW w:type="dxa" w:w="34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session, serveurs, tarifs</w:t>
            </w:r>
          </w:p>
        </w:tc>
      </w:tr>
      <w:tr>
        <w:tc>
          <w:tcPr>
            <w:tcW w:type="dxa" w:w="2200"/>
            <w:tcBorders>
              <w:top w:val="none"/>
              <w:left w:val="none"/>
              <w:bottom w:val="single" w:color="D4DCD0" w:sz="6"/>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PanierService</w:t>
            </w:r>
          </w:p>
        </w:tc>
        <w:tc>
          <w:tcPr>
            <w:tcW w:type="dxa" w:w="3400"/>
            <w:tcBorders>
              <w:top w:val="none"/>
              <w:left w:val="none"/>
              <w:bottom w:val="single" w:color="D4DCD0" w:sz="6"/>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Redis uniquement</w:t>
            </w:r>
          </w:p>
        </w:tc>
        <w:tc>
          <w:tcPr>
            <w:tcW w:type="dxa" w:w="3426"/>
            <w:tcBorders>
              <w:top w:val="none"/>
              <w:left w:val="none"/>
              <w:bottom w:val="single" w:color="D4DCD0" w:sz="6"/>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référentiel, tarifs</w:t>
            </w:r>
          </w:p>
        </w:tc>
      </w:tr>
    </w:tbl>
    <w:p>
      <w:pPr>
        <w:spacing w:after="220"/>
      </w:pPr>
    </w:p>
    <w:p>
      <w:r>
        <w:br w:type="page"/>
      </w:r>
    </w:p>
    <w:p>
      <w:pPr>
        <w:pStyle w:val="Heading1"/>
        <w:pBdr>
          <w:bottom w:val="single" w:color="D4DCD0" w:sz="10" w:space="10"/>
        </w:pBdr>
        <w:spacing w:after="220" w:before="460"/>
      </w:pPr>
      <w:r>
        <w:rPr>
          <w:rFonts w:ascii="Consolas" w:cs="Consolas" w:eastAsia="Consolas" w:hAnsi="Consolas"/>
          <w:b/>
          <w:bCs/>
          <w:color w:val="CC5500"/>
          <w:sz w:val="28"/>
          <w:szCs w:val="28"/>
        </w:rPr>
        <w:t xml:space="preserve">06   </w:t>
      </w:r>
      <w:r>
        <w:rPr>
          <w:rFonts w:ascii="Cambria" w:cs="Cambria" w:eastAsia="Cambria" w:hAnsi="Cambria"/>
          <w:b/>
          <w:bCs/>
          <w:color w:val="096A09"/>
          <w:sz w:val="32"/>
          <w:szCs w:val="32"/>
        </w:rPr>
        <w:t xml:space="preserve">Traversée d'une requête</w:t>
      </w:r>
    </w:p>
    <w:p>
      <w:pPr>
        <w:spacing w:after="140" w:line="288"/>
      </w:pPr>
      <w:r>
        <w:rPr>
          <w:rFonts w:ascii="Calibri" w:cs="Calibri" w:eastAsia="Calibri" w:hAnsi="Calibri"/>
          <w:sz w:val="21"/>
          <w:szCs w:val="21"/>
        </w:rPr>
        <w:t xml:space="preserve">La clôture d'une réception est le cas le plus représentatif : il traverse les cinq modules et déclenche un mouvement de stock.</w:t>
      </w:r>
    </w:p>
    <w:p>
      <w:pPr>
        <w:spacing w:after="100" w:before="26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9875"/>
                    </a:xfrm>
                    <a:prstGeom prst="rect">
                      <a:avLst/>
                    </a:prstGeom>
                  </pic:spPr>
                </pic:pic>
              </a:graphicData>
            </a:graphic>
          </wp:inline>
        </w:drawing>
      </w:r>
    </w:p>
    <w:tbl>
      <w:tblPr>
        <w:tblW w:type="dxa" w:w="9026"/>
        <w:tblBorders>
          <w:top w:val="single" w:color="1FA055" w:sz="6"/>
          <w:left w:val="none"/>
          <w:bottom w:val="none"/>
          <w:right w:val="none"/>
          <w:insideH w:val="none"/>
          <w:insideV w:val="none"/>
        </w:tblBorders>
      </w:tblPr>
      <w:tblGrid>
        <w:gridCol w:w="9026"/>
      </w:tblGrid>
      <w:tr>
        <w:tc>
          <w:tcPr>
            <w:tcW w:type="dxa" w:w="9026"/>
            <w:tcMar>
              <w:top w:type="dxa" w:w="100"/>
              <w:left w:type="dxa" w:w="0"/>
              <w:bottom w:type="dxa" w:w="60"/>
              <w:right w:type="dxa" w:w="0"/>
            </w:tcMar>
          </w:tcPr>
          <w:p>
            <w:pPr>
              <w:spacing w:after="0" w:line="264"/>
            </w:pPr>
            <w:r>
              <w:rPr>
                <w:rFonts w:ascii="Calibri" w:cs="Calibri" w:eastAsia="Calibri" w:hAnsi="Calibri"/>
                <w:b/>
                <w:bCs/>
                <w:color w:val="096A09"/>
                <w:sz w:val="18"/>
                <w:szCs w:val="18"/>
              </w:rPr>
              <w:t xml:space="preserve">Figure 5 — </w:t>
            </w:r>
            <w:r>
              <w:rPr>
                <w:rFonts w:ascii="Calibri" w:cs="Calibri" w:eastAsia="Calibri" w:hAnsi="Calibri"/>
                <w:b/>
                <w:bCs/>
                <w:color w:val="1B1B1B"/>
                <w:sz w:val="18"/>
                <w:szCs w:val="18"/>
              </w:rPr>
              <w:t xml:space="preserve">La règle est portée par l'entité, pas par le service. </w:t>
            </w:r>
            <w:r>
              <w:rPr>
                <w:rFonts w:ascii="Calibri" w:cs="Calibri" w:eastAsia="Calibri" w:hAnsi="Calibri"/>
                <w:color w:val="5A6357"/>
                <w:sz w:val="18"/>
                <w:szCs w:val="18"/>
              </w:rPr>
              <w:t xml:space="preserve">Le refus de clôturer une réception qui n'est pas au brouillon vient de Reception, pas du contrôleur : elle s'applique donc quel que soit le chemin d'appel. Deux décisions se lisent aussi sur ce schéma : le stock est incrémenté dès la clôture et non à la validation (RG-17), et le solde comme le journal sont écrits dans la même transaction (RG-14).</w:t>
            </w:r>
          </w:p>
        </w:tc>
      </w:tr>
    </w:tbl>
    <w:p>
      <w:pPr>
        <w:spacing w:after="180"/>
      </w:pPr>
    </w:p>
    <w:p>
      <w:pPr>
        <w:pStyle w:val="Heading2"/>
        <w:spacing w:after="120" w:before="320"/>
      </w:pPr>
      <w:r>
        <w:rPr>
          <w:rFonts w:ascii="Calibri" w:cs="Calibri" w:eastAsia="Calibri" w:hAnsi="Calibri"/>
          <w:b/>
          <w:bCs/>
          <w:color w:val="1B1B1B"/>
          <w:sz w:val="23"/>
          <w:szCs w:val="23"/>
        </w:rPr>
        <w:t xml:space="preserve">Le passage d'une commande, et son idempotence</w:t>
      </w:r>
    </w:p>
    <w:p>
      <w:pPr>
        <w:spacing w:after="140" w:line="288"/>
      </w:pPr>
      <w:r>
        <w:rPr>
          <w:rFonts w:ascii="Calibri" w:cs="Calibri" w:eastAsia="Calibri" w:hAnsi="Calibri"/>
          <w:sz w:val="21"/>
          <w:szCs w:val="21"/>
        </w:rPr>
        <w:t xml:space="preserve">Sur un téléphone, en réseau instable, un double appui sur « Commander » est la norme, pas l'exception. Le mécanisme d'idempotence traite ce cas avant tout le reste.</w:t>
      </w:r>
    </w:p>
    <w:p>
      <w:pPr>
        <w:spacing w:after="100" w:before="260"/>
        <w:jc w:val="center"/>
      </w:pPr>
      <w:r>
        <w:drawing>
          <wp:inline distT="0" distB="0" distL="0" distR="0">
            <wp:extent cx="5715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90725"/>
                    </a:xfrm>
                    <a:prstGeom prst="rect">
                      <a:avLst/>
                    </a:prstGeom>
                  </pic:spPr>
                </pic:pic>
              </a:graphicData>
            </a:graphic>
          </wp:inline>
        </w:drawing>
      </w:r>
    </w:p>
    <w:tbl>
      <w:tblPr>
        <w:tblW w:type="dxa" w:w="9026"/>
        <w:tblBorders>
          <w:top w:val="single" w:color="1FA055" w:sz="6"/>
          <w:left w:val="none"/>
          <w:bottom w:val="none"/>
          <w:right w:val="none"/>
          <w:insideH w:val="none"/>
          <w:insideV w:val="none"/>
        </w:tblBorders>
      </w:tblPr>
      <w:tblGrid>
        <w:gridCol w:w="9026"/>
      </w:tblGrid>
      <w:tr>
        <w:tc>
          <w:tcPr>
            <w:tcW w:type="dxa" w:w="9026"/>
            <w:tcMar>
              <w:top w:type="dxa" w:w="100"/>
              <w:left w:type="dxa" w:w="0"/>
              <w:bottom w:type="dxa" w:w="60"/>
              <w:right w:type="dxa" w:w="0"/>
            </w:tcMar>
          </w:tcPr>
          <w:p>
            <w:pPr>
              <w:spacing w:after="0" w:line="264"/>
            </w:pPr>
            <w:r>
              <w:rPr>
                <w:rFonts w:ascii="Calibri" w:cs="Calibri" w:eastAsia="Calibri" w:hAnsi="Calibri"/>
                <w:b/>
                <w:bCs/>
                <w:color w:val="096A09"/>
                <w:sz w:val="18"/>
                <w:szCs w:val="18"/>
              </w:rPr>
              <w:t xml:space="preserve">Figure 6 — </w:t>
            </w:r>
            <w:r>
              <w:rPr>
                <w:rFonts w:ascii="Calibri" w:cs="Calibri" w:eastAsia="Calibri" w:hAnsi="Calibri"/>
                <w:b/>
                <w:bCs/>
                <w:color w:val="1B1B1B"/>
                <w:sz w:val="18"/>
                <w:szCs w:val="18"/>
              </w:rPr>
              <w:t xml:space="preserve">Le panier n'est pas un document. </w:t>
            </w:r>
            <w:r>
              <w:rPr>
                <w:rFonts w:ascii="Calibri" w:cs="Calibri" w:eastAsia="Calibri" w:hAnsi="Calibri"/>
                <w:color w:val="5A6357"/>
                <w:sz w:val="18"/>
                <w:szCs w:val="18"/>
              </w:rPr>
              <w:t xml:space="preserve">Il vit dans Redis, et le supprimer n'a aucun effet sur le stock (RG-25). Il ne devient une donnée durable qu'au moment de la commande — c'est aussi pourquoi le contrôle de disponibilité est seulement informatif à l'ajout au panier, et bloquant ici (RG-24).</w:t>
            </w:r>
          </w:p>
        </w:tc>
      </w:tr>
    </w:tbl>
    <w:p>
      <w:pPr>
        <w:spacing w:after="180"/>
      </w:pPr>
    </w:p>
    <w:p>
      <w:r>
        <w:br w:type="page"/>
      </w:r>
    </w:p>
    <w:p>
      <w:pPr>
        <w:pStyle w:val="Heading1"/>
        <w:pBdr>
          <w:bottom w:val="single" w:color="D4DCD0" w:sz="10" w:space="10"/>
        </w:pBdr>
        <w:spacing w:after="220" w:before="460"/>
      </w:pPr>
      <w:r>
        <w:rPr>
          <w:rFonts w:ascii="Consolas" w:cs="Consolas" w:eastAsia="Consolas" w:hAnsi="Consolas"/>
          <w:b/>
          <w:bCs/>
          <w:color w:val="CC5500"/>
          <w:sz w:val="28"/>
          <w:szCs w:val="28"/>
        </w:rPr>
        <w:t xml:space="preserve">07   </w:t>
      </w:r>
      <w:r>
        <w:rPr>
          <w:rFonts w:ascii="Cambria" w:cs="Cambria" w:eastAsia="Cambria" w:hAnsi="Cambria"/>
          <w:b/>
          <w:bCs/>
          <w:color w:val="096A09"/>
          <w:sz w:val="32"/>
          <w:szCs w:val="32"/>
        </w:rPr>
        <w:t xml:space="preserve">Mécanismes transverses</w:t>
      </w:r>
    </w:p>
    <w:p>
      <w:pPr>
        <w:pStyle w:val="Heading2"/>
        <w:spacing w:after="120" w:before="320"/>
      </w:pPr>
      <w:r>
        <w:rPr>
          <w:rFonts w:ascii="Calibri" w:cs="Calibri" w:eastAsia="Calibri" w:hAnsi="Calibri"/>
          <w:b/>
          <w:bCs/>
          <w:color w:val="1B1B1B"/>
          <w:sz w:val="23"/>
          <w:szCs w:val="23"/>
        </w:rPr>
        <w:t xml:space="preserve">Notifications : une file en base, pas un appel direct</w:t>
      </w:r>
    </w:p>
    <w:p>
      <w:pPr>
        <w:spacing w:after="140" w:line="288"/>
      </w:pPr>
      <w:r>
        <w:rPr>
          <w:rFonts w:ascii="Calibri" w:cs="Calibri" w:eastAsia="Calibri" w:hAnsi="Calibri"/>
          <w:sz w:val="21"/>
          <w:szCs w:val="21"/>
        </w:rPr>
        <w:t xml:space="preserve">Un envoi d'email ou de SMS ne doit jamais faire échouer une opération métier. Le service se contente d'écrire une ligne dans une file, dans sa propre transaction ; un processus séparé la relit et procède à l'envoi.</w:t>
      </w:r>
    </w:p>
    <w:p>
      <w:pPr>
        <w:spacing w:after="100" w:before="26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943100"/>
                    </a:xfrm>
                    <a:prstGeom prst="rect">
                      <a:avLst/>
                    </a:prstGeom>
                  </pic:spPr>
                </pic:pic>
              </a:graphicData>
            </a:graphic>
          </wp:inline>
        </w:drawing>
      </w:r>
    </w:p>
    <w:tbl>
      <w:tblPr>
        <w:tblW w:type="dxa" w:w="9026"/>
        <w:tblBorders>
          <w:top w:val="single" w:color="1FA055" w:sz="6"/>
          <w:left w:val="none"/>
          <w:bottom w:val="none"/>
          <w:right w:val="none"/>
          <w:insideH w:val="none"/>
          <w:insideV w:val="none"/>
        </w:tblBorders>
      </w:tblPr>
      <w:tblGrid>
        <w:gridCol w:w="9026"/>
      </w:tblGrid>
      <w:tr>
        <w:tc>
          <w:tcPr>
            <w:tcW w:type="dxa" w:w="9026"/>
            <w:tcMar>
              <w:top w:type="dxa" w:w="100"/>
              <w:left w:type="dxa" w:w="0"/>
              <w:bottom w:type="dxa" w:w="60"/>
              <w:right w:type="dxa" w:w="0"/>
            </w:tcMar>
          </w:tcPr>
          <w:p>
            <w:pPr>
              <w:spacing w:after="0" w:line="264"/>
            </w:pPr>
            <w:r>
              <w:rPr>
                <w:rFonts w:ascii="Calibri" w:cs="Calibri" w:eastAsia="Calibri" w:hAnsi="Calibri"/>
                <w:b/>
                <w:bCs/>
                <w:color w:val="096A09"/>
                <w:sz w:val="18"/>
                <w:szCs w:val="18"/>
              </w:rPr>
              <w:t xml:space="preserve">Figure 7 — </w:t>
            </w:r>
            <w:r>
              <w:rPr>
                <w:rFonts w:ascii="Calibri" w:cs="Calibri" w:eastAsia="Calibri" w:hAnsi="Calibri"/>
                <w:b/>
                <w:bCs/>
                <w:color w:val="1B1B1B"/>
                <w:sz w:val="18"/>
                <w:szCs w:val="18"/>
              </w:rPr>
              <w:t xml:space="preserve">Le trait qui compte est le cadre en pointillés. </w:t>
            </w:r>
            <w:r>
              <w:rPr>
                <w:rFonts w:ascii="Calibri" w:cs="Calibri" w:eastAsia="Calibri" w:hAnsi="Calibri"/>
                <w:color w:val="5A6357"/>
                <w:sz w:val="18"/>
                <w:szCs w:val="18"/>
              </w:rPr>
              <w:t xml:space="preserve">Rien de ce qui est à l'extérieur ne peut faire échouer ce qui est à l'intérieur : si le serveur SMTP est indisponible, la réception reste clôturée et la notification part plus tard. Le fournisseur SMS est choisi par configuration — log, twilio ou orange — aucun n'est codé en dur.</w:t>
            </w:r>
          </w:p>
        </w:tc>
      </w:tr>
    </w:tbl>
    <w:p>
      <w:pPr>
        <w:spacing w:after="180"/>
      </w:pPr>
    </w:p>
    <w:p>
      <w:pPr>
        <w:pStyle w:val="Heading2"/>
        <w:spacing w:after="120" w:before="320"/>
      </w:pPr>
      <w:r>
        <w:rPr>
          <w:rFonts w:ascii="Calibri" w:cs="Calibri" w:eastAsia="Calibri" w:hAnsi="Calibri"/>
          <w:b/>
          <w:bCs/>
          <w:color w:val="1B1B1B"/>
          <w:sz w:val="23"/>
          <w:szCs w:val="23"/>
        </w:rPr>
        <w:t xml:space="preserve">Sécurité : trois barrières successives</w:t>
      </w:r>
    </w:p>
    <w:p>
      <w:pPr>
        <w:spacing w:after="100" w:before="260"/>
        <w:jc w:val="center"/>
      </w:pPr>
      <w:r>
        <w:drawing>
          <wp:inline distT="0" distB="0" distL="0" distR="0">
            <wp:extent cx="5715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200150"/>
                    </a:xfrm>
                    <a:prstGeom prst="rect">
                      <a:avLst/>
                    </a:prstGeom>
                  </pic:spPr>
                </pic:pic>
              </a:graphicData>
            </a:graphic>
          </wp:inline>
        </w:drawing>
      </w:r>
    </w:p>
    <w:tbl>
      <w:tblPr>
        <w:tblW w:type="dxa" w:w="9026"/>
        <w:tblBorders>
          <w:top w:val="single" w:color="1FA055" w:sz="6"/>
          <w:left w:val="none"/>
          <w:bottom w:val="none"/>
          <w:right w:val="none"/>
          <w:insideH w:val="none"/>
          <w:insideV w:val="none"/>
        </w:tblBorders>
      </w:tblPr>
      <w:tblGrid>
        <w:gridCol w:w="9026"/>
      </w:tblGrid>
      <w:tr>
        <w:tc>
          <w:tcPr>
            <w:tcW w:type="dxa" w:w="9026"/>
            <w:tcMar>
              <w:top w:type="dxa" w:w="100"/>
              <w:left w:type="dxa" w:w="0"/>
              <w:bottom w:type="dxa" w:w="60"/>
              <w:right w:type="dxa" w:w="0"/>
            </w:tcMar>
          </w:tcPr>
          <w:p>
            <w:pPr>
              <w:spacing w:after="0" w:line="264"/>
            </w:pPr>
            <w:r>
              <w:rPr>
                <w:rFonts w:ascii="Calibri" w:cs="Calibri" w:eastAsia="Calibri" w:hAnsi="Calibri"/>
                <w:b/>
                <w:bCs/>
                <w:color w:val="096A09"/>
                <w:sz w:val="18"/>
                <w:szCs w:val="18"/>
              </w:rPr>
              <w:t xml:space="preserve">Figure 8 — </w:t>
            </w:r>
            <w:r>
              <w:rPr>
                <w:rFonts w:ascii="Calibri" w:cs="Calibri" w:eastAsia="Calibri" w:hAnsi="Calibri"/>
                <w:b/>
                <w:bCs/>
                <w:color w:val="1B1B1B"/>
                <w:sz w:val="18"/>
                <w:szCs w:val="18"/>
              </w:rPr>
              <w:t xml:space="preserve">L'ordre des filtres est une décision de sécurité. </w:t>
            </w:r>
            <w:r>
              <w:rPr>
                <w:rFonts w:ascii="Calibri" w:cs="Calibri" w:eastAsia="Calibri" w:hAnsi="Calibri"/>
                <w:color w:val="5A6357"/>
                <w:sz w:val="18"/>
                <w:szCs w:val="18"/>
              </w:rPr>
              <w:t xml:space="preserve">La limitation de débit précède l'authentification : une attaque par force brute est arrêtée avant tout accès à la base. La session est sans état — aucun cookie de session, un jeton d'accès de courte durée et un jeton de rafraîchissement stocké dans Redis, donc révocable instantanément.</w:t>
            </w:r>
          </w:p>
        </w:tc>
      </w:tr>
    </w:tbl>
    <w:p>
      <w:pPr>
        <w:spacing w:after="180"/>
      </w:pPr>
    </w:p>
    <w:p>
      <w:pPr>
        <w:pStyle w:val="Heading2"/>
        <w:spacing w:after="120" w:before="320"/>
      </w:pPr>
      <w:r>
        <w:rPr>
          <w:rFonts w:ascii="Calibri" w:cs="Calibri" w:eastAsia="Calibri" w:hAnsi="Calibri"/>
          <w:b/>
          <w:bCs/>
          <w:color w:val="1B1B1B"/>
          <w:sz w:val="23"/>
          <w:szCs w:val="23"/>
        </w:rPr>
        <w:t xml:space="preserve">Concurrence sur le stock</w:t>
      </w:r>
    </w:p>
    <w:p>
      <w:pPr>
        <w:spacing w:after="140" w:line="288"/>
      </w:pPr>
      <w:r>
        <w:rPr>
          <w:rFonts w:ascii="Calibri" w:cs="Calibri" w:eastAsia="Calibri" w:hAnsi="Calibri"/>
          <w:sz w:val="21"/>
          <w:szCs w:val="21"/>
        </w:rPr>
        <w:t xml:space="preserve">Deux ventes simultanées du même produit ne doivent pas se perdre. Le mécanisme combine un verrou optimiste sur l'entité </w:t>
      </w:r>
      <w:r>
        <w:rPr>
          <w:rFonts w:ascii="Consolas" w:cs="Consolas" w:eastAsia="Consolas" w:hAnsi="Consolas"/>
          <w:color w:val="3D4A38"/>
          <w:sz w:val="18"/>
          <w:szCs w:val="18"/>
        </w:rPr>
        <w:t xml:space="preserve">Stock</w:t>
      </w:r>
      <w:r>
        <w:rPr>
          <w:rFonts w:ascii="Calibri" w:cs="Calibri" w:eastAsia="Calibri" w:hAnsi="Calibri"/>
          <w:sz w:val="21"/>
          <w:szCs w:val="21"/>
        </w:rPr>
        <w:t xml:space="preserve"> et un rejeu automatique : en cas de conflit, l'opération est relancée jusqu'à trois fois avant de renvoyer une erreur (RG-16). Au-delà, ou si le stock est réellement insuffisant, la requête est rejetée en </w:t>
      </w:r>
      <w:r>
        <w:rPr>
          <w:rFonts w:ascii="Consolas" w:cs="Consolas" w:eastAsia="Consolas" w:hAnsi="Consolas"/>
          <w:color w:val="3D4A38"/>
          <w:sz w:val="18"/>
          <w:szCs w:val="18"/>
        </w:rPr>
        <w:t xml:space="preserve">409 Conflict</w:t>
      </w:r>
      <w:r>
        <w:rPr>
          <w:rFonts w:ascii="Calibri" w:cs="Calibri" w:eastAsia="Calibri" w:hAnsi="Calibri"/>
          <w:sz w:val="21"/>
          <w:szCs w:val="21"/>
        </w:rPr>
        <w:t xml:space="preserve"> (RG-15).</w:t>
      </w:r>
    </w:p>
    <w:p>
      <w:pPr>
        <w:pStyle w:val="Heading2"/>
        <w:spacing w:after="120" w:before="320"/>
      </w:pPr>
      <w:r>
        <w:rPr>
          <w:rFonts w:ascii="Calibri" w:cs="Calibri" w:eastAsia="Calibri" w:hAnsi="Calibri"/>
          <w:b/>
          <w:bCs/>
          <w:color w:val="1B1B1B"/>
          <w:sz w:val="23"/>
          <w:szCs w:val="23"/>
        </w:rPr>
        <w:t xml:space="preserve">Traçabilité : trois dispositifs superposés</w:t>
      </w:r>
    </w:p>
    <w:tbl>
      <w:tblPr>
        <w:tblW w:type="dxa" w:w="9026"/>
        <w:tblBorders>
          <w:top w:val="none"/>
          <w:left w:val="none"/>
          <w:bottom w:val="none"/>
          <w:right w:val="none"/>
          <w:insideH w:val="none"/>
          <w:insideV w:val="none"/>
        </w:tblBorders>
      </w:tblPr>
      <w:tblGrid>
        <w:gridCol w:w="2000"/>
        <w:gridCol w:w="2200"/>
        <w:gridCol w:w="4826"/>
      </w:tblGrid>
      <w:tr>
        <w:trPr>
          <w:tblHeader/>
        </w:trPr>
        <w:tc>
          <w:tcPr>
            <w:tcW w:type="dxa" w:w="2000"/>
            <w:tcBorders>
              <w:top w:val="none"/>
              <w:left w:val="none"/>
              <w:bottom w:val="none"/>
              <w:right w:val="none"/>
            </w:tcBorders>
            <w:shd w:fill="096A09" w:val="clear"/>
            <w:tcMar>
              <w:top w:type="dxa" w:w="90"/>
              <w:left w:type="dxa" w:w="60"/>
              <w:bottom w:type="dxa" w:w="90"/>
              <w:right w:type="dxa" w:w="120"/>
            </w:tcMar>
            <w:vAlign w:val="top"/>
          </w:tcPr>
          <w:p>
            <w:pPr>
              <w:spacing w:after="0" w:line="264"/>
            </w:pPr>
            <w:r>
              <w:rPr>
                <w:rFonts w:ascii="Calibri" w:cs="Calibri" w:eastAsia="Calibri" w:hAnsi="Calibri"/>
                <w:b/>
                <w:bCs/>
                <w:color w:val="FFFFFF"/>
                <w:spacing w:val="20"/>
                <w:sz w:val="17"/>
                <w:szCs w:val="17"/>
              </w:rPr>
              <w:t xml:space="preserve">DISPOSITIF</w:t>
            </w:r>
          </w:p>
        </w:tc>
        <w:tc>
          <w:tcPr>
            <w:tcW w:type="dxa" w:w="2200"/>
            <w:tcBorders>
              <w:top w:val="none"/>
              <w:left w:val="none"/>
              <w:bottom w:val="none"/>
              <w:right w:val="none"/>
            </w:tcBorders>
            <w:shd w:fill="096A09" w:val="clear"/>
            <w:tcMar>
              <w:top w:type="dxa" w:w="90"/>
              <w:left w:type="dxa" w:w="120"/>
              <w:bottom w:type="dxa" w:w="90"/>
              <w:right w:type="dxa" w:w="120"/>
            </w:tcMar>
            <w:vAlign w:val="top"/>
          </w:tcPr>
          <w:p>
            <w:pPr>
              <w:spacing w:after="0" w:line="264"/>
            </w:pPr>
            <w:r>
              <w:rPr>
                <w:rFonts w:ascii="Calibri" w:cs="Calibri" w:eastAsia="Calibri" w:hAnsi="Calibri"/>
                <w:b/>
                <w:bCs/>
                <w:color w:val="FFFFFF"/>
                <w:spacing w:val="20"/>
                <w:sz w:val="17"/>
                <w:szCs w:val="17"/>
              </w:rPr>
              <w:t xml:space="preserve">PORTÉE</w:t>
            </w:r>
          </w:p>
        </w:tc>
        <w:tc>
          <w:tcPr>
            <w:tcW w:type="dxa" w:w="4826"/>
            <w:tcBorders>
              <w:top w:val="none"/>
              <w:left w:val="none"/>
              <w:bottom w:val="none"/>
              <w:right w:val="none"/>
            </w:tcBorders>
            <w:shd w:fill="096A09" w:val="clear"/>
            <w:tcMar>
              <w:top w:type="dxa" w:w="90"/>
              <w:left w:type="dxa" w:w="120"/>
              <w:bottom w:type="dxa" w:w="90"/>
              <w:right w:type="dxa" w:w="120"/>
            </w:tcMar>
            <w:vAlign w:val="top"/>
          </w:tcPr>
          <w:p>
            <w:pPr>
              <w:spacing w:after="0" w:line="264"/>
            </w:pPr>
            <w:r>
              <w:rPr>
                <w:rFonts w:ascii="Calibri" w:cs="Calibri" w:eastAsia="Calibri" w:hAnsi="Calibri"/>
                <w:b/>
                <w:bCs/>
                <w:color w:val="FFFFFF"/>
                <w:spacing w:val="20"/>
                <w:sz w:val="17"/>
                <w:szCs w:val="17"/>
              </w:rPr>
              <w:t xml:space="preserve">CE QU'IL PERMET DE RÉPONDRE</w:t>
            </w:r>
          </w:p>
        </w:tc>
      </w:tr>
      <w:tr>
        <w:tc>
          <w:tcPr>
            <w:tcW w:type="dxa" w:w="2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JPA Auditing</w:t>
            </w:r>
          </w:p>
        </w:tc>
        <w:tc>
          <w:tcPr>
            <w:tcW w:type="dxa" w:w="22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toutes les entités</w:t>
            </w:r>
          </w:p>
        </w:tc>
        <w:tc>
          <w:tcPr>
            <w:tcW w:type="dxa" w:w="48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qui a créé cette ligne, qui l'a modifiée en dernier</w:t>
            </w:r>
          </w:p>
        </w:tc>
      </w:tr>
      <w:tr>
        <w:tc>
          <w:tcPr>
            <w:tcW w:type="dxa" w:w="2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Hibernate Envers</w:t>
            </w:r>
          </w:p>
        </w:tc>
        <w:tc>
          <w:tcPr>
            <w:tcW w:type="dxa" w:w="22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8 entités sensibles</w:t>
            </w:r>
          </w:p>
        </w:tc>
        <w:tc>
          <w:tcPr>
            <w:tcW w:type="dxa" w:w="48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à quoi ressemblait ce document avant la modification</w:t>
            </w:r>
          </w:p>
        </w:tc>
      </w:tr>
      <w:tr>
        <w:tc>
          <w:tcPr>
            <w:tcW w:type="dxa" w:w="2000"/>
            <w:tcBorders>
              <w:top w:val="none"/>
              <w:left w:val="none"/>
              <w:bottom w:val="single" w:color="D4DCD0" w:sz="6"/>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journal_action</w:t>
            </w:r>
          </w:p>
        </w:tc>
        <w:tc>
          <w:tcPr>
            <w:tcW w:type="dxa" w:w="2200"/>
            <w:tcBorders>
              <w:top w:val="none"/>
              <w:left w:val="none"/>
              <w:bottom w:val="single" w:color="D4DCD0" w:sz="6"/>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opérations sensibles</w:t>
            </w:r>
          </w:p>
        </w:tc>
        <w:tc>
          <w:tcPr>
            <w:tcW w:type="dxa" w:w="4826"/>
            <w:tcBorders>
              <w:top w:val="none"/>
              <w:left w:val="none"/>
              <w:bottom w:val="single" w:color="D4DCD0" w:sz="6"/>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qui a validé, annulé, changé des droits, et depuis quelle adresse</w:t>
            </w:r>
          </w:p>
        </w:tc>
      </w:tr>
    </w:tbl>
    <w:p>
      <w:pPr>
        <w:spacing w:after="220"/>
      </w:pPr>
    </w:p>
    <w:p>
      <w:pPr>
        <w:spacing w:after="140" w:line="288"/>
      </w:pPr>
      <w:r>
        <w:rPr>
          <w:rFonts w:ascii="Calibri" w:cs="Calibri" w:eastAsia="Calibri" w:hAnsi="Calibri"/>
          <w:sz w:val="21"/>
          <w:szCs w:val="21"/>
        </w:rPr>
        <w:t xml:space="preserve">Aucune donnée transactionnelle n'est jamais supprimée physiquement : les corrections passent par contre-passation ou par document d'ajustement.</w:t>
      </w:r>
    </w:p>
    <w:p>
      <w:r>
        <w:br w:type="page"/>
      </w:r>
    </w:p>
    <w:p>
      <w:pPr>
        <w:pStyle w:val="Heading1"/>
        <w:pBdr>
          <w:bottom w:val="single" w:color="D4DCD0" w:sz="10" w:space="10"/>
        </w:pBdr>
        <w:spacing w:after="220" w:before="460"/>
      </w:pPr>
      <w:r>
        <w:rPr>
          <w:rFonts w:ascii="Consolas" w:cs="Consolas" w:eastAsia="Consolas" w:hAnsi="Consolas"/>
          <w:b/>
          <w:bCs/>
          <w:color w:val="CC5500"/>
          <w:sz w:val="28"/>
          <w:szCs w:val="28"/>
        </w:rPr>
        <w:t xml:space="preserve">08   </w:t>
      </w:r>
      <w:r>
        <w:rPr>
          <w:rFonts w:ascii="Cambria" w:cs="Cambria" w:eastAsia="Cambria" w:hAnsi="Cambria"/>
          <w:b/>
          <w:bCs/>
          <w:color w:val="096A09"/>
          <w:sz w:val="32"/>
          <w:szCs w:val="32"/>
        </w:rPr>
        <w:t xml:space="preserve">Le frontend</w:t>
      </w:r>
    </w:p>
    <w:p>
      <w:pPr>
        <w:spacing w:after="100" w:before="26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76450"/>
                    </a:xfrm>
                    <a:prstGeom prst="rect">
                      <a:avLst/>
                    </a:prstGeom>
                  </pic:spPr>
                </pic:pic>
              </a:graphicData>
            </a:graphic>
          </wp:inline>
        </w:drawing>
      </w:r>
    </w:p>
    <w:tbl>
      <w:tblPr>
        <w:tblW w:type="dxa" w:w="9026"/>
        <w:tblBorders>
          <w:top w:val="single" w:color="1FA055" w:sz="6"/>
          <w:left w:val="none"/>
          <w:bottom w:val="none"/>
          <w:right w:val="none"/>
          <w:insideH w:val="none"/>
          <w:insideV w:val="none"/>
        </w:tblBorders>
      </w:tblPr>
      <w:tblGrid>
        <w:gridCol w:w="9026"/>
      </w:tblGrid>
      <w:tr>
        <w:tc>
          <w:tcPr>
            <w:tcW w:type="dxa" w:w="9026"/>
            <w:tcMar>
              <w:top w:type="dxa" w:w="100"/>
              <w:left w:type="dxa" w:w="0"/>
              <w:bottom w:type="dxa" w:w="60"/>
              <w:right w:type="dxa" w:w="0"/>
            </w:tcMar>
          </w:tcPr>
          <w:p>
            <w:pPr>
              <w:spacing w:after="0" w:line="264"/>
            </w:pPr>
            <w:r>
              <w:rPr>
                <w:rFonts w:ascii="Calibri" w:cs="Calibri" w:eastAsia="Calibri" w:hAnsi="Calibri"/>
                <w:b/>
                <w:bCs/>
                <w:color w:val="096A09"/>
                <w:sz w:val="18"/>
                <w:szCs w:val="18"/>
              </w:rPr>
              <w:t xml:space="preserve">Figure 9 — </w:t>
            </w:r>
            <w:r>
              <w:rPr>
                <w:rFonts w:ascii="Calibri" w:cs="Calibri" w:eastAsia="Calibri" w:hAnsi="Calibri"/>
                <w:b/>
                <w:bCs/>
                <w:color w:val="1B1B1B"/>
                <w:sz w:val="18"/>
                <w:szCs w:val="18"/>
              </w:rPr>
              <w:t xml:space="preserve">Un seul point de sortie. </w:t>
            </w:r>
            <w:r>
              <w:rPr>
                <w:rFonts w:ascii="Calibri" w:cs="Calibri" w:eastAsia="Calibri" w:hAnsi="Calibri"/>
                <w:color w:val="5A6357"/>
                <w:sz w:val="18"/>
                <w:szCs w:val="18"/>
              </w:rPr>
              <w:t xml:space="preserve">Aucun composant n'appelle HttpClient directement : tout passe par les services typés de core/api/. Changer un contrat d'API se répercute donc à un seul endroit, et l'intercepteur d'erreurs traduit une bonne fois les réponses normalisées du backend en messages français.</w:t>
            </w:r>
          </w:p>
        </w:tc>
      </w:tr>
    </w:tbl>
    <w:p>
      <w:pPr>
        <w:spacing w:after="180"/>
      </w:pPr>
    </w:p>
    <w:p>
      <w:pPr>
        <w:spacing w:after="140" w:line="288"/>
      </w:pPr>
      <w:r>
        <w:rPr>
          <w:rFonts w:ascii="Calibri" w:cs="Calibri" w:eastAsia="Calibri" w:hAnsi="Calibri"/>
          <w:sz w:val="21"/>
          <w:szCs w:val="21"/>
        </w:rPr>
        <w:t xml:space="preserve">L'application est en </w:t>
      </w:r>
      <w:r>
        <w:rPr>
          <w:rFonts w:ascii="Calibri" w:cs="Calibri" w:eastAsia="Calibri" w:hAnsi="Calibri"/>
          <w:b/>
          <w:bCs/>
          <w:sz w:val="21"/>
          <w:szCs w:val="21"/>
        </w:rPr>
        <w:t xml:space="preserve">Angular 22</w:t>
      </w:r>
      <w:r>
        <w:rPr>
          <w:rFonts w:ascii="Calibri" w:cs="Calibri" w:eastAsia="Calibri" w:hAnsi="Calibri"/>
          <w:sz w:val="21"/>
          <w:szCs w:val="21"/>
        </w:rPr>
        <w:t xml:space="preserve"> : composants autonomes, état porté par des signaux, mode </w:t>
      </w:r>
      <w:r>
        <w:rPr>
          <w:rFonts w:ascii="Calibri" w:cs="Calibri" w:eastAsia="Calibri" w:hAnsi="Calibri"/>
          <w:i/>
          <w:iCs/>
          <w:sz w:val="21"/>
          <w:szCs w:val="21"/>
        </w:rPr>
        <w:t xml:space="preserve">zoneless</w:t>
      </w:r>
      <w:r>
        <w:rPr>
          <w:rFonts w:ascii="Calibri" w:cs="Calibri" w:eastAsia="Calibri" w:hAnsi="Calibri"/>
          <w:sz w:val="21"/>
          <w:szCs w:val="21"/>
        </w:rPr>
        <w:t xml:space="preserve">, nouvelle syntaxe de contrôle de flux. Les routes sont protégées par des gardes fondées sur les permissions renvoyées à la connexion ; une route demandée sans être connecté est mémorisée puis rejouée après authentification, ce qui rend les liens envoyés par email directement exploitables (RG-35).</w:t>
      </w:r>
    </w:p>
    <w:p>
      <w:pPr>
        <w:pStyle w:val="Heading1"/>
        <w:pBdr>
          <w:bottom w:val="single" w:color="D4DCD0" w:sz="10" w:space="10"/>
        </w:pBdr>
        <w:spacing w:after="220" w:before="460"/>
      </w:pPr>
      <w:r>
        <w:rPr>
          <w:rFonts w:ascii="Consolas" w:cs="Consolas" w:eastAsia="Consolas" w:hAnsi="Consolas"/>
          <w:b/>
          <w:bCs/>
          <w:color w:val="CC5500"/>
          <w:sz w:val="28"/>
          <w:szCs w:val="28"/>
        </w:rPr>
        <w:t xml:space="preserve">09   </w:t>
      </w:r>
      <w:r>
        <w:rPr>
          <w:rFonts w:ascii="Cambria" w:cs="Cambria" w:eastAsia="Cambria" w:hAnsi="Cambria"/>
          <w:b/>
          <w:bCs/>
          <w:color w:val="096A09"/>
          <w:sz w:val="32"/>
          <w:szCs w:val="32"/>
        </w:rPr>
        <w:t xml:space="preserve">Répartition des données</w:t>
      </w:r>
    </w:p>
    <w:p>
      <w:pPr>
        <w:spacing w:after="140" w:line="288"/>
      </w:pPr>
      <w:r>
        <w:rPr>
          <w:rFonts w:ascii="Calibri" w:cs="Calibri" w:eastAsia="Calibri" w:hAnsi="Calibri"/>
          <w:i/>
          <w:iCs/>
          <w:sz w:val="21"/>
          <w:szCs w:val="21"/>
        </w:rPr>
        <w:t xml:space="preserve">Peut-on perdre cette donnée sans conséquence métier ?</w:t>
      </w:r>
      <w:r>
        <w:rPr>
          <w:rFonts w:ascii="Calibri" w:cs="Calibri" w:eastAsia="Calibri" w:hAnsi="Calibri"/>
          <w:sz w:val="21"/>
          <w:szCs w:val="21"/>
        </w:rPr>
        <w:t xml:space="preserve"> Si oui, elle va dans Redis ; sinon, dans PostgreSQL. Aucune exception.</w:t>
      </w:r>
    </w:p>
    <w:tbl>
      <w:tblPr>
        <w:tblW w:type="dxa" w:w="9026"/>
        <w:tblBorders>
          <w:top w:val="none"/>
          <w:left w:val="none"/>
          <w:bottom w:val="none"/>
          <w:right w:val="none"/>
          <w:insideH w:val="none"/>
          <w:insideV w:val="none"/>
        </w:tblBorders>
      </w:tblPr>
      <w:tblGrid>
        <w:gridCol w:w="3000"/>
        <w:gridCol w:w="1800"/>
        <w:gridCol w:w="4226"/>
      </w:tblGrid>
      <w:tr>
        <w:trPr>
          <w:tblHeader/>
        </w:trPr>
        <w:tc>
          <w:tcPr>
            <w:tcW w:type="dxa" w:w="3000"/>
            <w:tcBorders>
              <w:top w:val="none"/>
              <w:left w:val="none"/>
              <w:bottom w:val="none"/>
              <w:right w:val="none"/>
            </w:tcBorders>
            <w:shd w:fill="096A09" w:val="clear"/>
            <w:tcMar>
              <w:top w:type="dxa" w:w="90"/>
              <w:left w:type="dxa" w:w="60"/>
              <w:bottom w:type="dxa" w:w="90"/>
              <w:right w:type="dxa" w:w="120"/>
            </w:tcMar>
            <w:vAlign w:val="top"/>
          </w:tcPr>
          <w:p>
            <w:pPr>
              <w:spacing w:after="0" w:line="264"/>
            </w:pPr>
            <w:r>
              <w:rPr>
                <w:rFonts w:ascii="Calibri" w:cs="Calibri" w:eastAsia="Calibri" w:hAnsi="Calibri"/>
                <w:b/>
                <w:bCs/>
                <w:color w:val="FFFFFF"/>
                <w:spacing w:val="20"/>
                <w:sz w:val="17"/>
                <w:szCs w:val="17"/>
              </w:rPr>
              <w:t xml:space="preserve">DONNÉE</w:t>
            </w:r>
          </w:p>
        </w:tc>
        <w:tc>
          <w:tcPr>
            <w:tcW w:type="dxa" w:w="1800"/>
            <w:tcBorders>
              <w:top w:val="none"/>
              <w:left w:val="none"/>
              <w:bottom w:val="none"/>
              <w:right w:val="none"/>
            </w:tcBorders>
            <w:shd w:fill="096A09" w:val="clear"/>
            <w:tcMar>
              <w:top w:type="dxa" w:w="90"/>
              <w:left w:type="dxa" w:w="120"/>
              <w:bottom w:type="dxa" w:w="90"/>
              <w:right w:type="dxa" w:w="120"/>
            </w:tcMar>
            <w:vAlign w:val="top"/>
          </w:tcPr>
          <w:p>
            <w:pPr>
              <w:spacing w:after="0" w:line="264"/>
            </w:pPr>
            <w:r>
              <w:rPr>
                <w:rFonts w:ascii="Calibri" w:cs="Calibri" w:eastAsia="Calibri" w:hAnsi="Calibri"/>
                <w:b/>
                <w:bCs/>
                <w:color w:val="FFFFFF"/>
                <w:spacing w:val="20"/>
                <w:sz w:val="17"/>
                <w:szCs w:val="17"/>
              </w:rPr>
              <w:t xml:space="preserve">SUPPORT</w:t>
            </w:r>
          </w:p>
        </w:tc>
        <w:tc>
          <w:tcPr>
            <w:tcW w:type="dxa" w:w="4226"/>
            <w:tcBorders>
              <w:top w:val="none"/>
              <w:left w:val="none"/>
              <w:bottom w:val="none"/>
              <w:right w:val="none"/>
            </w:tcBorders>
            <w:shd w:fill="096A09" w:val="clear"/>
            <w:tcMar>
              <w:top w:type="dxa" w:w="90"/>
              <w:left w:type="dxa" w:w="120"/>
              <w:bottom w:type="dxa" w:w="90"/>
              <w:right w:type="dxa" w:w="120"/>
            </w:tcMar>
            <w:vAlign w:val="top"/>
          </w:tcPr>
          <w:p>
            <w:pPr>
              <w:spacing w:after="0" w:line="264"/>
            </w:pPr>
            <w:r>
              <w:rPr>
                <w:rFonts w:ascii="Calibri" w:cs="Calibri" w:eastAsia="Calibri" w:hAnsi="Calibri"/>
                <w:b/>
                <w:bCs/>
                <w:color w:val="FFFFFF"/>
                <w:spacing w:val="20"/>
                <w:sz w:val="17"/>
                <w:szCs w:val="17"/>
              </w:rPr>
              <w:t xml:space="preserve">JUSTIFICATION</w:t>
            </w:r>
          </w:p>
        </w:tc>
      </w:tr>
      <w:tr>
        <w:tc>
          <w:tcPr>
            <w:tcW w:type="dxa" w:w="3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Référentiel, documents, stock, mouvements, audit</w:t>
            </w:r>
          </w:p>
        </w:tc>
        <w:tc>
          <w:tcPr>
            <w:tcW w:type="dxa" w:w="18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PostgreSQL</w:t>
            </w:r>
          </w:p>
        </w:tc>
        <w:tc>
          <w:tcPr>
            <w:tcW w:type="dxa" w:w="42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Source de vérité, doit survivre à tout redémarrage.</w:t>
            </w:r>
          </w:p>
        </w:tc>
      </w:tr>
      <w:tr>
        <w:tc>
          <w:tcPr>
            <w:tcW w:type="dxa" w:w="3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Panier en cours</w:t>
            </w:r>
          </w:p>
        </w:tc>
        <w:tc>
          <w:tcPr>
            <w:tcW w:type="dxa" w:w="18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Redis · 4 h</w:t>
            </w:r>
          </w:p>
        </w:tc>
        <w:tc>
          <w:tcPr>
            <w:tcW w:type="dxa" w:w="42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Reconstructible par l'utilisateur ; n'est pas un document.</w:t>
            </w:r>
          </w:p>
        </w:tc>
      </w:tr>
      <w:tr>
        <w:tc>
          <w:tcPr>
            <w:tcW w:type="dxa" w:w="3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Code OTP</w:t>
            </w:r>
          </w:p>
        </w:tc>
        <w:tc>
          <w:tcPr>
            <w:tcW w:type="dxa" w:w="18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Redis · 10 min</w:t>
            </w:r>
          </w:p>
        </w:tc>
        <w:tc>
          <w:tcPr>
            <w:tcW w:type="dxa" w:w="42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Éphémère par nature, ne doit pas laisser de trace.</w:t>
            </w:r>
          </w:p>
        </w:tc>
      </w:tr>
      <w:tr>
        <w:tc>
          <w:tcPr>
            <w:tcW w:type="dxa" w:w="3000"/>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Jeton de rafraîchissement</w:t>
            </w:r>
          </w:p>
        </w:tc>
        <w:tc>
          <w:tcPr>
            <w:tcW w:type="dxa" w:w="18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Redis</w:t>
            </w:r>
          </w:p>
        </w:tc>
        <w:tc>
          <w:tcPr>
            <w:tcW w:type="dxa" w:w="4226"/>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Doit pouvoir être révoqué instantanément.</w:t>
            </w:r>
          </w:p>
        </w:tc>
      </w:tr>
      <w:tr>
        <w:tc>
          <w:tcPr>
            <w:tcW w:type="dxa" w:w="3000"/>
            <w:tcBorders>
              <w:top w:val="none"/>
              <w:left w:val="none"/>
              <w:bottom w:val="single" w:color="D4DCD0" w:sz="6"/>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Compteur de tentatives</w:t>
            </w:r>
          </w:p>
        </w:tc>
        <w:tc>
          <w:tcPr>
            <w:tcW w:type="dxa" w:w="1800"/>
            <w:tcBorders>
              <w:top w:val="none"/>
              <w:left w:val="none"/>
              <w:bottom w:val="single" w:color="D4DCD0" w:sz="6"/>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Redis</w:t>
            </w:r>
          </w:p>
        </w:tc>
        <w:tc>
          <w:tcPr>
            <w:tcW w:type="dxa" w:w="4226"/>
            <w:tcBorders>
              <w:top w:val="none"/>
              <w:left w:val="none"/>
              <w:bottom w:val="single" w:color="D4DCD0" w:sz="6"/>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Fenêtre glissante, sans valeur historique.</w:t>
            </w:r>
          </w:p>
        </w:tc>
      </w:tr>
    </w:tbl>
    <w:p>
      <w:pPr>
        <w:spacing w:after="220"/>
      </w:pPr>
    </w:p>
    <w:p>
      <w:pPr>
        <w:spacing w:after="140" w:line="288"/>
      </w:pPr>
      <w:r>
        <w:rPr>
          <w:rFonts w:ascii="Calibri" w:cs="Calibri" w:eastAsia="Calibri" w:hAnsi="Calibri"/>
          <w:sz w:val="21"/>
          <w:szCs w:val="21"/>
        </w:rPr>
        <w:t xml:space="preserve">Le schéma PostgreSQL est géré par </w:t>
      </w:r>
      <w:r>
        <w:rPr>
          <w:rFonts w:ascii="Calibri" w:cs="Calibri" w:eastAsia="Calibri" w:hAnsi="Calibri"/>
          <w:b/>
          <w:bCs/>
          <w:sz w:val="21"/>
          <w:szCs w:val="21"/>
        </w:rPr>
        <w:t xml:space="preserve">Liquibase</w:t>
      </w:r>
      <w:r>
        <w:rPr>
          <w:rFonts w:ascii="Calibri" w:cs="Calibri" w:eastAsia="Calibri" w:hAnsi="Calibri"/>
          <w:sz w:val="21"/>
          <w:szCs w:val="21"/>
        </w:rPr>
        <w:t xml:space="preserve"> (34 changesets ordonnés). Hibernate est configuré en </w:t>
      </w:r>
      <w:r>
        <w:rPr>
          <w:rFonts w:ascii="Consolas" w:cs="Consolas" w:eastAsia="Consolas" w:hAnsi="Consolas"/>
          <w:color w:val="3D4A38"/>
          <w:sz w:val="18"/>
          <w:szCs w:val="18"/>
        </w:rPr>
        <w:t xml:space="preserve">validate</w:t>
      </w:r>
      <w:r>
        <w:rPr>
          <w:rFonts w:ascii="Calibri" w:cs="Calibri" w:eastAsia="Calibri" w:hAnsi="Calibri"/>
          <w:sz w:val="21"/>
          <w:szCs w:val="21"/>
        </w:rPr>
        <w:t xml:space="preserve"> : il ne crée ni ne modifie jamais une table. Toute évolution de schéma passe par un nouveau changeset, ce qui rend les déploiements reproductibles et réversibles.</w:t>
      </w:r>
    </w:p>
    <w:p>
      <w:pPr>
        <w:pStyle w:val="Heading1"/>
        <w:pBdr>
          <w:bottom w:val="single" w:color="D4DCD0" w:sz="10" w:space="10"/>
        </w:pBdr>
        <w:spacing w:after="220" w:before="460"/>
      </w:pPr>
      <w:r>
        <w:rPr>
          <w:rFonts w:ascii="Consolas" w:cs="Consolas" w:eastAsia="Consolas" w:hAnsi="Consolas"/>
          <w:b/>
          <w:bCs/>
          <w:color w:val="CC5500"/>
          <w:sz w:val="28"/>
          <w:szCs w:val="28"/>
        </w:rPr>
        <w:t xml:space="preserve">10   </w:t>
      </w:r>
      <w:r>
        <w:rPr>
          <w:rFonts w:ascii="Cambria" w:cs="Cambria" w:eastAsia="Cambria" w:hAnsi="Cambria"/>
          <w:b/>
          <w:bCs/>
          <w:color w:val="096A09"/>
          <w:sz w:val="32"/>
          <w:szCs w:val="32"/>
        </w:rPr>
        <w:t xml:space="preserve">Déploiement</w:t>
      </w:r>
    </w:p>
    <w:p>
      <w:pPr>
        <w:spacing w:after="100" w:before="260"/>
        <w:jc w:val="center"/>
      </w:pPr>
      <w:r>
        <w:drawing>
          <wp:inline distT="0" distB="0" distL="0" distR="0">
            <wp:extent cx="5715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685925"/>
                    </a:xfrm>
                    <a:prstGeom prst="rect">
                      <a:avLst/>
                    </a:prstGeom>
                  </pic:spPr>
                </pic:pic>
              </a:graphicData>
            </a:graphic>
          </wp:inline>
        </w:drawing>
      </w:r>
    </w:p>
    <w:tbl>
      <w:tblPr>
        <w:tblW w:type="dxa" w:w="9026"/>
        <w:tblBorders>
          <w:top w:val="single" w:color="1FA055" w:sz="6"/>
          <w:left w:val="none"/>
          <w:bottom w:val="none"/>
          <w:right w:val="none"/>
          <w:insideH w:val="none"/>
          <w:insideV w:val="none"/>
        </w:tblBorders>
      </w:tblPr>
      <w:tblGrid>
        <w:gridCol w:w="9026"/>
      </w:tblGrid>
      <w:tr>
        <w:tc>
          <w:tcPr>
            <w:tcW w:type="dxa" w:w="9026"/>
            <w:tcMar>
              <w:top w:type="dxa" w:w="100"/>
              <w:left w:type="dxa" w:w="0"/>
              <w:bottom w:type="dxa" w:w="60"/>
              <w:right w:type="dxa" w:w="0"/>
            </w:tcMar>
          </w:tcPr>
          <w:p>
            <w:pPr>
              <w:spacing w:after="0" w:line="264"/>
            </w:pPr>
            <w:r>
              <w:rPr>
                <w:rFonts w:ascii="Calibri" w:cs="Calibri" w:eastAsia="Calibri" w:hAnsi="Calibri"/>
                <w:b/>
                <w:bCs/>
                <w:color w:val="096A09"/>
                <w:sz w:val="18"/>
                <w:szCs w:val="18"/>
              </w:rPr>
              <w:t xml:space="preserve">Figure 10 — </w:t>
            </w:r>
            <w:r>
              <w:rPr>
                <w:rFonts w:ascii="Calibri" w:cs="Calibri" w:eastAsia="Calibri" w:hAnsi="Calibri"/>
                <w:b/>
                <w:bCs/>
                <w:color w:val="1B1B1B"/>
                <w:sz w:val="18"/>
                <w:szCs w:val="18"/>
              </w:rPr>
              <w:t xml:space="preserve">En production, seul Caddy est joignable. </w:t>
            </w:r>
            <w:r>
              <w:rPr>
                <w:rFonts w:ascii="Calibri" w:cs="Calibri" w:eastAsia="Calibri" w:hAnsi="Calibri"/>
                <w:color w:val="5A6357"/>
                <w:sz w:val="18"/>
                <w:szCs w:val="18"/>
              </w:rPr>
              <w:t xml:space="preserve">Il obtient et renouvelle le certificat tout seul. En développement, la topologie est la même sans Caddy : les ports sont publiés en clair et MailHog remplace le serveur SMTP, si bien qu'aucun message ne part réellement. Un chart Kubernetes équivalent est disponible dans k8s/.</w:t>
            </w:r>
          </w:p>
        </w:tc>
      </w:tr>
    </w:tbl>
    <w:p>
      <w:pPr>
        <w:spacing w:after="180"/>
      </w:pPr>
    </w:p>
    <w:p>
      <w:pPr>
        <w:spacing w:after="140" w:line="288"/>
      </w:pPr>
      <w:r>
        <w:rPr>
          <w:rFonts w:ascii="Calibri" w:cs="Calibri" w:eastAsia="Calibri" w:hAnsi="Calibri"/>
          <w:sz w:val="21"/>
          <w:szCs w:val="21"/>
        </w:rPr>
        <w:t xml:space="preserve">Les secrets sont fournis par variables d'environnement, avec une syntaxe qui </w:t>
      </w:r>
      <w:r>
        <w:rPr>
          <w:rFonts w:ascii="Calibri" w:cs="Calibri" w:eastAsia="Calibri" w:hAnsi="Calibri"/>
          <w:b/>
          <w:bCs/>
          <w:sz w:val="21"/>
          <w:szCs w:val="21"/>
        </w:rPr>
        <w:t xml:space="preserve">fait échouer le démarrage si une valeur manque</w:t>
      </w:r>
      <w:r>
        <w:rPr>
          <w:rFonts w:ascii="Calibri" w:cs="Calibri" w:eastAsia="Calibri" w:hAnsi="Calibri"/>
          <w:sz w:val="21"/>
          <w:szCs w:val="21"/>
        </w:rPr>
        <w:t xml:space="preserve"> : mieux vaut un conteneur qui refuse de démarrer qu'un backend en ligne avec un mot de passe par défaut.</w:t>
      </w:r>
    </w:p>
    <w:p>
      <w:pPr>
        <w:pStyle w:val="Heading1"/>
        <w:pBdr>
          <w:bottom w:val="single" w:color="D4DCD0" w:sz="10" w:space="10"/>
        </w:pBdr>
        <w:spacing w:after="220" w:before="460"/>
      </w:pPr>
      <w:r>
        <w:rPr>
          <w:rFonts w:ascii="Consolas" w:cs="Consolas" w:eastAsia="Consolas" w:hAnsi="Consolas"/>
          <w:b/>
          <w:bCs/>
          <w:color w:val="CC5500"/>
          <w:sz w:val="28"/>
          <w:szCs w:val="28"/>
        </w:rPr>
        <w:t xml:space="preserve">11   </w:t>
      </w:r>
      <w:r>
        <w:rPr>
          <w:rFonts w:ascii="Cambria" w:cs="Cambria" w:eastAsia="Cambria" w:hAnsi="Cambria"/>
          <w:b/>
          <w:bCs/>
          <w:color w:val="096A09"/>
          <w:sz w:val="32"/>
          <w:szCs w:val="32"/>
        </w:rPr>
        <w:t xml:space="preserve">Ajouter une fonctionnalité</w:t>
      </w:r>
    </w:p>
    <w:p>
      <w:pPr>
        <w:spacing w:after="140" w:line="288"/>
      </w:pPr>
      <w:r>
        <w:rPr>
          <w:rFonts w:ascii="Calibri" w:cs="Calibri" w:eastAsia="Calibri" w:hAnsi="Calibri"/>
          <w:sz w:val="21"/>
          <w:szCs w:val="21"/>
        </w:rPr>
        <w:t xml:space="preserve">Pour situer rapidement où intervenir, voici la traversée type, sur l'exemple d'un inventaire physique. L'ordre a son importance : chaque étape ne dépend que des précédentes. Commencer par le contrôleur, c'est écrire du code qui ne compile pas encore.</w:t>
      </w:r>
    </w:p>
    <w:p>
      <w:pPr>
        <w:pStyle w:val="ListParagraph"/>
        <w:numPr>
          <w:ilvl w:val="0"/>
          <w:numId w:val="2"/>
        </w:numPr>
        <w:spacing w:after="90" w:line="288"/>
      </w:pPr>
      <w:r>
        <w:rPr>
          <w:rFonts w:ascii="Calibri" w:cs="Calibri" w:eastAsia="Calibri" w:hAnsi="Calibri"/>
          <w:b/>
          <w:bCs/>
          <w:sz w:val="21"/>
          <w:szCs w:val="21"/>
        </w:rPr>
        <w:t xml:space="preserve">obv-domain</w:t>
      </w:r>
      <w:r>
        <w:rPr>
          <w:rFonts w:ascii="Calibri" w:cs="Calibri" w:eastAsia="Calibri" w:hAnsi="Calibri"/>
          <w:sz w:val="21"/>
          <w:szCs w:val="21"/>
        </w:rPr>
        <w:t xml:space="preserve"> — créer l'entité </w:t>
      </w:r>
      <w:r>
        <w:rPr>
          <w:rFonts w:ascii="Consolas" w:cs="Consolas" w:eastAsia="Consolas" w:hAnsi="Consolas"/>
          <w:color w:val="3D4A38"/>
          <w:sz w:val="18"/>
          <w:szCs w:val="18"/>
        </w:rPr>
        <w:t xml:space="preserve">Inventaire</w:t>
      </w:r>
      <w:r>
        <w:rPr>
          <w:rFonts w:ascii="Calibri" w:cs="Calibri" w:eastAsia="Calibri" w:hAnsi="Calibri"/>
          <w:sz w:val="21"/>
          <w:szCs w:val="21"/>
        </w:rPr>
        <w:t xml:space="preserve"> et ses règles : statuts, transitions autorisées, calcul de l'écart.</w:t>
      </w:r>
    </w:p>
    <w:p>
      <w:pPr>
        <w:pStyle w:val="ListParagraph"/>
        <w:numPr>
          <w:ilvl w:val="0"/>
          <w:numId w:val="2"/>
        </w:numPr>
        <w:spacing w:after="90" w:line="288"/>
      </w:pPr>
      <w:r>
        <w:rPr>
          <w:rFonts w:ascii="Calibri" w:cs="Calibri" w:eastAsia="Calibri" w:hAnsi="Calibri"/>
          <w:b/>
          <w:bCs/>
          <w:sz w:val="21"/>
          <w:szCs w:val="21"/>
        </w:rPr>
        <w:t xml:space="preserve">obv-application</w:t>
      </w:r>
      <w:r>
        <w:rPr>
          <w:rFonts w:ascii="Calibri" w:cs="Calibri" w:eastAsia="Calibri" w:hAnsi="Calibri"/>
          <w:sz w:val="21"/>
          <w:szCs w:val="21"/>
        </w:rPr>
        <w:t xml:space="preserve"> — déclarer le port </w:t>
      </w:r>
      <w:r>
        <w:rPr>
          <w:rFonts w:ascii="Consolas" w:cs="Consolas" w:eastAsia="Consolas" w:hAnsi="Consolas"/>
          <w:color w:val="3D4A38"/>
          <w:sz w:val="18"/>
          <w:szCs w:val="18"/>
        </w:rPr>
        <w:t xml:space="preserve">InventaireRepository</w:t>
      </w:r>
      <w:r>
        <w:rPr>
          <w:rFonts w:ascii="Calibri" w:cs="Calibri" w:eastAsia="Calibri" w:hAnsi="Calibri"/>
          <w:sz w:val="21"/>
          <w:szCs w:val="21"/>
        </w:rPr>
        <w:t xml:space="preserve">, écrire </w:t>
      </w:r>
      <w:r>
        <w:rPr>
          <w:rFonts w:ascii="Consolas" w:cs="Consolas" w:eastAsia="Consolas" w:hAnsi="Consolas"/>
          <w:color w:val="3D4A38"/>
          <w:sz w:val="18"/>
          <w:szCs w:val="18"/>
        </w:rPr>
        <w:t xml:space="preserve">InventaireService</w:t>
      </w:r>
      <w:r>
        <w:rPr>
          <w:rFonts w:ascii="Calibri" w:cs="Calibri" w:eastAsia="Calibri" w:hAnsi="Calibri"/>
          <w:sz w:val="21"/>
          <w:szCs w:val="21"/>
        </w:rPr>
        <w:t xml:space="preserve">, qui appellera </w:t>
      </w:r>
      <w:r>
        <w:rPr>
          <w:rFonts w:ascii="Consolas" w:cs="Consolas" w:eastAsia="Consolas" w:hAnsi="Consolas"/>
          <w:color w:val="3D4A38"/>
          <w:sz w:val="18"/>
          <w:szCs w:val="18"/>
        </w:rPr>
        <w:t xml:space="preserve">StockService</w:t>
      </w:r>
      <w:r>
        <w:rPr>
          <w:rFonts w:ascii="Calibri" w:cs="Calibri" w:eastAsia="Calibri" w:hAnsi="Calibri"/>
          <w:sz w:val="21"/>
          <w:szCs w:val="21"/>
        </w:rPr>
        <w:t xml:space="preserve"> pour l'ajustement.</w:t>
      </w:r>
    </w:p>
    <w:p>
      <w:pPr>
        <w:pStyle w:val="ListParagraph"/>
        <w:numPr>
          <w:ilvl w:val="0"/>
          <w:numId w:val="2"/>
        </w:numPr>
        <w:spacing w:after="90" w:line="288"/>
      </w:pPr>
      <w:r>
        <w:rPr>
          <w:rFonts w:ascii="Calibri" w:cs="Calibri" w:eastAsia="Calibri" w:hAnsi="Calibri"/>
          <w:b/>
          <w:bCs/>
          <w:sz w:val="21"/>
          <w:szCs w:val="21"/>
        </w:rPr>
        <w:t xml:space="preserve">obv-infrastructure</w:t>
      </w:r>
      <w:r>
        <w:rPr>
          <w:rFonts w:ascii="Calibri" w:cs="Calibri" w:eastAsia="Calibri" w:hAnsi="Calibri"/>
          <w:sz w:val="21"/>
          <w:szCs w:val="21"/>
        </w:rPr>
        <w:t xml:space="preserve"> — écrire </w:t>
      </w:r>
      <w:r>
        <w:rPr>
          <w:rFonts w:ascii="Consolas" w:cs="Consolas" w:eastAsia="Consolas" w:hAnsi="Consolas"/>
          <w:color w:val="3D4A38"/>
          <w:sz w:val="18"/>
          <w:szCs w:val="18"/>
        </w:rPr>
        <w:t xml:space="preserve">InventaireRepositoryAdapter</w:t>
      </w:r>
      <w:r>
        <w:rPr>
          <w:rFonts w:ascii="Calibri" w:cs="Calibri" w:eastAsia="Calibri" w:hAnsi="Calibri"/>
          <w:sz w:val="21"/>
          <w:szCs w:val="21"/>
        </w:rPr>
        <w:t xml:space="preserve"> et son dépôt Spring Data.</w:t>
      </w:r>
    </w:p>
    <w:p>
      <w:pPr>
        <w:pStyle w:val="ListParagraph"/>
        <w:numPr>
          <w:ilvl w:val="0"/>
          <w:numId w:val="2"/>
        </w:numPr>
        <w:spacing w:after="90" w:line="288"/>
      </w:pPr>
      <w:r>
        <w:rPr>
          <w:rFonts w:ascii="Calibri" w:cs="Calibri" w:eastAsia="Calibri" w:hAnsi="Calibri"/>
          <w:b/>
          <w:bCs/>
          <w:sz w:val="21"/>
          <w:szCs w:val="21"/>
        </w:rPr>
        <w:t xml:space="preserve">obv-bootstrap</w:t>
      </w:r>
      <w:r>
        <w:rPr>
          <w:rFonts w:ascii="Calibri" w:cs="Calibri" w:eastAsia="Calibri" w:hAnsi="Calibri"/>
          <w:sz w:val="21"/>
          <w:szCs w:val="21"/>
        </w:rPr>
        <w:t xml:space="preserve"> — ajouter le changeset Liquibase de la table.</w:t>
      </w:r>
    </w:p>
    <w:p>
      <w:pPr>
        <w:pStyle w:val="ListParagraph"/>
        <w:numPr>
          <w:ilvl w:val="0"/>
          <w:numId w:val="2"/>
        </w:numPr>
        <w:spacing w:after="90" w:line="288"/>
      </w:pPr>
      <w:r>
        <w:rPr>
          <w:rFonts w:ascii="Calibri" w:cs="Calibri" w:eastAsia="Calibri" w:hAnsi="Calibri"/>
          <w:b/>
          <w:bCs/>
          <w:sz w:val="21"/>
          <w:szCs w:val="21"/>
        </w:rPr>
        <w:t xml:space="preserve">obv-api</w:t>
      </w:r>
      <w:r>
        <w:rPr>
          <w:rFonts w:ascii="Calibri" w:cs="Calibri" w:eastAsia="Calibri" w:hAnsi="Calibri"/>
          <w:sz w:val="21"/>
          <w:szCs w:val="21"/>
        </w:rPr>
        <w:t xml:space="preserve"> — exposer </w:t>
      </w:r>
      <w:r>
        <w:rPr>
          <w:rFonts w:ascii="Consolas" w:cs="Consolas" w:eastAsia="Consolas" w:hAnsi="Consolas"/>
          <w:color w:val="3D4A38"/>
          <w:sz w:val="18"/>
          <w:szCs w:val="18"/>
        </w:rPr>
        <w:t xml:space="preserve">InventaireController</w:t>
      </w:r>
      <w:r>
        <w:rPr>
          <w:rFonts w:ascii="Calibri" w:cs="Calibri" w:eastAsia="Calibri" w:hAnsi="Calibri"/>
          <w:sz w:val="21"/>
          <w:szCs w:val="21"/>
        </w:rPr>
        <w:t xml:space="preserve"> et ses DTO.</w:t>
      </w:r>
    </w:p>
    <w:p>
      <w:pPr>
        <w:pStyle w:val="ListParagraph"/>
        <w:numPr>
          <w:ilvl w:val="0"/>
          <w:numId w:val="2"/>
        </w:numPr>
        <w:spacing w:after="90" w:line="288"/>
      </w:pPr>
      <w:r>
        <w:rPr>
          <w:rFonts w:ascii="Calibri" w:cs="Calibri" w:eastAsia="Calibri" w:hAnsi="Calibri"/>
          <w:b/>
          <w:bCs/>
          <w:sz w:val="21"/>
          <w:szCs w:val="21"/>
        </w:rPr>
        <w:t xml:space="preserve">frontend</w:t>
      </w:r>
      <w:r>
        <w:rPr>
          <w:rFonts w:ascii="Calibri" w:cs="Calibri" w:eastAsia="Calibri" w:hAnsi="Calibri"/>
          <w:sz w:val="21"/>
          <w:szCs w:val="21"/>
        </w:rPr>
        <w:t xml:space="preserve"> — ajouter le service d'appel dans </w:t>
      </w:r>
      <w:r>
        <w:rPr>
          <w:rFonts w:ascii="Consolas" w:cs="Consolas" w:eastAsia="Consolas" w:hAnsi="Consolas"/>
          <w:color w:val="3D4A38"/>
          <w:sz w:val="18"/>
          <w:szCs w:val="18"/>
        </w:rPr>
        <w:t xml:space="preserve">core/api/</w:t>
      </w:r>
      <w:r>
        <w:rPr>
          <w:rFonts w:ascii="Calibri" w:cs="Calibri" w:eastAsia="Calibri" w:hAnsi="Calibri"/>
          <w:sz w:val="21"/>
          <w:szCs w:val="21"/>
        </w:rPr>
        <w:t xml:space="preserve">, puis l'écran dans </w:t>
      </w:r>
      <w:r>
        <w:rPr>
          <w:rFonts w:ascii="Consolas" w:cs="Consolas" w:eastAsia="Consolas" w:hAnsi="Consolas"/>
          <w:color w:val="3D4A38"/>
          <w:sz w:val="18"/>
          <w:szCs w:val="18"/>
        </w:rPr>
        <w:t xml:space="preserve">features/</w:t>
      </w:r>
      <w:r>
        <w:rPr>
          <w:rFonts w:ascii="Calibri" w:cs="Calibri" w:eastAsia="Calibri" w:hAnsi="Calibri"/>
          <w:sz w:val="21"/>
          <w:szCs w:val="21"/>
        </w:rPr>
        <w:t xml:space="preserve">.</w:t>
      </w:r>
    </w:p>
    <w:p>
      <w:pPr>
        <w:spacing w:after="120"/>
      </w:pPr>
    </w:p>
    <w:p>
      <w:pPr>
        <w:pStyle w:val="Heading1"/>
        <w:pBdr>
          <w:bottom w:val="single" w:color="D4DCD0" w:sz="10" w:space="10"/>
        </w:pBdr>
        <w:spacing w:after="220" w:before="460"/>
      </w:pPr>
      <w:r>
        <w:rPr>
          <w:rFonts w:ascii="Consolas" w:cs="Consolas" w:eastAsia="Consolas" w:hAnsi="Consolas"/>
          <w:b/>
          <w:bCs/>
          <w:color w:val="CC5500"/>
          <w:sz w:val="28"/>
          <w:szCs w:val="28"/>
        </w:rPr>
        <w:t xml:space="preserve">A   </w:t>
      </w:r>
      <w:r>
        <w:rPr>
          <w:rFonts w:ascii="Cambria" w:cs="Cambria" w:eastAsia="Cambria" w:hAnsi="Cambria"/>
          <w:b/>
          <w:bCs/>
          <w:color w:val="096A09"/>
          <w:sz w:val="32"/>
          <w:szCs w:val="32"/>
        </w:rPr>
        <w:t xml:space="preserve">Repères chiffrés</w:t>
      </w:r>
    </w:p>
    <w:tbl>
      <w:tblPr>
        <w:tblW w:type="dxa" w:w="9026"/>
        <w:tblBorders>
          <w:top w:val="none"/>
          <w:left w:val="none"/>
          <w:bottom w:val="none"/>
          <w:right w:val="none"/>
          <w:insideH w:val="none"/>
          <w:insideV w:val="none"/>
        </w:tblBorders>
      </w:tblPr>
      <w:tblGrid>
        <w:gridCol w:w="5026"/>
        <w:gridCol w:w="4000"/>
      </w:tblGrid>
      <w:tr>
        <w:trPr>
          <w:tblHeader/>
        </w:trPr>
        <w:tc>
          <w:tcPr>
            <w:tcW w:type="dxa" w:w="5026"/>
            <w:tcBorders>
              <w:top w:val="none"/>
              <w:left w:val="none"/>
              <w:bottom w:val="none"/>
              <w:right w:val="none"/>
            </w:tcBorders>
            <w:shd w:fill="096A09" w:val="clear"/>
            <w:tcMar>
              <w:top w:type="dxa" w:w="90"/>
              <w:left w:type="dxa" w:w="60"/>
              <w:bottom w:type="dxa" w:w="90"/>
              <w:right w:type="dxa" w:w="120"/>
            </w:tcMar>
            <w:vAlign w:val="top"/>
          </w:tcPr>
          <w:p>
            <w:pPr>
              <w:spacing w:after="0" w:line="264"/>
            </w:pPr>
            <w:r>
              <w:rPr>
                <w:rFonts w:ascii="Calibri" w:cs="Calibri" w:eastAsia="Calibri" w:hAnsi="Calibri"/>
                <w:b/>
                <w:bCs/>
                <w:color w:val="FFFFFF"/>
                <w:spacing w:val="20"/>
                <w:sz w:val="17"/>
                <w:szCs w:val="17"/>
              </w:rPr>
              <w:t xml:space="preserve">ÉLÉMENT</w:t>
            </w:r>
          </w:p>
        </w:tc>
        <w:tc>
          <w:tcPr>
            <w:tcW w:type="dxa" w:w="4000"/>
            <w:tcBorders>
              <w:top w:val="none"/>
              <w:left w:val="none"/>
              <w:bottom w:val="none"/>
              <w:right w:val="none"/>
            </w:tcBorders>
            <w:shd w:fill="096A09" w:val="clear"/>
            <w:tcMar>
              <w:top w:type="dxa" w:w="90"/>
              <w:left w:type="dxa" w:w="120"/>
              <w:bottom w:type="dxa" w:w="90"/>
              <w:right w:type="dxa" w:w="120"/>
            </w:tcMar>
            <w:vAlign w:val="top"/>
          </w:tcPr>
          <w:p>
            <w:pPr>
              <w:spacing w:after="0" w:line="264"/>
            </w:pPr>
            <w:r>
              <w:rPr>
                <w:rFonts w:ascii="Calibri" w:cs="Calibri" w:eastAsia="Calibri" w:hAnsi="Calibri"/>
                <w:b/>
                <w:bCs/>
                <w:color w:val="FFFFFF"/>
                <w:spacing w:val="20"/>
                <w:sz w:val="17"/>
                <w:szCs w:val="17"/>
              </w:rPr>
              <w:t xml:space="preserve">NOMBRE</w:t>
            </w:r>
          </w:p>
        </w:tc>
      </w:tr>
      <w:tr>
        <w:tc>
          <w:tcPr>
            <w:tcW w:type="dxa" w:w="5026"/>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Modules Maven</w:t>
            </w:r>
          </w:p>
        </w:tc>
        <w:tc>
          <w:tcPr>
            <w:tcW w:type="dxa" w:w="40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5</w:t>
            </w:r>
          </w:p>
        </w:tc>
      </w:tr>
      <w:tr>
        <w:tc>
          <w:tcPr>
            <w:tcW w:type="dxa" w:w="5026"/>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Classes du domaine</w:t>
            </w:r>
          </w:p>
        </w:tc>
        <w:tc>
          <w:tcPr>
            <w:tcW w:type="dxa" w:w="40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75, dont 28 entités et 19 exceptions métier</w:t>
            </w:r>
          </w:p>
        </w:tc>
      </w:tr>
      <w:tr>
        <w:tc>
          <w:tcPr>
            <w:tcW w:type="dxa" w:w="5026"/>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Services applicatifs</w:t>
            </w:r>
          </w:p>
        </w:tc>
        <w:tc>
          <w:tcPr>
            <w:tcW w:type="dxa" w:w="40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20</w:t>
            </w:r>
          </w:p>
        </w:tc>
      </w:tr>
      <w:tr>
        <w:tc>
          <w:tcPr>
            <w:tcW w:type="dxa" w:w="5026"/>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Ports (interfaces)</w:t>
            </w:r>
          </w:p>
        </w:tc>
        <w:tc>
          <w:tcPr>
            <w:tcW w:type="dxa" w:w="40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29</w:t>
            </w:r>
          </w:p>
        </w:tc>
      </w:tr>
      <w:tr>
        <w:tc>
          <w:tcPr>
            <w:tcW w:type="dxa" w:w="5026"/>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Adaptateurs</w:t>
            </w:r>
          </w:p>
        </w:tc>
        <w:tc>
          <w:tcPr>
            <w:tcW w:type="dxa" w:w="40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36</w:t>
            </w:r>
          </w:p>
        </w:tc>
      </w:tr>
      <w:tr>
        <w:tc>
          <w:tcPr>
            <w:tcW w:type="dxa" w:w="5026"/>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Contrôleurs REST</w:t>
            </w:r>
          </w:p>
        </w:tc>
        <w:tc>
          <w:tcPr>
            <w:tcW w:type="dxa" w:w="40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20</w:t>
            </w:r>
          </w:p>
        </w:tc>
      </w:tr>
      <w:tr>
        <w:tc>
          <w:tcPr>
            <w:tcW w:type="dxa" w:w="5026"/>
            <w:tcBorders>
              <w:top w:val="none"/>
              <w:left w:val="none"/>
              <w:bottom w:val="single" w:color="D4DCD0" w:sz="3"/>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Changesets Liquibase</w:t>
            </w:r>
          </w:p>
        </w:tc>
        <w:tc>
          <w:tcPr>
            <w:tcW w:type="dxa" w:w="4000"/>
            <w:tcBorders>
              <w:top w:val="none"/>
              <w:left w:val="none"/>
              <w:bottom w:val="single" w:color="D4DCD0" w:sz="3"/>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34</w:t>
            </w:r>
          </w:p>
        </w:tc>
      </w:tr>
      <w:tr>
        <w:tc>
          <w:tcPr>
            <w:tcW w:type="dxa" w:w="5026"/>
            <w:tcBorders>
              <w:top w:val="none"/>
              <w:left w:val="none"/>
              <w:bottom w:val="single" w:color="D4DCD0" w:sz="6"/>
              <w:right w:val="none"/>
            </w:tcBorders>
            <w:tcMar>
              <w:top w:type="dxa" w:w="90"/>
              <w:left w:type="dxa" w:w="60"/>
              <w:bottom w:type="dxa" w:w="90"/>
              <w:right w:type="dxa" w:w="120"/>
            </w:tcMar>
            <w:vAlign w:val="top"/>
          </w:tcPr>
          <w:p>
            <w:pPr>
              <w:spacing w:after="0" w:line="264"/>
            </w:pPr>
            <w:r>
              <w:rPr>
                <w:rFonts w:ascii="Calibri" w:cs="Calibri" w:eastAsia="Calibri" w:hAnsi="Calibri"/>
                <w:b/>
                <w:bCs/>
                <w:color w:val="1B1B1B"/>
                <w:sz w:val="19"/>
                <w:szCs w:val="19"/>
              </w:rPr>
              <w:t xml:space="preserve">Composants Angular</w:t>
            </w:r>
          </w:p>
        </w:tc>
        <w:tc>
          <w:tcPr>
            <w:tcW w:type="dxa" w:w="4000"/>
            <w:tcBorders>
              <w:top w:val="none"/>
              <w:left w:val="none"/>
              <w:bottom w:val="single" w:color="D4DCD0" w:sz="6"/>
              <w:right w:val="none"/>
            </w:tcBorders>
            <w:tcMar>
              <w:top w:type="dxa" w:w="90"/>
              <w:left w:type="dxa" w:w="120"/>
              <w:bottom w:type="dxa" w:w="90"/>
              <w:right w:type="dxa" w:w="120"/>
            </w:tcMar>
            <w:vAlign w:val="top"/>
          </w:tcPr>
          <w:p>
            <w:pPr>
              <w:spacing w:after="0" w:line="264"/>
            </w:pPr>
            <w:r>
              <w:rPr>
                <w:rFonts w:ascii="Calibri" w:cs="Calibri" w:eastAsia="Calibri" w:hAnsi="Calibri"/>
                <w:b w:val="false"/>
                <w:bCs w:val="false"/>
                <w:color w:val="1B1B1B"/>
                <w:sz w:val="19"/>
                <w:szCs w:val="19"/>
              </w:rPr>
              <w:t xml:space="preserve">28</w:t>
            </w:r>
          </w:p>
        </w:tc>
      </w:tr>
    </w:tbl>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CD0" w:sz="4" w:space="6"/>
      </w:pBdr>
      <w:tabs>
        <w:tab w:val="right" w:pos="9026"/>
      </w:tabs>
      <w:spacing w:before="200"/>
    </w:pPr>
    <w:r>
      <w:rPr>
        <w:rFonts w:ascii="Calibri" w:cs="Calibri" w:eastAsia="Calibri" w:hAnsi="Calibri"/>
        <w:color w:val="7C8875"/>
        <w:sz w:val="16"/>
        <w:szCs w:val="16"/>
      </w:rPr>
      <w:t xml:space="preserve">ASSOMA Technology</w:t>
    </w:r>
    <w:r>
      <w:tab/>
    </w:r>
    <w:r>
      <w:rPr>
        <w:rFonts w:ascii="Calibri" w:cs="Calibri" w:eastAsia="Calibri" w:hAnsi="Calibri"/>
        <w:color w:val="7C8875"/>
        <w:sz w:val="16"/>
        <w:szCs w:val="16"/>
      </w:rPr>
      <w:t xml:space="preserve">Page </w:t>
    </w:r>
    <w:r>
      <w:rPr>
        <w:rFonts w:ascii="Calibri" w:cs="Calibri" w:eastAsia="Calibri" w:hAnsi="Calibri"/>
        <w:b/>
        <w:bCs/>
        <w:color w:val="096A09"/>
        <w:sz w:val="16"/>
        <w:szCs w:val="16"/>
      </w:rPr>
      <w:fldChar w:fldCharType="begin"/>
      <w:instrText xml:space="preserve">PAGE</w:instrText>
      <w:fldChar w:fldCharType="separate"/>
      <w:fldChar w:fldCharType="end"/>
    </w:r>
    <w:r>
      <w:rPr>
        <w:rFonts w:ascii="Calibri" w:cs="Calibri" w:eastAsia="Calibri" w:hAnsi="Calibri"/>
        <w:color w:val="7C8875"/>
        <w:sz w:val="16"/>
        <w:szCs w:val="16"/>
      </w:rPr>
      <w:t xml:space="preserve"> / </w:t>
    </w:r>
    <w:r>
      <w:rPr>
        <w:rFonts w:ascii="Calibri" w:cs="Calibri" w:eastAsia="Calibri" w:hAnsi="Calibri"/>
        <w:color w:val="7C88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CD0" w:sz="4" w:space="6"/>
      </w:pBdr>
      <w:spacing w:after="240"/>
    </w:pPr>
    <w:r>
      <w:rPr>
        <w:rFonts w:ascii="Consolas" w:cs="Consolas" w:eastAsia="Consolas" w:hAnsi="Consolas"/>
        <w:color w:val="096A09"/>
        <w:spacing w:val="25"/>
        <w:sz w:val="15"/>
        <w:szCs w:val="15"/>
      </w:rPr>
      <w:t xml:space="preserve">OBV Gestion</w:t>
    </w:r>
    <w:r>
      <w:rPr>
        <w:rFonts w:ascii="Consolas" w:cs="Consolas" w:eastAsia="Consolas" w:hAnsi="Consolas"/>
        <w:color w:val="7C8875"/>
        <w:spacing w:val="25"/>
        <w:sz w:val="15"/>
        <w:szCs w:val="15"/>
      </w:rPr>
      <w:t xml:space="preserve">   ·   Document d'architecture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CC5500"/>
      </w:rPr>
    </w:lvl>
  </w:abstractNum>
  <w:abstractNum w:abstractNumId="3" w15:restartNumberingAfterBreak="0">
    <w:multiLevelType w:val="hybridMultilevel"/>
    <w:lvl w:ilvl="0" w15:tentative="1">
      <w:start w:val="1"/>
      <w:numFmt w:val="decimal"/>
      <w:lvlText w:val="%1."/>
      <w:lvlJc w:val="start"/>
      <w:pPr>
        <w:ind w:left="440" w:hanging="260"/>
      </w:pPr>
      <w:rPr>
        <w:b/>
        <w:bCs/>
        <w:color w:val="CC550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20" w:before="460"/>
    </w:pPr>
    <w:rPr>
      <w:rFonts w:ascii="Cambria" w:cs="Cambria" w:eastAsia="Cambria" w:hAnsi="Cambria"/>
      <w:b/>
      <w:bCs/>
      <w:color w:val="096A09"/>
      <w:sz w:val="32"/>
      <w:szCs w:val="32"/>
    </w:rPr>
  </w:style>
  <w:style w:type="paragraph" w:styleId="Heading2">
    <w:name w:val="Heading 2"/>
    <w:basedOn w:val="Normal"/>
    <w:next w:val="Normal"/>
    <w:qFormat/>
    <w:pPr>
      <w:spacing w:after="120" w:before="320"/>
    </w:pPr>
    <w:rPr>
      <w:rFonts w:ascii="Calibri" w:cs="Calibri" w:eastAsia="Calibri" w:hAnsi="Calibri"/>
      <w:b/>
      <w:bCs/>
      <w:color w:val="1B1B1B"/>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2962b1e11ba2085beb35e50f7ddfa54e018700.png"/><Relationship Id="rId10" Type="http://schemas.openxmlformats.org/officeDocument/2006/relationships/image" Target="media/e41f1ccf3e1661c18b16e5c70919cc7f565e5f31.png"/><Relationship Id="rId11" Type="http://schemas.openxmlformats.org/officeDocument/2006/relationships/image" Target="media/9f2503d52674438132552021202144415de55c6b.png"/><Relationship Id="rId12" Type="http://schemas.openxmlformats.org/officeDocument/2006/relationships/image" Target="media/d86850446e8ae3f7874afb54d13e49707c506870.png"/><Relationship Id="rId13" Type="http://schemas.openxmlformats.org/officeDocument/2006/relationships/image" Target="media/2677fb17f7cebc98377f73a37e9547dac9b7c5d8.png"/><Relationship Id="rId14" Type="http://schemas.openxmlformats.org/officeDocument/2006/relationships/image" Target="media/e5ec5064233692ab1610073319a176e0290c34aa.png"/><Relationship Id="rId15" Type="http://schemas.openxmlformats.org/officeDocument/2006/relationships/image" Target="media/8080c215169ff5a347f97a1dabc71a0491917900.png"/><Relationship Id="rId16" Type="http://schemas.openxmlformats.org/officeDocument/2006/relationships/image" Target="media/3a022d2d0437d5220a1c923d2415349b40a28674.png"/><Relationship Id="rId17" Type="http://schemas.openxmlformats.org/officeDocument/2006/relationships/image" Target="media/107203d8e262e76171dd390e2f982d8ad4305fa0.png"/><Relationship Id="rId18" Type="http://schemas.openxmlformats.org/officeDocument/2006/relationships/image" Target="media/a769c3586f7494d791bdc355add1875631110d1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OBV Gestion — Document d'architecture</dc:title>
  <dc:creator>ASSOMA Technology</dc:creator>
  <dc:description>Architecture logicielle de l'application OBV Gestion</dc:description>
  <cp:lastModifiedBy>Un-named</cp:lastModifiedBy>
  <cp:revision>1</cp:revision>
  <dcterms:created xsi:type="dcterms:W3CDTF">2026-09-04T18:49:05.864Z</dcterms:created>
  <dcterms:modified xsi:type="dcterms:W3CDTF">2026-09-04T18:49:05.864Z</dcterms:modified>
</cp:coreProperties>
</file>

<file path=docProps/custom.xml><?xml version="1.0" encoding="utf-8"?>
<Properties xmlns="http://schemas.openxmlformats.org/officeDocument/2006/custom-properties" xmlns:vt="http://schemas.openxmlformats.org/officeDocument/2006/docPropsVTypes"/>
</file>