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Beatlock documentation</w:t>
      </w:r>
    </w:p>
    <w:p>
      <w:pPr>
        <w:pStyle w:val="Normal"/>
        <w:rPr/>
      </w:pPr>
      <w:r>
        <w:rPr/>
        <w:t>Yijun Jiang</w:t>
      </w:r>
    </w:p>
    <w:p>
      <w:pPr>
        <w:pStyle w:val="Normal"/>
        <w:rPr/>
      </w:pPr>
      <w:r>
        <w:rPr/>
        <w:t>11/04/2015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use an ECDL (Toptica DL100) to do high-field imaging at ~900 G, which translates to a Zeeman shift of ~1.2 GHz.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beatlock stabilizes the frequency of the ECDL at ~1 GHz redder than the Vortex laser, which is already locked. The rest of the frequency shift is done by an AOM.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optical diagram of the beatlock is shown in Fig.1. </w:t>
      </w:r>
      <w:r>
        <w:rPr/>
        <w:t xml:space="preserve">The </w:t>
      </w:r>
    </w:p>
    <w:p>
      <w:pPr>
        <w:pStyle w:val="Normal"/>
        <w:rPr/>
      </w:pPr>
      <w:r>
        <w:rPr/>
        <w:t>Fig.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1940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19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1. Optical diagram of the beatlock setup.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2015-11-04T16:34:37Z</dcterms:created>
  <dc:language>en-US</dc:language>
  <cp:revision>0</cp:revision>
</cp:coreProperties>
</file>