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936"/>
      </w:tblGrid>
      <w:tr>
        <w:tc>
          <w:tcPr>
            <w:tcW w:type="dxa" w:w="9360"/>
            <w:shd w:val="clear" w:color="auto" w:fill="00559F"/>
            <w:tcBorders>
              <w:top w:val="single" w:sz="0" w:space="0" w:color="00559F"/>
              <w:left w:val="single" w:sz="0" w:space="0" w:color="00559F"/>
              <w:right w:val="single" w:sz="0" w:space="0" w:color="00559F"/>
            </w:tcBorders>
            <w:tcBorders>
              <w:bottom w:val="single" w:sz="6" w:space="0" w:color="C8A951"/>
            </w:tcBorders>
          </w:tcPr>
          <w:p>
            <w:pPr>
              <w:spacing w:before="120" w:after="120"/>
              <w:jc w:val="left"/>
            </w:pPr>
            <w:r>
              <w:rPr>
                <w:rFonts w:ascii="Arial" w:hAnsi="Arial" w:eastAsia="微软雅黑"/>
                <w:b/>
                <w:i w:val="0"/>
                <w:color w:val="FFFFFF"/>
                <w:sz w:val="44"/>
              </w:rPr>
              <w:t>MS</w:t>
            </w:r>
            <w:r>
              <w:rPr>
                <w:rFonts w:ascii="Arial" w:hAnsi="Arial" w:eastAsia="微软雅黑"/>
                <w:b/>
                <w:i w:val="0"/>
                <w:color w:val="FFFFFF"/>
                <w:sz w:val="22"/>
              </w:rPr>
              <w:t xml:space="preserve">  MORGAN STANLEY</w:t>
            </w:r>
          </w:p>
          <w:p>
            <w:pPr>
              <w:spacing w:before="0" w:after="0"/>
              <w:jc w:val="right"/>
            </w:pPr>
            <w:r>
              <w:rPr>
                <w:rFonts w:ascii="Arial" w:hAnsi="Arial" w:eastAsia="微软雅黑"/>
                <w:b/>
                <w:i w:val="0"/>
                <w:color w:val="FFFFFF"/>
                <w:sz w:val="20"/>
              </w:rPr>
              <w:t>FOUNDATION</w:t>
            </w:r>
          </w:p>
        </w:tc>
      </w:tr>
    </w:tbl>
    <w:p>
      <w:pPr>
        <w:spacing w:before="160" w:after="40"/>
      </w:pPr>
      <w:r>
        <w:rPr>
          <w:rFonts w:ascii="Arial" w:hAnsi="Arial" w:eastAsia="微软雅黑"/>
          <w:b w:val="0"/>
          <w:i w:val="0"/>
          <w:color w:val="666666"/>
          <w:sz w:val="18"/>
        </w:rPr>
        <w:t>2026-06-12  |  Morgan Stanley &amp; Co.</w:t>
      </w:r>
    </w:p>
    <w:p>
      <w:pPr>
        <w:spacing w:before="80" w:after="40"/>
      </w:pPr>
      <w:r>
        <w:rPr>
          <w:rFonts w:ascii="Arial" w:hAnsi="Arial" w:eastAsia="微软雅黑"/>
          <w:b/>
          <w:i w:val="0"/>
          <w:color w:val="251A1A"/>
          <w:sz w:val="22"/>
        </w:rPr>
        <w:t>陈嘉怡 CFA</w:t>
      </w:r>
      <w:r>
        <w:rPr>
          <w:rFonts w:ascii="Arial" w:hAnsi="Arial" w:eastAsia="微软雅黑"/>
          <w:b w:val="0"/>
          <w:i w:val="0"/>
          <w:color w:val="666666"/>
          <w:sz w:val="20"/>
        </w:rPr>
        <w:t xml:space="preserve">  (Equity Research Analyst)</w:t>
      </w:r>
    </w:p>
    <w:p>
      <w:pPr>
        <w:spacing w:before="40" w:after="40"/>
        <w:pBdr>
          <w:bottom w:val="single" w:sz="16" w:space="1" w:color="C8A951"/>
        </w:pBdr>
      </w:pPr>
      <w:r>
        <w:rPr>
          <w:rFonts w:ascii="Arial" w:hAnsi="Arial" w:eastAsia="微软雅黑"/>
          <w:b w:val="0"/>
          <w:i w:val="0"/>
          <w:sz w:val="2"/>
        </w:rPr>
        <w:t xml:space="preserve"> </w:t>
      </w:r>
    </w:p>
    <w:p>
      <w:pPr>
        <w:spacing w:before="160" w:after="80"/>
      </w:pPr>
      <w:r>
        <w:rPr>
          <w:rFonts w:ascii="Arial" w:hAnsi="Arial" w:eastAsia="微软雅黑"/>
          <w:b/>
          <w:i w:val="0"/>
          <w:color w:val="251A1A"/>
          <w:sz w:val="52"/>
        </w:rPr>
        <w:t>为下一个10倍科技周期，资本是瓶颈吗？</w:t>
      </w:r>
    </w:p>
    <w:p>
      <w:pPr>
        <w:spacing w:before="0" w:after="80"/>
      </w:pPr>
      <w:r>
        <w:rPr>
          <w:rFonts w:ascii="Arial" w:hAnsi="Arial" w:eastAsia="微软雅黑"/>
          <w:b w:val="0"/>
          <w:i w:val="0"/>
          <w:color w:val="251A1A"/>
          <w:sz w:val="32"/>
        </w:rPr>
        <w:t>Financing the Next 10x Tech Cycle</w:t>
      </w:r>
    </w:p>
    <w:p>
      <w:pPr>
        <w:spacing w:after="120"/>
      </w:pPr>
      <w:r>
        <w:rPr>
          <w:rFonts w:ascii="Arial" w:hAnsi="Arial" w:eastAsia="微软雅黑"/>
          <w:b w:val="0"/>
          <w:i/>
          <w:color w:val="666666"/>
          <w:sz w:val="24"/>
        </w:rPr>
        <w:t>关键论点一句话：算力军备竞赛将重塑上游资本开支结构。</w:t>
      </w:r>
    </w:p>
    <w:p>
      <w:pPr>
        <w:spacing w:before="40" w:after="40"/>
        <w:pBdr>
          <w:bottom w:val="single" w:sz="16" w:space="1" w:color="C8A951"/>
        </w:pBdr>
      </w:pPr>
      <w:r>
        <w:rPr>
          <w:rFonts w:ascii="Arial" w:hAnsi="Arial" w:eastAsia="微软雅黑"/>
          <w:b w:val="0"/>
          <w:i w:val="0"/>
          <w:sz w:val="2"/>
        </w:rPr>
        <w:t xml:space="preserve"> </w:t>
      </w:r>
    </w:p>
    <w:p>
      <w:pPr>
        <w:spacing w:before="120" w:after="80"/>
      </w:pPr>
      <w:r>
        <w:rPr>
          <w:rFonts w:ascii="Arial" w:hAnsi="Arial" w:eastAsia="微软雅黑"/>
          <w:b/>
          <w:i w:val="0"/>
          <w:color w:val="00559F"/>
          <w:sz w:val="26"/>
        </w:rPr>
        <w:t>Key Takeaways</w:t>
      </w:r>
    </w:p>
    <w:p>
      <w:pPr>
        <w:spacing w:before="20" w:after="20"/>
        <w:ind w:left="360"/>
      </w:pPr>
      <w:r>
        <w:rPr>
          <w:rFonts w:ascii="Arial" w:hAnsi="Arial" w:eastAsia="微软雅黑"/>
          <w:b/>
          <w:i w:val="0"/>
          <w:color w:val="00559F"/>
          <w:sz w:val="20"/>
        </w:rPr>
        <w:t xml:space="preserve">•  </w:t>
      </w:r>
      <w:r>
        <w:rPr>
          <w:rFonts w:ascii="Arial" w:hAnsi="Arial" w:eastAsia="微软雅黑"/>
          <w:b w:val="0"/>
          <w:i w:val="0"/>
          <w:color w:val="251A1A"/>
          <w:sz w:val="20"/>
        </w:rPr>
        <w:t>算力需求在未来三年预计以 35% CAGR 扩张，资本开支将成为瓶颈。</w:t>
      </w:r>
    </w:p>
    <w:p>
      <w:pPr>
        <w:spacing w:before="20" w:after="20"/>
        <w:ind w:left="360"/>
      </w:pPr>
      <w:r>
        <w:rPr>
          <w:rFonts w:ascii="Arial" w:hAnsi="Arial" w:eastAsia="微软雅黑"/>
          <w:b/>
          <w:i w:val="0"/>
          <w:color w:val="00559F"/>
          <w:sz w:val="20"/>
        </w:rPr>
        <w:t xml:space="preserve">•  </w:t>
      </w:r>
      <w:r>
        <w:rPr>
          <w:rFonts w:ascii="Arial" w:hAnsi="Arial" w:eastAsia="微软雅黑"/>
          <w:b w:val="0"/>
          <w:i w:val="0"/>
          <w:color w:val="251A1A"/>
          <w:sz w:val="20"/>
        </w:rPr>
        <w:t>上游芯片与光模块厂商最受益，利润池份额有望翻倍。</w:t>
      </w:r>
    </w:p>
    <w:p>
      <w:pPr>
        <w:spacing w:before="20" w:after="20"/>
        <w:ind w:left="360"/>
      </w:pPr>
      <w:r>
        <w:rPr>
          <w:rFonts w:ascii="Arial" w:hAnsi="Arial" w:eastAsia="微软雅黑"/>
          <w:b/>
          <w:i w:val="0"/>
          <w:color w:val="00559F"/>
          <w:sz w:val="20"/>
        </w:rPr>
        <w:t xml:space="preserve">•  </w:t>
      </w:r>
      <w:r>
        <w:rPr>
          <w:rFonts w:ascii="Arial" w:hAnsi="Arial" w:eastAsia="微软雅黑"/>
          <w:b w:val="0"/>
          <w:i w:val="0"/>
          <w:color w:val="251A1A"/>
          <w:sz w:val="20"/>
        </w:rPr>
        <w:t>估值溢价将集中于具备专有硅片与供应渠道的企业。</w:t>
      </w:r>
    </w:p>
    <w:p>
      <w:pPr>
        <w:spacing w:before="20" w:after="20"/>
        <w:ind w:left="360"/>
      </w:pPr>
      <w:r>
        <w:rPr>
          <w:rFonts w:ascii="Arial" w:hAnsi="Arial" w:eastAsia="微软雅黑"/>
          <w:b/>
          <w:i w:val="0"/>
          <w:color w:val="00559F"/>
          <w:sz w:val="20"/>
        </w:rPr>
        <w:t xml:space="preserve">•  </w:t>
      </w:r>
      <w:r>
        <w:rPr>
          <w:rFonts w:ascii="Arial" w:hAnsi="Arial" w:eastAsia="微软雅黑"/>
          <w:b w:val="0"/>
          <w:i w:val="0"/>
          <w:color w:val="251A1A"/>
          <w:sz w:val="20"/>
        </w:rPr>
        <w:t>地缘与出口管制风险可能压缩远期回报曲线。</w:t>
      </w:r>
    </w:p>
    <w:p/>
    <w:p>
      <w:pPr>
        <w:spacing w:after="40"/>
      </w:pPr>
      <w:r>
        <w:rPr>
          <w:rFonts w:ascii="Arial" w:hAnsi="Arial" w:eastAsia="微软雅黑"/>
          <w:b w:val="0"/>
          <w:i w:val="0"/>
          <w:color w:val="666666"/>
          <w:sz w:val="20"/>
        </w:rPr>
        <w:t xml:space="preserve">Rating  </w:t>
      </w:r>
      <w:r>
        <w:rPr>
          <w:rFonts w:ascii="Arial" w:hAnsi="Arial" w:eastAsia="微软雅黑"/>
          <w:b/>
          <w:i w:val="0"/>
          <w:color w:val="00559F"/>
          <w:sz w:val="32"/>
        </w:rPr>
        <w:t>OVERWEIGHT</w:t>
      </w:r>
    </w:p>
    <w:p>
      <w:pPr>
        <w:spacing w:after="40"/>
      </w:pPr>
      <w:r>
        <w:rPr>
          <w:rFonts w:ascii="Arial" w:hAnsi="Arial" w:eastAsia="微软雅黑"/>
          <w:b w:val="0"/>
          <w:i w:val="0"/>
          <w:color w:val="666666"/>
          <w:sz w:val="20"/>
        </w:rPr>
        <w:t xml:space="preserve">Target Price  </w:t>
      </w:r>
      <w:r>
        <w:rPr>
          <w:rFonts w:ascii="Arial" w:hAnsi="Arial" w:eastAsia="微软雅黑"/>
          <w:b/>
          <w:i w:val="0"/>
          <w:color w:val="C8A951"/>
          <w:sz w:val="40"/>
        </w:rPr>
        <w:t>$125</w:t>
      </w:r>
    </w:p>
    <w:p>
      <w:pPr>
        <w:spacing w:after="40"/>
      </w:pPr>
      <w:r>
        <w:rPr>
          <w:rFonts w:ascii="Arial" w:hAnsi="Arial" w:eastAsia="微软雅黑"/>
          <w:b w:val="0"/>
          <w:i w:val="0"/>
          <w:color w:val="666666"/>
          <w:sz w:val="20"/>
        </w:rPr>
        <w:t xml:space="preserve">Last Close  </w:t>
      </w:r>
      <w:r>
        <w:rPr>
          <w:rFonts w:ascii="Arial" w:hAnsi="Arial" w:eastAsia="微软雅黑"/>
          <w:b/>
          <w:i w:val="0"/>
          <w:color w:val="251A1A"/>
          <w:sz w:val="28"/>
        </w:rPr>
        <w:t>$98.50</w:t>
      </w:r>
    </w:p>
    <w:p/>
    <w:p>
      <w:pPr>
        <w:spacing w:before="120" w:after="40"/>
      </w:pPr>
      <w:r>
        <w:rPr>
          <w:rFonts w:ascii="Arial" w:hAnsi="Arial" w:eastAsia="微软雅黑"/>
          <w:b w:val="0"/>
          <w:i/>
          <w:color w:val="AB9C99"/>
          <w:sz w:val="14"/>
        </w:rPr>
        <w:t>This report has been prepared by Morgan Stanley Research. It is not intended for distribution to, or use by, any person or entity in any jurisdiction where such distribution or use would be contrary to law or regulation.</w:t>
      </w:r>
    </w:p>
    <w:p>
      <w:r>
        <w:br w:type="page"/>
      </w:r>
    </w:p>
    <w:p>
      <w:pPr>
        <w:pStyle w:val="Heading1"/>
        <w:spacing w:before="120"/>
      </w:pPr>
      <w:r>
        <w:rPr>
          <w:rFonts w:ascii="Arial" w:hAnsi="Arial" w:eastAsia="微软雅黑"/>
          <w:b/>
          <w:i w:val="0"/>
          <w:color w:val="00559F"/>
          <w:sz w:val="40"/>
        </w:rPr>
        <w:t>目录 / Table of Contents</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
      <w:pPr>
        <w:spacing w:after="80"/>
      </w:pPr>
      <w:r>
        <w:rPr>
          <w:rFonts w:ascii="Arial" w:hAnsi="Arial" w:eastAsia="微软雅黑"/>
          <w:b/>
          <w:i w:val="0"/>
          <w:color w:val="C8A951"/>
          <w:sz w:val="24"/>
        </w:rPr>
        <w:t xml:space="preserve">01. </w:t>
      </w:r>
      <w:r>
        <w:rPr>
          <w:rFonts w:ascii="Arial" w:hAnsi="Arial" w:eastAsia="微软雅黑"/>
          <w:b w:val="0"/>
          <w:i w:val="0"/>
          <w:color w:val="0B2C5C"/>
          <w:sz w:val="24"/>
        </w:rPr>
        <w:t>执行摘要 / Executive Summary</w:t>
      </w:r>
    </w:p>
    <w:p>
      <w:pPr>
        <w:spacing w:after="80"/>
      </w:pPr>
      <w:r>
        <w:rPr>
          <w:rFonts w:ascii="Arial" w:hAnsi="Arial" w:eastAsia="微软雅黑"/>
          <w:b/>
          <w:i w:val="0"/>
          <w:color w:val="C8A951"/>
          <w:sz w:val="24"/>
        </w:rPr>
        <w:t xml:space="preserve">02. </w:t>
      </w:r>
      <w:r>
        <w:rPr>
          <w:rFonts w:ascii="Arial" w:hAnsi="Arial" w:eastAsia="微软雅黑"/>
          <w:b w:val="0"/>
          <w:i w:val="0"/>
          <w:color w:val="0B2C5C"/>
          <w:sz w:val="24"/>
        </w:rPr>
        <w:t>一、算力需求：结构性扩张 / I. Compute Demand -- Structural Expansion</w:t>
      </w:r>
    </w:p>
    <w:p>
      <w:pPr>
        <w:spacing w:after="80"/>
      </w:pPr>
      <w:r>
        <w:rPr>
          <w:rFonts w:ascii="Arial" w:hAnsi="Arial" w:eastAsia="微软雅黑"/>
          <w:b/>
          <w:i w:val="0"/>
          <w:color w:val="C8A951"/>
          <w:sz w:val="24"/>
        </w:rPr>
        <w:t xml:space="preserve">03. </w:t>
      </w:r>
      <w:r>
        <w:rPr>
          <w:rFonts w:ascii="Arial" w:hAnsi="Arial" w:eastAsia="微软雅黑"/>
          <w:b w:val="0"/>
          <w:i w:val="0"/>
          <w:color w:val="0B2C5C"/>
          <w:sz w:val="24"/>
        </w:rPr>
        <w:t>二、资本开支结构重塑 / II. Capex Structure Reshaping</w:t>
      </w:r>
    </w:p>
    <w:p>
      <w:pPr>
        <w:spacing w:after="80"/>
      </w:pPr>
      <w:r>
        <w:rPr>
          <w:rFonts w:ascii="Arial" w:hAnsi="Arial" w:eastAsia="微软雅黑"/>
          <w:b/>
          <w:i w:val="0"/>
          <w:color w:val="C8A951"/>
          <w:sz w:val="24"/>
        </w:rPr>
        <w:t xml:space="preserve">04. </w:t>
      </w:r>
      <w:r>
        <w:rPr>
          <w:rFonts w:ascii="Arial" w:hAnsi="Arial" w:eastAsia="微软雅黑"/>
          <w:b w:val="0"/>
          <w:i w:val="0"/>
          <w:color w:val="0B2C5C"/>
          <w:sz w:val="24"/>
        </w:rPr>
        <w:t>关键指标 / Key KPIs</w:t>
      </w:r>
    </w:p>
    <w:p>
      <w:pPr>
        <w:spacing w:after="80"/>
      </w:pPr>
      <w:r>
        <w:rPr>
          <w:rFonts w:ascii="Arial" w:hAnsi="Arial" w:eastAsia="微软雅黑"/>
          <w:b/>
          <w:i w:val="0"/>
          <w:color w:val="C8A951"/>
          <w:sz w:val="24"/>
        </w:rPr>
        <w:t xml:space="preserve">05. </w:t>
      </w:r>
      <w:r>
        <w:rPr>
          <w:rFonts w:ascii="Arial" w:hAnsi="Arial" w:eastAsia="微软雅黑"/>
          <w:b w:val="0"/>
          <w:i w:val="0"/>
          <w:color w:val="0B2C5C"/>
          <w:sz w:val="24"/>
        </w:rPr>
        <w:t>财务与估值 / Financials &amp; Valuation</w:t>
      </w:r>
    </w:p>
    <w:p>
      <w:pPr>
        <w:spacing w:after="80"/>
      </w:pPr>
      <w:r>
        <w:rPr>
          <w:rFonts w:ascii="Arial" w:hAnsi="Arial" w:eastAsia="微软雅黑"/>
          <w:b/>
          <w:i w:val="0"/>
          <w:color w:val="C8A951"/>
          <w:sz w:val="24"/>
        </w:rPr>
        <w:t xml:space="preserve">06. </w:t>
      </w:r>
      <w:r>
        <w:rPr>
          <w:rFonts w:ascii="Arial" w:hAnsi="Arial" w:eastAsia="微软雅黑"/>
          <w:b w:val="0"/>
          <w:i w:val="0"/>
          <w:color w:val="0B2C5C"/>
          <w:sz w:val="24"/>
        </w:rPr>
        <w:t>评级总表 / Rating Summary</w:t>
      </w:r>
    </w:p>
    <w:p>
      <w:pPr>
        <w:spacing w:after="80"/>
      </w:pPr>
      <w:r>
        <w:rPr>
          <w:rFonts w:ascii="Arial" w:hAnsi="Arial" w:eastAsia="微软雅黑"/>
          <w:b/>
          <w:i w:val="0"/>
          <w:color w:val="C8A951"/>
          <w:sz w:val="24"/>
        </w:rPr>
        <w:t xml:space="preserve">07. </w:t>
      </w:r>
      <w:r>
        <w:rPr>
          <w:rFonts w:ascii="Arial" w:hAnsi="Arial" w:eastAsia="微软雅黑"/>
          <w:b w:val="0"/>
          <w:i w:val="0"/>
          <w:color w:val="0B2C5C"/>
          <w:sz w:val="24"/>
        </w:rPr>
        <w:t>60 铲子股行业列表 / Shovel Stocks Universe</w:t>
      </w:r>
    </w:p>
    <w:p>
      <w:pPr>
        <w:spacing w:after="80"/>
      </w:pPr>
      <w:r>
        <w:rPr>
          <w:rFonts w:ascii="Arial" w:hAnsi="Arial" w:eastAsia="微软雅黑"/>
          <w:b/>
          <w:i w:val="0"/>
          <w:color w:val="C8A951"/>
          <w:sz w:val="24"/>
        </w:rPr>
        <w:t xml:space="preserve">08. </w:t>
      </w:r>
      <w:r>
        <w:rPr>
          <w:rFonts w:ascii="Arial" w:hAnsi="Arial" w:eastAsia="微软雅黑"/>
          <w:b w:val="0"/>
          <w:i w:val="0"/>
          <w:color w:val="0B2C5C"/>
          <w:sz w:val="24"/>
        </w:rPr>
        <w:t>附录 / Appendix</w:t>
      </w:r>
    </w:p>
    <w:p>
      <w:pPr>
        <w:spacing w:after="80"/>
      </w:pPr>
      <w:r>
        <w:rPr>
          <w:rFonts w:ascii="Arial" w:hAnsi="Arial" w:eastAsia="微软雅黑"/>
          <w:b/>
          <w:i w:val="0"/>
          <w:color w:val="C8A951"/>
          <w:sz w:val="24"/>
        </w:rPr>
        <w:t xml:space="preserve">09. </w:t>
      </w:r>
      <w:r>
        <w:rPr>
          <w:rFonts w:ascii="Arial" w:hAnsi="Arial" w:eastAsia="微软雅黑"/>
          <w:b w:val="0"/>
          <w:i w:val="0"/>
          <w:color w:val="0B2C5C"/>
          <w:sz w:val="24"/>
        </w:rPr>
        <w:t>免责声明 / Disclosure</w:t>
      </w:r>
    </w:p>
    <w:p>
      <w:r>
        <w:br w:type="page"/>
      </w:r>
    </w:p>
    <w:p>
      <w:pPr>
        <w:pStyle w:val="Heading1"/>
        <w:spacing w:before="120"/>
      </w:pPr>
      <w:r>
        <w:rPr>
          <w:rFonts w:ascii="Arial" w:hAnsi="Arial" w:eastAsia="微软雅黑"/>
          <w:b/>
          <w:i w:val="0"/>
          <w:color w:val="0B2C5C"/>
          <w:sz w:val="40"/>
        </w:rPr>
        <w:t>执行摘要 / Executive Summary</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ook w:firstColumn="1" w:firstRow="1" w:lastColumn="0" w:lastRow="0" w:noHBand="0" w:noVBand="1" w:val="04A0"/>
      </w:tblPr>
      <w:tblGrid>
        <w:gridCol w:w="4968"/>
        <w:gridCol w:w="4968"/>
      </w:tblGrid>
      <w:tr>
        <w:tc>
          <w:tcPr>
            <w:tcW w:type="dxa" w:w="4968"/>
            <w:tcBorders>
              <w:top w:val="single" w:sz="0" w:space="0" w:color="FFFFFF"/>
              <w:left w:val="single" w:sz="0" w:space="0" w:color="FFFFFF"/>
              <w:bottom w:val="single" w:sz="0" w:space="0" w:color="FFFFFF"/>
              <w:right w:val="single" w:sz="0" w:space="0" w:color="FFFFFF"/>
            </w:tcBorders>
          </w:tcPr>
          <w:p>
            <w:pPr>
              <w:spacing w:after="80"/>
            </w:pPr>
            <w:r>
              <w:rPr>
                <w:rFonts w:ascii="Arial" w:hAnsi="Arial" w:eastAsia="微软雅黑"/>
                <w:b/>
                <w:i w:val="0"/>
                <w:color w:val="C8A951"/>
                <w:sz w:val="24"/>
              </w:rPr>
              <w:t>核心论点 / Thesis</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算力军备竞赛重塑上游资本开支结构，半导体链条议价能力持续上升。</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预计 2026-2028 年全球数据中心资本开支总额突破 5000 亿美元。</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芯片与光模块份额从 38% 提升至 52%，利润池有望翻倍。</w:t>
            </w:r>
          </w:p>
        </w:tc>
        <w:tc>
          <w:tcPr>
            <w:tcW w:type="dxa" w:w="4968"/>
            <w:tcBorders>
              <w:top w:val="single" w:sz="0" w:space="0" w:color="FFFFFF"/>
              <w:left w:val="single" w:sz="0" w:space="0" w:color="FFFFFF"/>
              <w:bottom w:val="single" w:sz="0" w:space="0" w:color="FFFFFF"/>
              <w:right w:val="single" w:sz="0" w:space="0" w:color="FFFFFF"/>
            </w:tcBorders>
          </w:tcPr>
          <w:p>
            <w:pPr>
              <w:spacing w:after="80"/>
            </w:pPr>
            <w:r>
              <w:rPr>
                <w:rFonts w:ascii="Arial" w:hAnsi="Arial" w:eastAsia="微软雅黑"/>
                <w:b/>
                <w:i w:val="0"/>
                <w:color w:val="C8A951"/>
                <w:sz w:val="24"/>
              </w:rPr>
              <w:t>目标价 &amp; 上行 / TP &amp; Upside</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目标价 $125.0（当前 $98.5），上行空间约 +27%。</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评级：Overweight（超配），估值锚定 26E P/E 22x。</w:t>
            </w:r>
          </w:p>
        </w:tc>
      </w:tr>
      <w:tr>
        <w:tc>
          <w:tcPr>
            <w:tcW w:type="dxa" w:w="4968"/>
            <w:tcBorders>
              <w:top w:val="single" w:sz="0" w:space="0" w:color="FFFFFF"/>
              <w:left w:val="single" w:sz="0" w:space="0" w:color="FFFFFF"/>
              <w:bottom w:val="single" w:sz="0" w:space="0" w:color="FFFFFF"/>
              <w:right w:val="single" w:sz="0" w:space="0" w:color="FFFFFF"/>
            </w:tcBorders>
          </w:tcPr>
          <w:p>
            <w:pPr>
              <w:spacing w:after="80"/>
            </w:pPr>
            <w:r>
              <w:rPr>
                <w:rFonts w:ascii="Arial" w:hAnsi="Arial" w:eastAsia="微软雅黑"/>
                <w:b/>
                <w:i w:val="0"/>
                <w:color w:val="C8A951"/>
                <w:sz w:val="24"/>
              </w:rPr>
              <w:t>关键风险 / Key Risks</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出口管制与地缘冲突加剧导致订单延迟与估值压缩。</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客户集中度偏高，单一大型云厂商预算调整将显著影响收入。</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产能瓶颈可能导致毛利率在 2H26 出现阶段性回落。</w:t>
            </w:r>
          </w:p>
        </w:tc>
        <w:tc>
          <w:tcPr>
            <w:tcW w:type="dxa" w:w="4968"/>
            <w:tcBorders>
              <w:top w:val="single" w:sz="0" w:space="0" w:color="FFFFFF"/>
              <w:left w:val="single" w:sz="0" w:space="0" w:color="FFFFFF"/>
              <w:bottom w:val="single" w:sz="0" w:space="0" w:color="FFFFFF"/>
              <w:right w:val="single" w:sz="0" w:space="0" w:color="FFFFFF"/>
            </w:tcBorders>
          </w:tcPr>
          <w:p>
            <w:pPr>
              <w:spacing w:after="80"/>
            </w:pPr>
            <w:r>
              <w:rPr>
                <w:rFonts w:ascii="Arial" w:hAnsi="Arial" w:eastAsia="微软雅黑"/>
                <w:b/>
                <w:i w:val="0"/>
                <w:color w:val="C8A951"/>
                <w:sz w:val="24"/>
              </w:rPr>
              <w:t>催化剂 / Catalysts</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下一代 AI 加速器量产时间表公布。</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大型云厂商资本开支指引上调。</w:t>
            </w:r>
          </w:p>
          <w:p>
            <w:pPr>
              <w:spacing w:after="40"/>
            </w:pPr>
            <w:r>
              <w:rPr>
                <w:rFonts w:ascii="Arial" w:hAnsi="Arial" w:eastAsia="微软雅黑"/>
                <w:b/>
                <w:i w:val="0"/>
                <w:color w:val="C8A951"/>
                <w:sz w:val="20"/>
              </w:rPr>
              <w:t xml:space="preserve">• </w:t>
            </w:r>
            <w:r>
              <w:rPr>
                <w:rFonts w:ascii="Arial" w:hAnsi="Arial" w:eastAsia="微软雅黑"/>
                <w:b w:val="0"/>
                <w:i w:val="0"/>
                <w:color w:val="251A1A"/>
                <w:sz w:val="20"/>
              </w:rPr>
              <w:t>自研硅片客户的订单结构优化。</w:t>
            </w:r>
          </w:p>
        </w:tc>
      </w:tr>
    </w:tbl>
    <w:p>
      <w:r>
        <w:br w:type="page"/>
      </w:r>
    </w:p>
    <w:p>
      <w:pPr>
        <w:pStyle w:val="Heading1"/>
        <w:spacing w:before="160" w:after="40"/>
      </w:pPr>
      <w:r>
        <w:rPr>
          <w:rFonts w:ascii="Arial" w:hAnsi="Arial" w:eastAsia="微软雅黑"/>
          <w:b/>
          <w:i w:val="0"/>
          <w:color w:val="0B2C5C"/>
          <w:sz w:val="40"/>
        </w:rPr>
        <w:t>一、算力需求：结构性扩张</w:t>
      </w:r>
    </w:p>
    <w:p>
      <w:pPr>
        <w:spacing w:after="80"/>
      </w:pPr>
      <w:r>
        <w:rPr>
          <w:rFonts w:ascii="Arial" w:hAnsi="Arial" w:eastAsia="微软雅黑"/>
          <w:b w:val="0"/>
          <w:i/>
          <w:color w:val="0B2C5C"/>
          <w:sz w:val="26"/>
        </w:rPr>
        <w:t>I. Compute Demand -- Structural Expansion</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Pr>
        <w:spacing w:after="120" w:line="300" w:lineRule="auto"/>
        <w:ind w:firstLineChars="200"/>
      </w:pPr>
      <w:r>
        <w:rPr>
          <w:rFonts w:ascii="Arial" w:hAnsi="Arial" w:eastAsia="微软雅黑"/>
          <w:b/>
          <w:i w:val="0"/>
          <w:color w:val="0B2C5C"/>
          <w:sz w:val="22"/>
        </w:rPr>
        <w:t xml:space="preserve">We believe — </w:t>
      </w:r>
      <w:r>
        <w:rPr>
          <w:rFonts w:ascii="Arial" w:hAnsi="Arial" w:eastAsia="微软雅黑"/>
          <w:b w:val="0"/>
          <w:i w:val="0"/>
          <w:color w:val="251A1A"/>
          <w:sz w:val="22"/>
        </w:rPr>
        <w:t>全球云厂商与大型科技公司的训练集群在 2024-2025 年经历了一轮快速扩充，推理侧需求接棒成为新的增长引擎。</w:t>
      </w:r>
    </w:p>
    <w:p>
      <w:pPr>
        <w:spacing w:after="120" w:line="300" w:lineRule="auto"/>
        <w:ind w:firstLineChars="200"/>
      </w:pPr>
      <w:r>
        <w:rPr>
          <w:rFonts w:ascii="Arial" w:hAnsi="Arial" w:eastAsia="微软雅黑"/>
          <w:b/>
          <w:i w:val="0"/>
          <w:color w:val="0B2C5C"/>
          <w:sz w:val="22"/>
        </w:rPr>
        <w:t xml:space="preserve">We estimate — </w:t>
      </w:r>
      <w:r>
        <w:rPr>
          <w:rFonts w:ascii="Arial" w:hAnsi="Arial" w:eastAsia="微软雅黑"/>
          <w:b w:val="0"/>
          <w:i w:val="0"/>
          <w:color w:val="251A1A"/>
          <w:sz w:val="22"/>
        </w:rPr>
        <w:t>我们估计单位推理成本将在未来两年以每年 30% 的速度下降，推动应用层渗透率显著提升。</w:t>
      </w:r>
    </w:p>
    <w:p/>
    <w:p>
      <w:pPr>
        <w:pStyle w:val="Heading1"/>
        <w:spacing w:before="160" w:after="40"/>
      </w:pPr>
      <w:r>
        <w:rPr>
          <w:rFonts w:ascii="Arial" w:hAnsi="Arial" w:eastAsia="微软雅黑"/>
          <w:b/>
          <w:i w:val="0"/>
          <w:color w:val="0B2C5C"/>
          <w:sz w:val="40"/>
        </w:rPr>
        <w:t>二、资本开支结构重塑</w:t>
      </w:r>
    </w:p>
    <w:p>
      <w:pPr>
        <w:spacing w:after="80"/>
      </w:pPr>
      <w:r>
        <w:rPr>
          <w:rFonts w:ascii="Arial" w:hAnsi="Arial" w:eastAsia="微软雅黑"/>
          <w:b w:val="0"/>
          <w:i/>
          <w:color w:val="0B2C5C"/>
          <w:sz w:val="26"/>
        </w:rPr>
        <w:t>II. Capex Structure Reshaping</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Pr>
        <w:spacing w:after="120" w:line="300" w:lineRule="auto"/>
        <w:ind w:firstLineChars="200"/>
      </w:pPr>
      <w:r>
        <w:rPr>
          <w:rFonts w:ascii="Arial" w:hAnsi="Arial" w:eastAsia="微软雅黑"/>
          <w:b/>
          <w:i w:val="0"/>
          <w:color w:val="0B2C5C"/>
          <w:sz w:val="22"/>
        </w:rPr>
        <w:t xml:space="preserve">We believe — </w:t>
      </w:r>
      <w:r>
        <w:rPr>
          <w:rFonts w:ascii="Arial" w:hAnsi="Arial" w:eastAsia="微软雅黑"/>
          <w:b w:val="0"/>
          <w:i w:val="0"/>
          <w:color w:val="251A1A"/>
          <w:sz w:val="22"/>
        </w:rPr>
        <w:t>我们预期 2026 年起，数据中心电源、光互联与散热配套将成为新的投资热点。</w:t>
      </w:r>
    </w:p>
    <w:p/>
    <w:p>
      <w:r>
        <w:br w:type="page"/>
      </w:r>
    </w:p>
    <w:p>
      <w:pPr>
        <w:pStyle w:val="Heading1"/>
      </w:pPr>
      <w:r>
        <w:rPr>
          <w:rFonts w:ascii="Arial" w:hAnsi="Arial" w:eastAsia="微软雅黑"/>
          <w:b/>
          <w:i w:val="0"/>
          <w:color w:val="0B2C5C"/>
          <w:sz w:val="40"/>
        </w:rPr>
        <w:t>关键指标 / Key KPIs</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ayout w:type="fixed"/>
        <w:tblLook w:firstColumn="1" w:firstRow="1" w:lastColumn="0" w:lastRow="0" w:noHBand="0" w:noVBand="1" w:val="04A0"/>
      </w:tblPr>
      <w:tblGrid>
        <w:gridCol w:w="3312"/>
        <w:gridCol w:w="3312"/>
        <w:gridCol w:w="3312"/>
      </w:tblGrid>
      <w:tr>
        <w:tc>
          <w:tcPr>
            <w:tcW w:type="dxa" w:w="3120"/>
            <w:shd w:val="clear" w:color="auto" w:fill="F5F6F8"/>
            <w:tcBorders>
              <w:top w:val="single" w:sz="4" w:space="0" w:color="C8A951"/>
              <w:left w:val="single" w:sz="4" w:space="0" w:color="C8A951"/>
              <w:bottom w:val="single" w:sz="4" w:space="0" w:color="C8A951"/>
              <w:right w:val="single" w:sz="4" w:space="0" w:color="C8A951"/>
            </w:tcBorders>
          </w:tcPr>
          <w:p>
            <w:r>
              <w:rPr>
                <w:rFonts w:ascii="Arial" w:hAnsi="Arial" w:eastAsia="微软雅黑"/>
                <w:b/>
                <w:i w:val="0"/>
                <w:color w:val="C8A951"/>
                <w:sz w:val="64"/>
              </w:rPr>
              <w:t>$5.2T</w:t>
            </w:r>
          </w:p>
          <w:p>
            <w:r>
              <w:rPr>
                <w:rFonts w:ascii="Arial" w:hAnsi="Arial" w:eastAsia="微软雅黑"/>
                <w:b/>
                <w:i w:val="0"/>
                <w:color w:val="0B2C5C"/>
                <w:sz w:val="22"/>
              </w:rPr>
              <w:t>TAM 2026E</w:t>
            </w:r>
          </w:p>
          <w:p>
            <w:r>
              <w:rPr>
                <w:rFonts w:ascii="Arial" w:hAnsi="Arial" w:eastAsia="微软雅黑"/>
                <w:b w:val="0"/>
                <w:i w:val="0"/>
                <w:color w:val="666666"/>
                <w:sz w:val="18"/>
              </w:rPr>
              <w:t>市场规模</w:t>
            </w:r>
          </w:p>
        </w:tc>
        <w:tc>
          <w:tcPr>
            <w:tcW w:type="dxa" w:w="3120"/>
            <w:shd w:val="clear" w:color="auto" w:fill="F5F6F8"/>
            <w:tcBorders>
              <w:top w:val="single" w:sz="4" w:space="0" w:color="C8A951"/>
              <w:left w:val="single" w:sz="4" w:space="0" w:color="C8A951"/>
              <w:bottom w:val="single" w:sz="4" w:space="0" w:color="C8A951"/>
              <w:right w:val="single" w:sz="4" w:space="0" w:color="C8A951"/>
            </w:tcBorders>
          </w:tcPr>
          <w:p>
            <w:r>
              <w:rPr>
                <w:rFonts w:ascii="Arial" w:hAnsi="Arial" w:eastAsia="微软雅黑"/>
                <w:b/>
                <w:i w:val="0"/>
                <w:color w:val="C8A951"/>
                <w:sz w:val="64"/>
              </w:rPr>
              <w:t>35%</w:t>
            </w:r>
          </w:p>
          <w:p>
            <w:r>
              <w:rPr>
                <w:rFonts w:ascii="Arial" w:hAnsi="Arial" w:eastAsia="微软雅黑"/>
                <w:b/>
                <w:i w:val="0"/>
                <w:color w:val="0B2C5C"/>
                <w:sz w:val="22"/>
              </w:rPr>
              <w:t>CAGR '24-'28</w:t>
            </w:r>
          </w:p>
          <w:p>
            <w:r>
              <w:rPr>
                <w:rFonts w:ascii="Arial" w:hAnsi="Arial" w:eastAsia="微软雅黑"/>
                <w:b w:val="0"/>
                <w:i w:val="0"/>
                <w:color w:val="666666"/>
                <w:sz w:val="18"/>
              </w:rPr>
              <w:t>复合增长</w:t>
            </w:r>
          </w:p>
        </w:tc>
        <w:tc>
          <w:tcPr>
            <w:tcW w:type="dxa" w:w="3120"/>
            <w:shd w:val="clear" w:color="auto" w:fill="F5F6F8"/>
            <w:tcBorders>
              <w:top w:val="single" w:sz="4" w:space="0" w:color="C8A951"/>
              <w:left w:val="single" w:sz="4" w:space="0" w:color="C8A951"/>
              <w:bottom w:val="single" w:sz="4" w:space="0" w:color="C8A951"/>
              <w:right w:val="single" w:sz="4" w:space="0" w:color="C8A951"/>
            </w:tcBorders>
          </w:tcPr>
          <w:p>
            <w:r>
              <w:rPr>
                <w:rFonts w:ascii="Arial" w:hAnsi="Arial" w:eastAsia="微软雅黑"/>
                <w:b/>
                <w:i w:val="0"/>
                <w:color w:val="C8A951"/>
                <w:sz w:val="64"/>
              </w:rPr>
              <w:t>+27%</w:t>
            </w:r>
          </w:p>
          <w:p>
            <w:r>
              <w:rPr>
                <w:rFonts w:ascii="Arial" w:hAnsi="Arial" w:eastAsia="微软雅黑"/>
                <w:b/>
                <w:i w:val="0"/>
                <w:color w:val="0B2C5C"/>
                <w:sz w:val="22"/>
              </w:rPr>
              <w:t>Upside</w:t>
            </w:r>
          </w:p>
          <w:p>
            <w:r>
              <w:rPr>
                <w:rFonts w:ascii="Arial" w:hAnsi="Arial" w:eastAsia="微软雅黑"/>
                <w:b w:val="0"/>
                <w:i w:val="0"/>
                <w:color w:val="666666"/>
                <w:sz w:val="18"/>
              </w:rPr>
              <w:t>目标价上涨空间</w:t>
            </w:r>
          </w:p>
        </w:tc>
      </w:tr>
    </w:tbl>
    <w:p/>
    <w:p>
      <w:r>
        <w:br w:type="page"/>
      </w:r>
    </w:p>
    <w:p>
      <w:pPr>
        <w:pStyle w:val="Heading1"/>
      </w:pPr>
      <w:r>
        <w:rPr>
          <w:rFonts w:ascii="Arial" w:hAnsi="Arial" w:eastAsia="微软雅黑"/>
          <w:b/>
          <w:i w:val="0"/>
          <w:color w:val="0B2C5C"/>
          <w:sz w:val="40"/>
        </w:rPr>
        <w:t>财务与估值 / Financials &amp; Valuation</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ayout w:type="fixed"/>
        <w:tblLook w:firstColumn="1" w:firstRow="1" w:lastColumn="0" w:lastRow="0" w:noHBand="0" w:noVBand="1" w:val="04A0"/>
      </w:tblPr>
      <w:tblGrid>
        <w:gridCol w:w="1987"/>
        <w:gridCol w:w="1987"/>
        <w:gridCol w:w="1987"/>
        <w:gridCol w:w="1987"/>
        <w:gridCol w:w="1987"/>
      </w:tblGrid>
      <w:tr>
        <w:tc>
          <w:tcPr>
            <w:tcW w:type="dxa" w:w="3168"/>
            <w:shd w:val="clear" w:color="auto" w:fill="0B2C5C"/>
            <w:tcBorders>
              <w:top w:val="single" w:sz="8" w:space="0" w:color="0B2C5C"/>
              <w:bottom w:val="single" w:sz="8" w:space="0" w:color="0B2C5C"/>
            </w:tcBorders>
            <w:tcBorders>
              <w:top w:val="single" w:sz="16" w:space="0" w:color="0B2C5C"/>
            </w:tcBorders>
          </w:tcPr>
          <w:p>
            <w:pPr>
              <w:jc w:val="left"/>
            </w:pPr>
            <w:r>
              <w:rPr>
                <w:rFonts w:ascii="Arial" w:hAnsi="Arial" w:eastAsia="微软雅黑"/>
                <w:b/>
                <w:i w:val="0"/>
                <w:color w:val="FFFFFF"/>
                <w:sz w:val="20"/>
              </w:rPr>
              <w:t>指标</w:t>
            </w:r>
          </w:p>
        </w:tc>
        <w:tc>
          <w:tcPr>
            <w:tcW w:type="dxa" w:w="1548"/>
            <w:shd w:val="clear" w:color="auto" w:fill="0B2C5C"/>
            <w:tcBorders>
              <w:top w:val="single" w:sz="8" w:space="0" w:color="0B2C5C"/>
              <w:bottom w:val="single" w:sz="8" w:space="0" w:color="0B2C5C"/>
            </w:tcBorders>
            <w:tcBorders>
              <w:top w:val="single" w:sz="16" w:space="0" w:color="0B2C5C"/>
            </w:tcBorders>
          </w:tcPr>
          <w:p>
            <w:pPr>
              <w:jc w:val="right"/>
            </w:pPr>
            <w:r>
              <w:rPr>
                <w:rFonts w:ascii="Arial" w:hAnsi="Arial" w:eastAsia="微软雅黑"/>
                <w:b/>
                <w:i w:val="0"/>
                <w:color w:val="FFFFFF"/>
                <w:sz w:val="20"/>
              </w:rPr>
              <w:t>FY24</w:t>
            </w:r>
          </w:p>
        </w:tc>
        <w:tc>
          <w:tcPr>
            <w:tcW w:type="dxa" w:w="1548"/>
            <w:shd w:val="clear" w:color="auto" w:fill="0B2C5C"/>
            <w:tcBorders>
              <w:top w:val="single" w:sz="8" w:space="0" w:color="0B2C5C"/>
              <w:bottom w:val="single" w:sz="8" w:space="0" w:color="0B2C5C"/>
            </w:tcBorders>
            <w:tcBorders>
              <w:top w:val="single" w:sz="16" w:space="0" w:color="0B2C5C"/>
            </w:tcBorders>
          </w:tcPr>
          <w:p>
            <w:pPr>
              <w:jc w:val="right"/>
            </w:pPr>
            <w:r>
              <w:rPr>
                <w:rFonts w:ascii="Arial" w:hAnsi="Arial" w:eastAsia="微软雅黑"/>
                <w:b/>
                <w:i w:val="0"/>
                <w:color w:val="FFFFFF"/>
                <w:sz w:val="20"/>
              </w:rPr>
              <w:t>FY25E</w:t>
            </w:r>
          </w:p>
        </w:tc>
        <w:tc>
          <w:tcPr>
            <w:tcW w:type="dxa" w:w="1548"/>
            <w:shd w:val="clear" w:color="auto" w:fill="0B2C5C"/>
            <w:tcBorders>
              <w:top w:val="single" w:sz="8" w:space="0" w:color="0B2C5C"/>
              <w:bottom w:val="single" w:sz="8" w:space="0" w:color="0B2C5C"/>
            </w:tcBorders>
            <w:tcBorders>
              <w:top w:val="single" w:sz="16" w:space="0" w:color="0B2C5C"/>
            </w:tcBorders>
          </w:tcPr>
          <w:p>
            <w:pPr>
              <w:jc w:val="right"/>
            </w:pPr>
            <w:r>
              <w:rPr>
                <w:rFonts w:ascii="Arial" w:hAnsi="Arial" w:eastAsia="微软雅黑"/>
                <w:b/>
                <w:i w:val="0"/>
                <w:color w:val="FFFFFF"/>
                <w:sz w:val="20"/>
              </w:rPr>
              <w:t>FY26E</w:t>
            </w:r>
          </w:p>
        </w:tc>
        <w:tc>
          <w:tcPr>
            <w:tcW w:type="dxa" w:w="1548"/>
            <w:shd w:val="clear" w:color="auto" w:fill="0B2C5C"/>
            <w:tcBorders>
              <w:top w:val="single" w:sz="8" w:space="0" w:color="0B2C5C"/>
              <w:bottom w:val="single" w:sz="8" w:space="0" w:color="0B2C5C"/>
            </w:tcBorders>
            <w:tcBorders>
              <w:top w:val="single" w:sz="16" w:space="0" w:color="0B2C5C"/>
            </w:tcBorders>
          </w:tcPr>
          <w:p>
            <w:pPr>
              <w:jc w:val="right"/>
            </w:pPr>
            <w:r>
              <w:rPr>
                <w:rFonts w:ascii="Arial" w:hAnsi="Arial" w:eastAsia="微软雅黑"/>
                <w:b/>
                <w:i w:val="0"/>
                <w:color w:val="FFFFFF"/>
                <w:sz w:val="20"/>
              </w:rPr>
              <w:t>FY27E</w:t>
            </w:r>
          </w:p>
        </w:tc>
      </w:tr>
      <w:tr>
        <w:tc>
          <w:tcPr>
            <w:tcW w:type="dxa" w:w="316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营业收入 ($M)</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4,810</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5,230</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5,750</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6,520</w:t>
            </w:r>
          </w:p>
        </w:tc>
      </w:tr>
      <w:tr>
        <w:tc>
          <w:tcPr>
            <w:tcW w:type="dxa" w:w="3168"/>
            <w:shd w:val="clear" w:color="auto" w:fill="F5F6F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同比 / YoY</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1F7A3E"/>
                <w:sz w:val="20"/>
              </w:rPr>
              <w:t>+8.7%</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1F7A3E"/>
                <w:sz w:val="20"/>
              </w:rPr>
              <w:t>+9.9%</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1F7A3E"/>
                <w:sz w:val="20"/>
              </w:rPr>
              <w:t>+13.4%</w:t>
            </w:r>
          </w:p>
        </w:tc>
      </w:tr>
      <w:tr>
        <w:tc>
          <w:tcPr>
            <w:tcW w:type="dxa" w:w="316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毛利率 (%)</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C8A951"/>
                <w:sz w:val="20"/>
              </w:rPr>
              <w:t>52.1</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C8A951"/>
                <w:sz w:val="20"/>
              </w:rPr>
              <w:t>54.0</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C8A951"/>
                <w:sz w:val="20"/>
              </w:rPr>
              <w:t>55.5</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i w:val="0"/>
                <w:color w:val="C8A951"/>
                <w:sz w:val="20"/>
              </w:rPr>
              <w:t>56.8</w:t>
            </w:r>
          </w:p>
        </w:tc>
      </w:tr>
      <w:tr>
        <w:tc>
          <w:tcPr>
            <w:tcW w:type="dxa" w:w="3168"/>
            <w:shd w:val="clear" w:color="auto" w:fill="F5F6F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EBITDA ($M)</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1,210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1,405</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1,580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1,820</w:t>
            </w:r>
          </w:p>
        </w:tc>
      </w:tr>
      <w:tr>
        <w:tc>
          <w:tcPr>
            <w:tcW w:type="dxa" w:w="316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EBITDA 利润率 (%)</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25.2</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26.9</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27.5</w:t>
            </w:r>
          </w:p>
        </w:tc>
        <w:tc>
          <w:tcPr>
            <w:tcW w:type="dxa" w:w="154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27.9</w:t>
            </w:r>
          </w:p>
        </w:tc>
      </w:tr>
      <w:tr>
        <w:tc>
          <w:tcPr>
            <w:tcW w:type="dxa" w:w="3168"/>
            <w:shd w:val="clear" w:color="auto" w:fill="F5F6F8"/>
            <w:tcBorders>
              <w:top w:val="single" w:sz="2" w:space="0" w:color="D4D4D4"/>
              <w:bottom w:val="single" w:sz="2" w:space="0" w:color="D4D4D4"/>
              <w:left w:val="single" w:sz="2" w:space="0" w:color="D4D4D4"/>
              <w:right w:val="single" w:sz="2" w:space="0" w:color="D4D4D4"/>
            </w:tcBorders>
          </w:tcPr>
          <w:p>
            <w:pPr>
              <w:jc w:val="left"/>
            </w:pPr>
            <w:r>
              <w:rPr>
                <w:rFonts w:ascii="Arial" w:hAnsi="Arial" w:eastAsia="微软雅黑"/>
                <w:b w:val="0"/>
                <w:i w:val="0"/>
                <w:color w:val="251A1A"/>
                <w:sz w:val="20"/>
              </w:rPr>
              <w:t>CAPEX ($M)</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(620)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(780)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(910)</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Pr>
          <w:p>
            <w:pPr>
              <w:jc w:val="right"/>
            </w:pPr>
            <w:r>
              <w:rPr>
                <w:rFonts w:ascii="Arial" w:hAnsi="Arial" w:eastAsia="微软雅黑"/>
                <w:b w:val="0"/>
                <w:i w:val="0"/>
                <w:color w:val="251A1A"/>
                <w:sz w:val="20"/>
              </w:rPr>
              <w:t>(1,050)</w:t>
            </w:r>
          </w:p>
        </w:tc>
      </w:tr>
      <w:tr>
        <w:tc>
          <w:tcPr>
            <w:tcW w:type="dxa" w:w="316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left"/>
            </w:pPr>
            <w:r>
              <w:rPr>
                <w:rFonts w:ascii="Arial" w:hAnsi="Arial" w:eastAsia="微软雅黑"/>
                <w:b/>
                <w:i w:val="0"/>
                <w:color w:val="0B2C5C"/>
                <w:sz w:val="20"/>
              </w:rPr>
              <w:t>调整后 EPS ($)</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right"/>
            </w:pPr>
            <w:r>
              <w:rPr>
                <w:rFonts w:ascii="Arial" w:hAnsi="Arial" w:eastAsia="微软雅黑"/>
                <w:b/>
                <w:i w:val="0"/>
                <w:color w:val="0B2C5C"/>
                <w:sz w:val="20"/>
              </w:rPr>
              <w:t>2.12</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right"/>
            </w:pPr>
            <w:r>
              <w:rPr>
                <w:rFonts w:ascii="Arial" w:hAnsi="Arial" w:eastAsia="微软雅黑"/>
                <w:b/>
                <w:i w:val="0"/>
                <w:color w:val="0B2C5C"/>
                <w:sz w:val="20"/>
              </w:rPr>
              <w:t>2.48</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right"/>
            </w:pPr>
            <w:r>
              <w:rPr>
                <w:rFonts w:ascii="Arial" w:hAnsi="Arial" w:eastAsia="微软雅黑"/>
                <w:b/>
                <w:i w:val="0"/>
                <w:color w:val="0B2C5C"/>
                <w:sz w:val="20"/>
              </w:rPr>
              <w:t>2.91</w:t>
            </w:r>
          </w:p>
        </w:tc>
        <w:tc>
          <w:tcPr>
            <w:tcW w:type="dxa" w:w="1548"/>
            <w:shd w:val="clear" w:color="auto" w:fill="F5F6F8"/>
            <w:tcBorders>
              <w:top w:val="single" w:sz="2" w:space="0" w:color="D4D4D4"/>
              <w:bottom w:val="single" w:sz="2" w:space="0" w:color="D4D4D4"/>
              <w:left w:val="single" w:sz="2" w:space="0" w:color="D4D4D4"/>
              <w:right w:val="single" w:sz="2" w:space="0" w:color="D4D4D4"/>
            </w:tcBorders>
            <w:tcBorders>
              <w:bottom w:val="single" w:sz="16" w:space="0" w:color="0B2C5C"/>
            </w:tcBorders>
          </w:tcPr>
          <w:p>
            <w:pPr>
              <w:jc w:val="right"/>
            </w:pPr>
            <w:r>
              <w:rPr>
                <w:rFonts w:ascii="Arial" w:hAnsi="Arial" w:eastAsia="微软雅黑"/>
                <w:b/>
                <w:i w:val="0"/>
                <w:color w:val="0B2C5C"/>
                <w:sz w:val="20"/>
              </w:rPr>
              <w:t>3.38</w:t>
            </w:r>
          </w:p>
        </w:tc>
      </w:tr>
    </w:tbl>
    <w:p>
      <w:r>
        <w:rPr>
          <w:rFonts w:ascii="Arial" w:hAnsi="Arial" w:eastAsia="微软雅黑"/>
          <w:b w:val="0"/>
          <w:i/>
          <w:color w:val="666666"/>
          <w:sz w:val="18"/>
        </w:rPr>
        <w:t>Source: Morgan Stanley Research.</w:t>
      </w:r>
    </w:p>
    <w:p>
      <w:r>
        <w:br w:type="page"/>
      </w:r>
    </w:p>
    <w:p>
      <w:pPr>
        <w:pStyle w:val="Heading1"/>
      </w:pPr>
      <w:r>
        <w:rPr>
          <w:rFonts w:ascii="Arial" w:hAnsi="Arial" w:eastAsia="微软雅黑"/>
          <w:b/>
          <w:i w:val="0"/>
          <w:color w:val="00559F"/>
          <w:sz w:val="36"/>
        </w:rPr>
        <w:t>财务图表 / Financial Charts</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
      <w:r>
        <w:rPr>
          <w:rFonts w:ascii="Arial" w:hAnsi="Arial" w:eastAsia="微软雅黑"/>
          <w:b/>
          <w:i w:val="0"/>
          <w:color w:val="00559F"/>
          <w:sz w:val="26"/>
        </w:rPr>
        <w:t>Exhibit 1: 收入与 EBITDA 对比</w:t>
      </w:r>
    </w:p>
    <w:p>
      <w:r>
        <w:drawing>
          <wp:inline xmlns:a="http://schemas.openxmlformats.org/drawingml/2006/main" xmlns:pic="http://schemas.openxmlformats.org/drawingml/2006/picture">
            <wp:extent cx="5669280" cy="3366826"/>
            <wp:docPr id="1" name="Picture 1"/>
            <wp:cNvGraphicFramePr>
              <a:graphicFrameLocks noChangeAspect="1"/>
            </wp:cNvGraphicFramePr>
            <a:graphic>
              <a:graphicData uri="http://schemas.openxmlformats.org/drawingml/2006/picture">
                <pic:pic>
                  <pic:nvPicPr>
                    <pic:cNvPr id="0" name="ms_chart_dke2nvji.png"/>
                    <pic:cNvPicPr/>
                  </pic:nvPicPr>
                  <pic:blipFill>
                    <a:blip r:embed="rId9"/>
                    <a:stretch>
                      <a:fillRect/>
                    </a:stretch>
                  </pic:blipFill>
                  <pic:spPr>
                    <a:xfrm>
                      <a:off x="0" y="0"/>
                      <a:ext cx="5669280" cy="3366826"/>
                    </a:xfrm>
                    <a:prstGeom prst="rect"/>
                  </pic:spPr>
                </pic:pic>
              </a:graphicData>
            </a:graphic>
          </wp:inline>
        </w:drawing>
      </w:r>
    </w:p>
    <w:p/>
    <w:p>
      <w:r>
        <w:rPr>
          <w:rFonts w:ascii="Arial" w:hAnsi="Arial" w:eastAsia="微软雅黑"/>
          <w:b/>
          <w:i w:val="0"/>
          <w:color w:val="00559F"/>
          <w:sz w:val="26"/>
        </w:rPr>
        <w:t>Exhibit 2: 利润率趋势</w:t>
      </w:r>
    </w:p>
    <w:p>
      <w:r>
        <w:drawing>
          <wp:inline xmlns:a="http://schemas.openxmlformats.org/drawingml/2006/main" xmlns:pic="http://schemas.openxmlformats.org/drawingml/2006/picture">
            <wp:extent cx="5669280" cy="3366826"/>
            <wp:docPr id="2" name="Picture 2"/>
            <wp:cNvGraphicFramePr>
              <a:graphicFrameLocks noChangeAspect="1"/>
            </wp:cNvGraphicFramePr>
            <a:graphic>
              <a:graphicData uri="http://schemas.openxmlformats.org/drawingml/2006/picture">
                <pic:pic>
                  <pic:nvPicPr>
                    <pic:cNvPr id="0" name="ms_chart_d6h9fqwx.png"/>
                    <pic:cNvPicPr/>
                  </pic:nvPicPr>
                  <pic:blipFill>
                    <a:blip r:embed="rId10"/>
                    <a:stretch>
                      <a:fillRect/>
                    </a:stretch>
                  </pic:blipFill>
                  <pic:spPr>
                    <a:xfrm>
                      <a:off x="0" y="0"/>
                      <a:ext cx="5669280" cy="3366826"/>
                    </a:xfrm>
                    <a:prstGeom prst="rect"/>
                  </pic:spPr>
                </pic:pic>
              </a:graphicData>
            </a:graphic>
          </wp:inline>
        </w:drawing>
      </w:r>
    </w:p>
    <w:p/>
    <w:p>
      <w:r>
        <w:br w:type="page"/>
      </w:r>
    </w:p>
    <w:p>
      <w:pPr>
        <w:pStyle w:val="Heading1"/>
      </w:pPr>
      <w:r>
        <w:rPr>
          <w:rFonts w:ascii="Arial" w:hAnsi="Arial" w:eastAsia="微软雅黑"/>
          <w:b/>
          <w:i w:val="0"/>
          <w:color w:val="0B2C5C"/>
          <w:sz w:val="40"/>
        </w:rPr>
        <w:t>评级总表 / Rating Summary</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0B2C5C"/>
          </w:tcPr>
          <w:p>
            <w:r>
              <w:rPr>
                <w:rFonts w:ascii="Arial" w:hAnsi="Arial" w:eastAsia="微软雅黑"/>
                <w:b/>
                <w:i w:val="0"/>
                <w:color w:val="FFFFFF"/>
                <w:sz w:val="20"/>
              </w:rPr>
              <w:t>Ticker</w:t>
            </w:r>
          </w:p>
        </w:tc>
        <w:tc>
          <w:tcPr>
            <w:tcW w:type="dxa" w:w="1987"/>
            <w:shd w:val="clear" w:color="auto" w:fill="0B2C5C"/>
          </w:tcPr>
          <w:p>
            <w:r>
              <w:rPr>
                <w:rFonts w:ascii="Arial" w:hAnsi="Arial" w:eastAsia="微软雅黑"/>
                <w:b/>
                <w:i w:val="0"/>
                <w:color w:val="FFFFFF"/>
                <w:sz w:val="20"/>
              </w:rPr>
              <w:t>Rating</w:t>
            </w:r>
          </w:p>
        </w:tc>
        <w:tc>
          <w:tcPr>
            <w:tcW w:type="dxa" w:w="1987"/>
            <w:shd w:val="clear" w:color="auto" w:fill="0B2C5C"/>
          </w:tcPr>
          <w:p>
            <w:r>
              <w:rPr>
                <w:rFonts w:ascii="Arial" w:hAnsi="Arial" w:eastAsia="微软雅黑"/>
                <w:b/>
                <w:i w:val="0"/>
                <w:color w:val="FFFFFF"/>
                <w:sz w:val="20"/>
              </w:rPr>
              <w:t>Last Close</w:t>
            </w:r>
          </w:p>
        </w:tc>
        <w:tc>
          <w:tcPr>
            <w:tcW w:type="dxa" w:w="1987"/>
            <w:shd w:val="clear" w:color="auto" w:fill="0B2C5C"/>
          </w:tcPr>
          <w:p>
            <w:r>
              <w:rPr>
                <w:rFonts w:ascii="Arial" w:hAnsi="Arial" w:eastAsia="微软雅黑"/>
                <w:b/>
                <w:i w:val="0"/>
                <w:color w:val="FFFFFF"/>
                <w:sz w:val="20"/>
              </w:rPr>
              <w:t>Company</w:t>
            </w:r>
          </w:p>
        </w:tc>
        <w:tc>
          <w:tcPr>
            <w:tcW w:type="dxa" w:w="1987"/>
            <w:shd w:val="clear" w:color="auto" w:fill="0B2C5C"/>
          </w:tcPr>
          <w:p>
            <w:r>
              <w:rPr>
                <w:rFonts w:ascii="Arial" w:hAnsi="Arial" w:eastAsia="微软雅黑"/>
                <w:b/>
                <w:i w:val="0"/>
                <w:color w:val="FFFFFF"/>
                <w:sz w:val="20"/>
              </w:rPr>
              <w:t>Reason</w:t>
            </w:r>
          </w:p>
        </w:tc>
      </w:tr>
      <w:tr>
        <w:tc>
          <w:tcPr>
            <w:tcW w:type="dxa" w:w="1987"/>
          </w:tcPr>
          <w:p>
            <w:r>
              <w:rPr>
                <w:rFonts w:ascii="Arial" w:hAnsi="Arial" w:eastAsia="微软雅黑"/>
                <w:b w:val="0"/>
                <w:i w:val="0"/>
                <w:color w:val="251A1A"/>
                <w:sz w:val="20"/>
              </w:rPr>
              <w:t>NVDA.O</w:t>
            </w:r>
          </w:p>
        </w:tc>
        <w:tc>
          <w:tcPr>
            <w:tcW w:type="dxa" w:w="1987"/>
          </w:tcPr>
          <w:p>
            <w:r>
              <w:rPr>
                <w:rFonts w:ascii="Arial" w:hAnsi="Arial" w:eastAsia="微软雅黑"/>
                <w:b/>
                <w:i w:val="0"/>
                <w:color w:val="1F7A3E"/>
                <w:sz w:val="20"/>
              </w:rPr>
              <w:t>OW</w:t>
            </w:r>
          </w:p>
        </w:tc>
        <w:tc>
          <w:tcPr>
            <w:tcW w:type="dxa" w:w="1987"/>
          </w:tcPr>
          <w:p>
            <w:r>
              <w:rPr>
                <w:rFonts w:ascii="Arial" w:hAnsi="Arial" w:eastAsia="微软雅黑"/>
                <w:b w:val="0"/>
                <w:i w:val="0"/>
                <w:color w:val="251A1A"/>
                <w:sz w:val="20"/>
              </w:rPr>
              <w:t>198.35</w:t>
            </w:r>
          </w:p>
        </w:tc>
        <w:tc>
          <w:tcPr>
            <w:tcW w:type="dxa" w:w="1987"/>
          </w:tcPr>
          <w:p>
            <w:r>
              <w:rPr>
                <w:rFonts w:ascii="Arial" w:hAnsi="Arial" w:eastAsia="微软雅黑"/>
                <w:b w:val="0"/>
                <w:i w:val="0"/>
                <w:color w:val="251A1A"/>
                <w:sz w:val="20"/>
              </w:rPr>
              <w:t>Nvidia</w:t>
            </w:r>
          </w:p>
        </w:tc>
        <w:tc>
          <w:tcPr>
            <w:tcW w:type="dxa" w:w="1987"/>
          </w:tcPr>
          <w:p>
            <w:r>
              <w:rPr>
                <w:rFonts w:ascii="Arial" w:hAnsi="Arial" w:eastAsia="微软雅黑"/>
                <w:b w:val="0"/>
                <w:i w:val="0"/>
                <w:color w:val="251A1A"/>
                <w:sz w:val="20"/>
              </w:rPr>
              <w:t>AI compute leader</w:t>
            </w:r>
          </w:p>
        </w:tc>
      </w:tr>
      <w:tr>
        <w:tc>
          <w:tcPr>
            <w:tcW w:type="dxa" w:w="1987"/>
            <w:shd w:val="clear" w:color="auto" w:fill="F5F6F8"/>
          </w:tcPr>
          <w:p>
            <w:r>
              <w:rPr>
                <w:rFonts w:ascii="Arial" w:hAnsi="Arial" w:eastAsia="微软雅黑"/>
                <w:b w:val="0"/>
                <w:i w:val="0"/>
                <w:color w:val="251A1A"/>
                <w:sz w:val="20"/>
              </w:rPr>
              <w:t>AVGO.O</w:t>
            </w:r>
          </w:p>
        </w:tc>
        <w:tc>
          <w:tcPr>
            <w:tcW w:type="dxa" w:w="1987"/>
            <w:shd w:val="clear" w:color="auto" w:fill="F5F6F8"/>
          </w:tcPr>
          <w:p>
            <w:r>
              <w:rPr>
                <w:rFonts w:ascii="Arial" w:hAnsi="Arial" w:eastAsia="微软雅黑"/>
                <w:b/>
                <w:i w:val="0"/>
                <w:color w:val="1F7A3E"/>
                <w:sz w:val="20"/>
              </w:rPr>
              <w:t>OW</w:t>
            </w:r>
          </w:p>
        </w:tc>
        <w:tc>
          <w:tcPr>
            <w:tcW w:type="dxa" w:w="1987"/>
            <w:shd w:val="clear" w:color="auto" w:fill="F5F6F8"/>
          </w:tcPr>
          <w:p>
            <w:r>
              <w:rPr>
                <w:rFonts w:ascii="Arial" w:hAnsi="Arial" w:eastAsia="微软雅黑"/>
                <w:b w:val="0"/>
                <w:i w:val="0"/>
                <w:color w:val="251A1A"/>
                <w:sz w:val="20"/>
              </w:rPr>
              <w:t>82.10</w:t>
            </w:r>
          </w:p>
        </w:tc>
        <w:tc>
          <w:tcPr>
            <w:tcW w:type="dxa" w:w="1987"/>
            <w:shd w:val="clear" w:color="auto" w:fill="F5F6F8"/>
          </w:tcPr>
          <w:p>
            <w:r>
              <w:rPr>
                <w:rFonts w:ascii="Arial" w:hAnsi="Arial" w:eastAsia="微软雅黑"/>
                <w:b w:val="0"/>
                <w:i w:val="0"/>
                <w:color w:val="251A1A"/>
                <w:sz w:val="20"/>
              </w:rPr>
              <w:t>Broadcom</w:t>
            </w:r>
          </w:p>
        </w:tc>
        <w:tc>
          <w:tcPr>
            <w:tcW w:type="dxa" w:w="1987"/>
            <w:shd w:val="clear" w:color="auto" w:fill="F5F6F8"/>
          </w:tcPr>
          <w:p>
            <w:r>
              <w:rPr>
                <w:rFonts w:ascii="Arial" w:hAnsi="Arial" w:eastAsia="微软雅黑"/>
                <w:b w:val="0"/>
                <w:i w:val="0"/>
                <w:color w:val="251A1A"/>
                <w:sz w:val="20"/>
              </w:rPr>
              <w:t>Custom ASIC leverage</w:t>
            </w:r>
          </w:p>
        </w:tc>
      </w:tr>
      <w:tr>
        <w:tc>
          <w:tcPr>
            <w:tcW w:type="dxa" w:w="1987"/>
          </w:tcPr>
          <w:p>
            <w:r>
              <w:rPr>
                <w:rFonts w:ascii="Arial" w:hAnsi="Arial" w:eastAsia="微软雅黑"/>
                <w:b w:val="0"/>
                <w:i w:val="0"/>
                <w:color w:val="251A1A"/>
                <w:sz w:val="20"/>
              </w:rPr>
              <w:t>AMD.O</w:t>
            </w:r>
          </w:p>
        </w:tc>
        <w:tc>
          <w:tcPr>
            <w:tcW w:type="dxa" w:w="1987"/>
          </w:tcPr>
          <w:p>
            <w:r>
              <w:rPr>
                <w:rFonts w:ascii="Arial" w:hAnsi="Arial" w:eastAsia="微软雅黑"/>
                <w:b/>
                <w:i w:val="0"/>
                <w:color w:val="D97706"/>
                <w:sz w:val="20"/>
              </w:rPr>
              <w:t>EW</w:t>
            </w:r>
          </w:p>
        </w:tc>
        <w:tc>
          <w:tcPr>
            <w:tcW w:type="dxa" w:w="1987"/>
          </w:tcPr>
          <w:p>
            <w:r>
              <w:rPr>
                <w:rFonts w:ascii="Arial" w:hAnsi="Arial" w:eastAsia="微软雅黑"/>
                <w:b w:val="0"/>
                <w:i w:val="0"/>
                <w:color w:val="251A1A"/>
                <w:sz w:val="20"/>
              </w:rPr>
              <w:t>162.40</w:t>
            </w:r>
          </w:p>
        </w:tc>
        <w:tc>
          <w:tcPr>
            <w:tcW w:type="dxa" w:w="1987"/>
          </w:tcPr>
          <w:p>
            <w:r>
              <w:rPr>
                <w:rFonts w:ascii="Arial" w:hAnsi="Arial" w:eastAsia="微软雅黑"/>
                <w:b w:val="0"/>
                <w:i w:val="0"/>
                <w:color w:val="251A1A"/>
                <w:sz w:val="20"/>
              </w:rPr>
              <w:t>AMD</w:t>
            </w:r>
          </w:p>
        </w:tc>
        <w:tc>
          <w:tcPr>
            <w:tcW w:type="dxa" w:w="1987"/>
          </w:tcPr>
          <w:p>
            <w:r>
              <w:rPr>
                <w:rFonts w:ascii="Arial" w:hAnsi="Arial" w:eastAsia="微软雅黑"/>
                <w:b w:val="0"/>
                <w:i w:val="0"/>
                <w:color w:val="251A1A"/>
                <w:sz w:val="20"/>
              </w:rPr>
              <w:t>Balanced mix</w:t>
            </w:r>
          </w:p>
        </w:tc>
      </w:tr>
      <w:tr>
        <w:tc>
          <w:tcPr>
            <w:tcW w:type="dxa" w:w="1987"/>
            <w:shd w:val="clear" w:color="auto" w:fill="F5F6F8"/>
          </w:tcPr>
          <w:p>
            <w:r>
              <w:rPr>
                <w:rFonts w:ascii="Arial" w:hAnsi="Arial" w:eastAsia="微软雅黑"/>
                <w:b w:val="0"/>
                <w:i w:val="0"/>
                <w:color w:val="251A1A"/>
                <w:sz w:val="20"/>
              </w:rPr>
              <w:t>INTC.O</w:t>
            </w:r>
          </w:p>
        </w:tc>
        <w:tc>
          <w:tcPr>
            <w:tcW w:type="dxa" w:w="1987"/>
            <w:shd w:val="clear" w:color="auto" w:fill="F5F6F8"/>
          </w:tcPr>
          <w:p>
            <w:r>
              <w:rPr>
                <w:rFonts w:ascii="Arial" w:hAnsi="Arial" w:eastAsia="微软雅黑"/>
                <w:b/>
                <w:i w:val="0"/>
                <w:color w:val="B91C1C"/>
                <w:sz w:val="20"/>
              </w:rPr>
              <w:t>UW</w:t>
            </w:r>
          </w:p>
        </w:tc>
        <w:tc>
          <w:tcPr>
            <w:tcW w:type="dxa" w:w="1987"/>
            <w:shd w:val="clear" w:color="auto" w:fill="F5F6F8"/>
          </w:tcPr>
          <w:p>
            <w:r>
              <w:rPr>
                <w:rFonts w:ascii="Arial" w:hAnsi="Arial" w:eastAsia="微软雅黑"/>
                <w:b w:val="0"/>
                <w:i w:val="0"/>
                <w:color w:val="251A1A"/>
                <w:sz w:val="20"/>
              </w:rPr>
              <w:t>31.15</w:t>
            </w:r>
          </w:p>
        </w:tc>
        <w:tc>
          <w:tcPr>
            <w:tcW w:type="dxa" w:w="1987"/>
            <w:shd w:val="clear" w:color="auto" w:fill="F5F6F8"/>
          </w:tcPr>
          <w:p>
            <w:r>
              <w:rPr>
                <w:rFonts w:ascii="Arial" w:hAnsi="Arial" w:eastAsia="微软雅黑"/>
                <w:b w:val="0"/>
                <w:i w:val="0"/>
                <w:color w:val="251A1A"/>
                <w:sz w:val="20"/>
              </w:rPr>
              <w:t>Intel</w:t>
            </w:r>
          </w:p>
        </w:tc>
        <w:tc>
          <w:tcPr>
            <w:tcW w:type="dxa" w:w="1987"/>
            <w:shd w:val="clear" w:color="auto" w:fill="F5F6F8"/>
          </w:tcPr>
          <w:p>
            <w:r>
              <w:rPr>
                <w:rFonts w:ascii="Arial" w:hAnsi="Arial" w:eastAsia="微软雅黑"/>
                <w:b w:val="0"/>
                <w:i w:val="0"/>
                <w:color w:val="251A1A"/>
                <w:sz w:val="20"/>
              </w:rPr>
              <w:t>Foundry drag</w:t>
            </w:r>
          </w:p>
        </w:tc>
      </w:tr>
    </w:tbl>
    <w:p>
      <w:r>
        <w:br w:type="page"/>
      </w:r>
    </w:p>
    <w:p>
      <w:pPr>
        <w:pStyle w:val="Heading1"/>
      </w:pPr>
      <w:r>
        <w:rPr>
          <w:rFonts w:ascii="Arial" w:hAnsi="Arial" w:eastAsia="微软雅黑"/>
          <w:b/>
          <w:i w:val="0"/>
          <w:color w:val="0B2C5C"/>
          <w:sz w:val="40"/>
        </w:rPr>
        <w:t>60 铲子股行业列表 / Shovel Stocks Universe</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tbl>
      <w:tblPr>
        <w:tblW w:type="auto" w:w="0"/>
        <w:jc w:val="left"/>
        <w:tblLook w:firstColumn="1" w:firstRow="1" w:lastColumn="0" w:lastRow="0" w:noHBand="0" w:noVBand="1" w:val="04A0"/>
      </w:tblPr>
      <w:tblGrid>
        <w:gridCol w:w="1419"/>
        <w:gridCol w:w="1419"/>
        <w:gridCol w:w="1419"/>
        <w:gridCol w:w="1419"/>
        <w:gridCol w:w="1419"/>
        <w:gridCol w:w="1419"/>
        <w:gridCol w:w="1419"/>
      </w:tblGrid>
      <w:tr>
        <w:tc>
          <w:tcPr>
            <w:tcW w:type="dxa" w:w="576"/>
            <w:shd w:val="clear" w:color="auto" w:fill="0B2C5C"/>
          </w:tcPr>
          <w:p>
            <w:r>
              <w:rPr>
                <w:rFonts w:ascii="Arial" w:hAnsi="Arial" w:eastAsia="微软雅黑"/>
                <w:b/>
                <w:i w:val="0"/>
                <w:color w:val="FFFFFF"/>
                <w:sz w:val="20"/>
              </w:rPr>
              <w:t>#</w:t>
            </w:r>
          </w:p>
        </w:tc>
        <w:tc>
          <w:tcPr>
            <w:tcW w:type="dxa" w:w="2304"/>
            <w:shd w:val="clear" w:color="auto" w:fill="0B2C5C"/>
          </w:tcPr>
          <w:p>
            <w:r>
              <w:rPr>
                <w:rFonts w:ascii="Arial" w:hAnsi="Arial" w:eastAsia="微软雅黑"/>
                <w:b/>
                <w:i w:val="0"/>
                <w:color w:val="FFFFFF"/>
                <w:sz w:val="20"/>
              </w:rPr>
              <w:t>公司 / Company</w:t>
            </w:r>
          </w:p>
        </w:tc>
        <w:tc>
          <w:tcPr>
            <w:tcW w:type="dxa" w:w="1296"/>
            <w:shd w:val="clear" w:color="auto" w:fill="0B2C5C"/>
          </w:tcPr>
          <w:p>
            <w:r>
              <w:rPr>
                <w:rFonts w:ascii="Arial" w:hAnsi="Arial" w:eastAsia="微软雅黑"/>
                <w:b/>
                <w:i w:val="0"/>
                <w:color w:val="FFFFFF"/>
                <w:sz w:val="20"/>
              </w:rPr>
              <w:t>Ticker</w:t>
            </w:r>
          </w:p>
        </w:tc>
        <w:tc>
          <w:tcPr>
            <w:tcW w:type="dxa" w:w="1872"/>
            <w:shd w:val="clear" w:color="auto" w:fill="0B2C5C"/>
          </w:tcPr>
          <w:p>
            <w:r>
              <w:rPr>
                <w:rFonts w:ascii="Arial" w:hAnsi="Arial" w:eastAsia="微软雅黑"/>
                <w:b/>
                <w:i w:val="0"/>
                <w:color w:val="FFFFFF"/>
                <w:sz w:val="20"/>
              </w:rPr>
              <w:t>核心产品 / Product</w:t>
            </w:r>
          </w:p>
        </w:tc>
        <w:tc>
          <w:tcPr>
            <w:tcW w:type="dxa" w:w="1440"/>
            <w:shd w:val="clear" w:color="auto" w:fill="0B2C5C"/>
          </w:tcPr>
          <w:p>
            <w:r>
              <w:rPr>
                <w:rFonts w:ascii="Arial" w:hAnsi="Arial" w:eastAsia="微软雅黑"/>
                <w:b/>
                <w:i w:val="0"/>
                <w:color w:val="FFFFFF"/>
                <w:sz w:val="20"/>
              </w:rPr>
              <w:t>分析师 / Analyst</w:t>
            </w:r>
          </w:p>
        </w:tc>
        <w:tc>
          <w:tcPr>
            <w:tcW w:type="dxa" w:w="1152"/>
            <w:shd w:val="clear" w:color="auto" w:fill="0B2C5C"/>
          </w:tcPr>
          <w:p>
            <w:r>
              <w:rPr>
                <w:rFonts w:ascii="Arial" w:hAnsi="Arial" w:eastAsia="微软雅黑"/>
                <w:b/>
                <w:i w:val="0"/>
                <w:color w:val="FFFFFF"/>
                <w:sz w:val="20"/>
              </w:rPr>
              <w:t>市值 ($mn)</w:t>
            </w:r>
          </w:p>
        </w:tc>
        <w:tc>
          <w:tcPr>
            <w:tcW w:type="dxa" w:w="1152"/>
            <w:shd w:val="clear" w:color="auto" w:fill="0B2C5C"/>
          </w:tcPr>
          <w:p>
            <w:r>
              <w:rPr>
                <w:rFonts w:ascii="Arial" w:hAnsi="Arial" w:eastAsia="微软雅黑"/>
                <w:b/>
                <w:i w:val="0"/>
                <w:color w:val="FFFFFF"/>
                <w:sz w:val="20"/>
              </w:rPr>
              <w:t>1年回报 (%)</w:t>
            </w:r>
          </w:p>
        </w:tc>
      </w:tr>
      <w:tr>
        <w:tc>
          <w:tcPr>
            <w:tcW w:type="dxa" w:w="576"/>
          </w:tcPr>
          <w:p>
            <w:r>
              <w:rPr>
                <w:rFonts w:ascii="Arial" w:hAnsi="Arial" w:eastAsia="微软雅黑"/>
                <w:b w:val="0"/>
                <w:i w:val="0"/>
                <w:color w:val="251A1A"/>
                <w:sz w:val="20"/>
              </w:rPr>
              <w:t>1</w:t>
            </w:r>
          </w:p>
        </w:tc>
        <w:tc>
          <w:tcPr>
            <w:tcW w:type="dxa" w:w="2304"/>
          </w:tcPr>
          <w:p>
            <w:r>
              <w:rPr>
                <w:rFonts w:ascii="Arial" w:hAnsi="Arial" w:eastAsia="微软雅黑"/>
                <w:b w:val="0"/>
                <w:i w:val="0"/>
                <w:color w:val="251A1A"/>
                <w:sz w:val="20"/>
              </w:rPr>
              <w:t>Nvidia</w:t>
            </w:r>
          </w:p>
        </w:tc>
        <w:tc>
          <w:tcPr>
            <w:tcW w:type="dxa" w:w="1296"/>
          </w:tcPr>
          <w:p>
            <w:r>
              <w:rPr>
                <w:rFonts w:ascii="Arial" w:hAnsi="Arial" w:eastAsia="微软雅黑"/>
                <w:b w:val="0"/>
                <w:i w:val="0"/>
                <w:color w:val="251A1A"/>
                <w:sz w:val="20"/>
              </w:rPr>
              <w:t>NVDA</w:t>
            </w:r>
          </w:p>
        </w:tc>
        <w:tc>
          <w:tcPr>
            <w:tcW w:type="dxa" w:w="1872"/>
          </w:tcPr>
          <w:p>
            <w:r>
              <w:rPr>
                <w:rFonts w:ascii="Arial" w:hAnsi="Arial" w:eastAsia="微软雅黑"/>
                <w:b w:val="0"/>
                <w:i w:val="0"/>
                <w:color w:val="251A1A"/>
                <w:sz w:val="20"/>
              </w:rPr>
              <w:t>H200 / B200 GPU</w:t>
            </w:r>
          </w:p>
        </w:tc>
        <w:tc>
          <w:tcPr>
            <w:tcW w:type="dxa" w:w="1440"/>
          </w:tcPr>
          <w:p>
            <w:r>
              <w:rPr>
                <w:rFonts w:ascii="Arial" w:hAnsi="Arial" w:eastAsia="微软雅黑"/>
                <w:b w:val="0"/>
                <w:i w:val="0"/>
                <w:color w:val="251A1A"/>
                <w:sz w:val="20"/>
              </w:rPr>
              <w:t>E. Lee</w:t>
            </w:r>
          </w:p>
        </w:tc>
        <w:tc>
          <w:tcPr>
            <w:tcW w:type="dxa" w:w="1152"/>
          </w:tcPr>
          <w:p>
            <w:pPr>
              <w:jc w:val="right"/>
            </w:pPr>
            <w:r>
              <w:rPr>
                <w:rFonts w:ascii="Arial" w:hAnsi="Arial" w:eastAsia="微软雅黑"/>
                <w:b w:val="0"/>
                <w:i w:val="0"/>
                <w:color w:val="251A1A"/>
                <w:sz w:val="20"/>
              </w:rPr>
              <w:t>2,400,000.0</w:t>
            </w:r>
          </w:p>
        </w:tc>
        <w:tc>
          <w:tcPr>
            <w:tcW w:type="dxa" w:w="1152"/>
            <w:shd w:val="clear" w:color="auto" w:fill="D97706"/>
          </w:tcPr>
          <w:p>
            <w:pPr>
              <w:jc w:val="right"/>
            </w:pPr>
            <w:r>
              <w:rPr>
                <w:rFonts w:ascii="Arial" w:hAnsi="Arial" w:eastAsia="微软雅黑"/>
                <w:b/>
                <w:i w:val="0"/>
                <w:color w:val="FFFFFF"/>
                <w:sz w:val="20"/>
              </w:rPr>
              <w:t>+112.30%</w:t>
            </w:r>
          </w:p>
        </w:tc>
      </w:tr>
      <w:tr>
        <w:tc>
          <w:tcPr>
            <w:tcW w:type="dxa" w:w="576"/>
            <w:shd w:val="clear" w:color="auto" w:fill="F5F6F8"/>
          </w:tcPr>
          <w:p>
            <w:r>
              <w:rPr>
                <w:rFonts w:ascii="Arial" w:hAnsi="Arial" w:eastAsia="微软雅黑"/>
                <w:b w:val="0"/>
                <w:i w:val="0"/>
                <w:color w:val="251A1A"/>
                <w:sz w:val="20"/>
              </w:rPr>
              <w:t>2</w:t>
            </w:r>
          </w:p>
        </w:tc>
        <w:tc>
          <w:tcPr>
            <w:tcW w:type="dxa" w:w="2304"/>
            <w:shd w:val="clear" w:color="auto" w:fill="F5F6F8"/>
          </w:tcPr>
          <w:p>
            <w:r>
              <w:rPr>
                <w:rFonts w:ascii="Arial" w:hAnsi="Arial" w:eastAsia="微软雅黑"/>
                <w:b w:val="0"/>
                <w:i w:val="0"/>
                <w:color w:val="251A1A"/>
                <w:sz w:val="20"/>
              </w:rPr>
              <w:t>Broadcom</w:t>
            </w:r>
          </w:p>
        </w:tc>
        <w:tc>
          <w:tcPr>
            <w:tcW w:type="dxa" w:w="1296"/>
            <w:shd w:val="clear" w:color="auto" w:fill="F5F6F8"/>
          </w:tcPr>
          <w:p>
            <w:r>
              <w:rPr>
                <w:rFonts w:ascii="Arial" w:hAnsi="Arial" w:eastAsia="微软雅黑"/>
                <w:b w:val="0"/>
                <w:i w:val="0"/>
                <w:color w:val="251A1A"/>
                <w:sz w:val="20"/>
              </w:rPr>
              <w:t>AVGO</w:t>
            </w:r>
          </w:p>
        </w:tc>
        <w:tc>
          <w:tcPr>
            <w:tcW w:type="dxa" w:w="1872"/>
            <w:shd w:val="clear" w:color="auto" w:fill="F5F6F8"/>
          </w:tcPr>
          <w:p>
            <w:r>
              <w:rPr>
                <w:rFonts w:ascii="Arial" w:hAnsi="Arial" w:eastAsia="微软雅黑"/>
                <w:b w:val="0"/>
                <w:i w:val="0"/>
                <w:color w:val="251A1A"/>
                <w:sz w:val="20"/>
              </w:rPr>
              <w:t>Custom AI ASIC</w:t>
            </w:r>
          </w:p>
        </w:tc>
        <w:tc>
          <w:tcPr>
            <w:tcW w:type="dxa" w:w="1440"/>
            <w:shd w:val="clear" w:color="auto" w:fill="F5F6F8"/>
          </w:tcPr>
          <w:p>
            <w:r>
              <w:rPr>
                <w:rFonts w:ascii="Arial" w:hAnsi="Arial" w:eastAsia="微软雅黑"/>
                <w:b w:val="0"/>
                <w:i w:val="0"/>
                <w:color w:val="251A1A"/>
                <w:sz w:val="20"/>
              </w:rPr>
              <w:t>K. Wu</w:t>
            </w:r>
          </w:p>
        </w:tc>
        <w:tc>
          <w:tcPr>
            <w:tcW w:type="dxa" w:w="1152"/>
            <w:shd w:val="clear" w:color="auto" w:fill="F5F6F8"/>
          </w:tcPr>
          <w:p>
            <w:pPr>
              <w:jc w:val="right"/>
            </w:pPr>
            <w:r>
              <w:rPr>
                <w:rFonts w:ascii="Arial" w:hAnsi="Arial" w:eastAsia="微软雅黑"/>
                <w:b w:val="0"/>
                <w:i w:val="0"/>
                <w:color w:val="251A1A"/>
                <w:sz w:val="20"/>
              </w:rPr>
              <w:t>680,000.0</w:t>
            </w:r>
          </w:p>
        </w:tc>
        <w:tc>
          <w:tcPr>
            <w:tcW w:type="dxa" w:w="1152"/>
            <w:shd w:val="clear" w:color="auto" w:fill="F5F6F8"/>
          </w:tcPr>
          <w:p>
            <w:pPr>
              <w:jc w:val="right"/>
            </w:pPr>
            <w:r>
              <w:rPr>
                <w:rFonts w:ascii="Arial" w:hAnsi="Arial" w:eastAsia="微软雅黑"/>
                <w:b/>
                <w:i w:val="0"/>
                <w:color w:val="1F7A3E"/>
                <w:sz w:val="20"/>
              </w:rPr>
              <w:t>+72.50%</w:t>
            </w:r>
          </w:p>
        </w:tc>
      </w:tr>
      <w:tr>
        <w:tc>
          <w:tcPr>
            <w:tcW w:type="dxa" w:w="576"/>
          </w:tcPr>
          <w:p>
            <w:r>
              <w:rPr>
                <w:rFonts w:ascii="Arial" w:hAnsi="Arial" w:eastAsia="微软雅黑"/>
                <w:b w:val="0"/>
                <w:i w:val="0"/>
                <w:color w:val="251A1A"/>
                <w:sz w:val="20"/>
              </w:rPr>
              <w:t>3</w:t>
            </w:r>
          </w:p>
        </w:tc>
        <w:tc>
          <w:tcPr>
            <w:tcW w:type="dxa" w:w="2304"/>
          </w:tcPr>
          <w:p>
            <w:r>
              <w:rPr>
                <w:rFonts w:ascii="Arial" w:hAnsi="Arial" w:eastAsia="微软雅黑"/>
                <w:b w:val="0"/>
                <w:i w:val="0"/>
                <w:color w:val="251A1A"/>
                <w:sz w:val="20"/>
              </w:rPr>
              <w:t>Marvell</w:t>
            </w:r>
          </w:p>
        </w:tc>
        <w:tc>
          <w:tcPr>
            <w:tcW w:type="dxa" w:w="1296"/>
          </w:tcPr>
          <w:p>
            <w:r>
              <w:rPr>
                <w:rFonts w:ascii="Arial" w:hAnsi="Arial" w:eastAsia="微软雅黑"/>
                <w:b w:val="0"/>
                <w:i w:val="0"/>
                <w:color w:val="251A1A"/>
                <w:sz w:val="20"/>
              </w:rPr>
              <w:t>MRVL</w:t>
            </w:r>
          </w:p>
        </w:tc>
        <w:tc>
          <w:tcPr>
            <w:tcW w:type="dxa" w:w="1872"/>
          </w:tcPr>
          <w:p>
            <w:r>
              <w:rPr>
                <w:rFonts w:ascii="Arial" w:hAnsi="Arial" w:eastAsia="微软雅黑"/>
                <w:b w:val="0"/>
                <w:i w:val="0"/>
                <w:color w:val="251A1A"/>
                <w:sz w:val="20"/>
              </w:rPr>
              <w:t>Data Center PHY</w:t>
            </w:r>
          </w:p>
        </w:tc>
        <w:tc>
          <w:tcPr>
            <w:tcW w:type="dxa" w:w="1440"/>
          </w:tcPr>
          <w:p>
            <w:r>
              <w:rPr>
                <w:rFonts w:ascii="Arial" w:hAnsi="Arial" w:eastAsia="微软雅黑"/>
                <w:b w:val="0"/>
                <w:i w:val="0"/>
                <w:color w:val="251A1A"/>
                <w:sz w:val="20"/>
              </w:rPr>
              <w:t>J. Zhang</w:t>
            </w:r>
          </w:p>
        </w:tc>
        <w:tc>
          <w:tcPr>
            <w:tcW w:type="dxa" w:w="1152"/>
          </w:tcPr>
          <w:p>
            <w:pPr>
              <w:jc w:val="right"/>
            </w:pPr>
            <w:r>
              <w:rPr>
                <w:rFonts w:ascii="Arial" w:hAnsi="Arial" w:eastAsia="微软雅黑"/>
                <w:b w:val="0"/>
                <w:i w:val="0"/>
                <w:color w:val="251A1A"/>
                <w:sz w:val="20"/>
              </w:rPr>
              <w:t>85,000.0</w:t>
            </w:r>
          </w:p>
        </w:tc>
        <w:tc>
          <w:tcPr>
            <w:tcW w:type="dxa" w:w="1152"/>
          </w:tcPr>
          <w:p>
            <w:pPr>
              <w:jc w:val="right"/>
            </w:pPr>
            <w:r>
              <w:rPr>
                <w:rFonts w:ascii="Arial" w:hAnsi="Arial" w:eastAsia="微软雅黑"/>
                <w:b/>
                <w:i w:val="0"/>
                <w:color w:val="1F7A3E"/>
                <w:sz w:val="20"/>
              </w:rPr>
              <w:t>+23.10%</w:t>
            </w:r>
          </w:p>
        </w:tc>
      </w:tr>
    </w:tbl>
    <w:p>
      <w:r>
        <w:rPr>
          <w:rFonts w:ascii="Arial" w:hAnsi="Arial" w:eastAsia="微软雅黑"/>
          <w:b w:val="0"/>
          <w:i/>
          <w:color w:val="666666"/>
          <w:sz w:val="18"/>
        </w:rPr>
        <w:t>Source: Morgan Stanley Research  |  注：回报 &gt;=100% 橙色高亮显示</w:t>
      </w:r>
    </w:p>
    <w:p>
      <w:r>
        <w:br w:type="page"/>
      </w:r>
    </w:p>
    <w:p>
      <w:pPr>
        <w:pStyle w:val="Heading1"/>
      </w:pPr>
      <w:r>
        <w:rPr>
          <w:rFonts w:ascii="Arial" w:hAnsi="Arial" w:eastAsia="微软雅黑"/>
          <w:b/>
          <w:i w:val="0"/>
          <w:color w:val="0B2C5C"/>
          <w:sz w:val="36"/>
        </w:rPr>
        <w:t>免责声明 / Disclosures</w:t>
      </w:r>
    </w:p>
    <w:p>
      <w:pPr>
        <w:spacing w:after="120"/>
        <w:ind w:left="0"/>
      </w:pPr>
      <w:r>
        <w:rPr>
          <w:rFonts w:ascii="Arial" w:hAnsi="Arial" w:eastAsia="微软雅黑"/>
          <w:b w:val="0"/>
          <w:i w:val="0"/>
          <w:color w:val="FFFFFF"/>
          <w:sz w:val="2"/>
        </w:rPr>
        <w:t xml:space="preserve"> </w:t>
      </w:r>
    </w:p>
    <w:tbl>
      <w:tblPr>
        <w:tblW w:type="auto" w:w="0"/>
        <w:jc w:val="left"/>
        <w:tblLook w:firstColumn="1" w:firstRow="1" w:lastColumn="0" w:lastRow="0" w:noHBand="0" w:noVBand="1" w:val="04A0"/>
      </w:tblPr>
      <w:tblGrid>
        <w:gridCol w:w="9936"/>
      </w:tblGrid>
      <w:tr>
        <w:tc>
          <w:tcPr>
            <w:tcW w:type="dxa" w:w="1728"/>
            <w:shd w:val="clear" w:color="auto" w:fill="C8A951"/>
          </w:tcPr>
          <w:p>
            <w:pPr>
              <w:spacing w:before="0" w:after="0"/>
            </w:pPr>
            <w:r>
              <w:rPr>
                <w:rFonts w:ascii="Arial" w:hAnsi="Arial" w:eastAsia="微软雅黑"/>
                <w:b w:val="0"/>
                <w:i w:val="0"/>
                <w:sz w:val="2"/>
              </w:rPr>
            </w:r>
          </w:p>
        </w:tc>
      </w:tr>
    </w:tbl>
    <w:p/>
    <w:p>
      <w:r>
        <w:rPr>
          <w:rFonts w:ascii="Arial" w:hAnsi="Arial" w:eastAsia="微软雅黑"/>
          <w:b/>
          <w:i w:val="0"/>
          <w:color w:val="0B2C5C"/>
          <w:sz w:val="22"/>
        </w:rPr>
        <w:t>中文 / Chinese</w:t>
      </w:r>
    </w:p>
    <w:p>
      <w:pPr>
        <w:spacing w:after="80" w:line="288" w:lineRule="auto"/>
      </w:pPr>
      <w:r>
        <w:rPr>
          <w:rFonts w:ascii="Arial" w:hAnsi="Arial" w:eastAsia="微软雅黑"/>
          <w:b w:val="0"/>
          <w:i w:val="0"/>
          <w:color w:val="251A1A"/>
          <w:sz w:val="18"/>
        </w:rPr>
        <w:t>重要披露：本报告由 Morgan Stanley 研究部门制作，仅供机构客户参考，不构成任何投资建议。本报告所载信息来源自公开渠道，Morgan Stanley 对信息的准确性、完整性不作任何明示或默示保证。报告中的观点仅代表分析师个人判断，可能与 Morgan Stanley 其他业务部门的立场不同。投资涉及风险，过去的表现不代表未来结果。投资者应根据自身判断独立评估本报告内容，并承担相应风险。未经 Morgan Stanley 书面授权，任何机构或个人不得以任何形式复制、传播、引用本报告的任何内容。本报告在不同司法管辖区的分发可能受当地法律法规限制，接收者应遵守当地法律。</w:t>
      </w:r>
    </w:p>
    <w:p/>
    <w:p>
      <w:r>
        <w:rPr>
          <w:rFonts w:ascii="Arial" w:hAnsi="Arial" w:eastAsia="微软雅黑"/>
          <w:b/>
          <w:i w:val="0"/>
          <w:color w:val="0B2C5C"/>
          <w:sz w:val="22"/>
        </w:rPr>
        <w:t>English</w:t>
      </w:r>
    </w:p>
    <w:p>
      <w:pPr>
        <w:spacing w:after="80" w:line="288" w:lineRule="auto"/>
      </w:pPr>
      <w:r>
        <w:rPr>
          <w:rFonts w:ascii="Arial" w:hAnsi="Arial" w:eastAsia="微软雅黑"/>
          <w:b w:val="0"/>
          <w:i w:val="0"/>
          <w:color w:val="251A1A"/>
          <w:sz w:val="18"/>
        </w:rPr>
        <w:t>Important Disclosures: This research note is produced by the Morgan Stanley research department and is intended solely for institutional clients. It does not constitute investment advice. Information contained herein is derived from public sources; Morgan Stanley makes no representation or warranty, express or implied, as to its accuracy or completeness. Views expressed reflect the analyst's current judgment and may differ from the views of other Morgan Stanley business areas. All investments involve risk; past performance is not indicative of future results. Investors should independently evaluate the information herein and rely on their own judgment. No part of this report may be reproduced, redistributed or cited in any form without written permission from Morgan Stanley. Distribution of this report in certain jurisdictions may be restricted by local law. Recipients should comply with applicable local regulations.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