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top w:val="single" w:sz="8" w:space="1" w:color="c9a84c"/>
        </w:pBdr>
      </w:pPr>
      <w:r>
        <w:t xml:space="preserve"> </w:t>
      </w:r>
    </w:p>
    <w:p>
      <w:r>
        <w:rPr>
          <w:rFonts w:ascii="Arial" w:hAnsi="Arial"/>
          <w:b/>
          <w:i w:val="0"/>
          <w:color w:val="C9A84C"/>
          <w:sz w:val="24"/>
        </w:rPr>
        <w:t>AURORA CAPITAL RESEARCH</w:t>
        <w:rFonts w:eastAsia="Arial" w:ascii="Arial" w:hAnsi="Arial" w:cs="Arial"/>
      </w:r>
    </w:p>
    <w:p>
      <w:r>
        <w:rPr>
          <w:rFonts w:ascii="Arial" w:hAnsi="Arial"/>
          <w:b w:val="0"/>
          <w:i/>
          <w:color w:val="6B7280"/>
          <w:sz w:val="20"/>
        </w:rPr>
        <w:t>Equity Research Division / 股权研究部  ·  June 12, 2026 / 2026 年 6 月 12 日</w:t>
        <w:rFonts w:eastAsia="Arial" w:ascii="Arial" w:hAnsi="Arial" w:cs="Arial"/>
      </w:r>
    </w:p>
    <w:p/>
    <w:p/>
    <w:p/>
    <w:p>
      <w:pPr>
        <w:spacing w:after="80"/>
        <w:jc w:val="center"/>
      </w:pPr>
      <w:r>
        <w:rPr>
          <w:rFonts w:ascii="Arial" w:hAnsi="Arial"/>
          <w:b/>
          <w:i w:val="0"/>
          <w:color w:val="002855"/>
          <w:sz w:val="56"/>
        </w:rPr>
        <w:t>Aurora Capital Holdings (ACHP)</w:t>
        <w:rFonts w:eastAsia="Arial" w:ascii="Arial" w:hAnsi="Arial" w:cs="Arial"/>
      </w:r>
    </w:p>
    <w:p>
      <w:pPr>
        <w:spacing w:after="200"/>
        <w:jc w:val="center"/>
      </w:pPr>
      <w:r>
        <w:rPr>
          <w:rFonts w:ascii="Arial" w:hAnsi="Arial"/>
          <w:b w:val="0"/>
          <w:i/>
          <w:color w:val="1A1A2E"/>
          <w:sz w:val="28"/>
        </w:rPr>
        <w:t>NYSE  ·  Initiating Coverage</w:t>
        <w:rFonts w:eastAsia="Arial" w:ascii="Arial" w:hAnsi="Arial" w:cs="Arial"/>
      </w:r>
    </w:p>
    <w:p>
      <w:pPr>
        <w:jc w:val="center"/>
        <w:pBdr>
          <w:bottom w:val="single" w:sz="12" w:space="1" w:color="c9a84c"/>
        </w:pBdr>
      </w:pPr>
      <w:r>
        <w:t xml:space="preserve">          </w:t>
      </w:r>
    </w:p>
    <w:p>
      <w:pPr>
        <w:spacing w:after="40"/>
        <w:jc w:val="center"/>
      </w:pPr>
      <w:r>
        <w:rPr>
          <w:rFonts w:ascii="Arial" w:hAnsi="Arial"/>
          <w:b/>
          <w:i w:val="0"/>
          <w:color w:val="6B7280"/>
          <w:sz w:val="22"/>
        </w:rPr>
        <w:t xml:space="preserve">RATING:  </w:t>
        <w:rFonts w:eastAsia="Arial" w:ascii="Arial" w:hAnsi="Arial" w:cs="Arial"/>
      </w:r>
      <w:r>
        <w:rPr>
          <w:rFonts w:ascii="Arial" w:hAnsi="Arial"/>
          <w:b/>
          <w:i w:val="0"/>
          <w:color w:val="002855"/>
          <w:sz w:val="32"/>
        </w:rPr>
        <w:t>OVERWEIGHT</w:t>
        <w:rFonts w:eastAsia="Arial" w:ascii="Arial" w:hAnsi="Arial" w:cs="Arial"/>
      </w:r>
    </w:p>
    <w:p>
      <w:pPr>
        <w:spacing w:after="40"/>
        <w:jc w:val="center"/>
      </w:pPr>
      <w:r>
        <w:rPr>
          <w:rFonts w:ascii="Arial" w:hAnsi="Arial"/>
          <w:b/>
          <w:i w:val="0"/>
          <w:color w:val="6B7280"/>
          <w:sz w:val="22"/>
        </w:rPr>
        <w:t xml:space="preserve">TARGET PRICE:  </w:t>
        <w:rFonts w:eastAsia="Arial" w:ascii="Arial" w:hAnsi="Arial" w:cs="Arial"/>
      </w:r>
      <w:r>
        <w:rPr>
          <w:rFonts w:ascii="Arial" w:hAnsi="Arial"/>
          <w:b/>
          <w:i w:val="0"/>
          <w:color w:val="C9A84C"/>
          <w:sz w:val="32"/>
        </w:rPr>
        <w:t>$125</w:t>
        <w:rFonts w:eastAsia="Arial" w:ascii="Arial" w:hAnsi="Arial" w:cs="Arial"/>
      </w:r>
    </w:p>
    <w:p>
      <w:pPr>
        <w:spacing w:after="40"/>
        <w:jc w:val="center"/>
      </w:pPr>
      <w:r>
        <w:rPr>
          <w:rFonts w:ascii="Arial" w:hAnsi="Arial"/>
          <w:b/>
          <w:i w:val="0"/>
          <w:color w:val="6B7280"/>
          <w:sz w:val="22"/>
        </w:rPr>
        <w:t xml:space="preserve">CURRENT PRICE:  </w:t>
        <w:rFonts w:eastAsia="Arial" w:ascii="Arial" w:hAnsi="Arial" w:cs="Arial"/>
      </w:r>
      <w:r>
        <w:rPr>
          <w:rFonts w:ascii="Arial" w:hAnsi="Arial"/>
          <w:b/>
          <w:i w:val="0"/>
          <w:color w:val="1A1A2E"/>
          <w:sz w:val="32"/>
        </w:rPr>
        <w:t>$98.50</w:t>
        <w:rFonts w:eastAsia="Arial" w:ascii="Arial" w:hAnsi="Arial" w:cs="Arial"/>
      </w:r>
    </w:p>
    <w:p>
      <w:pPr>
        <w:spacing w:after="40"/>
        <w:jc w:val="center"/>
      </w:pPr>
      <w:r>
        <w:rPr>
          <w:rFonts w:ascii="Arial" w:hAnsi="Arial"/>
          <w:b/>
          <w:i w:val="0"/>
          <w:color w:val="6B7280"/>
          <w:sz w:val="22"/>
        </w:rPr>
        <w:t xml:space="preserve">UPSIDE:  </w:t>
        <w:rFonts w:eastAsia="Arial" w:ascii="Arial" w:hAnsi="Arial" w:cs="Arial"/>
      </w:r>
      <w:r>
        <w:rPr>
          <w:rFonts w:ascii="Arial" w:hAnsi="Arial"/>
          <w:b/>
          <w:i w:val="0"/>
          <w:color w:val="002855"/>
          <w:sz w:val="32"/>
        </w:rPr>
        <w:t>+26.9%</w:t>
        <w:rFonts w:eastAsia="Arial" w:ascii="Arial" w:hAnsi="Arial" w:cs="Arial"/>
      </w:r>
    </w:p>
    <w:p/>
    <w:p/>
    <w:p/>
    <w:p/>
    <w:p>
      <w:pPr>
        <w:spacing w:before="240"/>
        <w:jc w:val="center"/>
      </w:pPr>
      <w:r>
        <w:rPr>
          <w:rFonts w:ascii="Arial" w:hAnsi="Arial"/>
          <w:b/>
          <w:i w:val="0"/>
          <w:color w:val="C9A84C"/>
          <w:sz w:val="18"/>
        </w:rPr>
        <w:t>CONFIDENTIAL — FOR AUTHORIZED RECIPIENTS ONLY</w:t>
        <w:rFonts w:eastAsia="Arial" w:ascii="Arial" w:hAnsi="Arial" w:cs="Arial"/>
      </w:r>
    </w:p>
    <w:p>
      <w:r>
        <w:br w:type="page"/>
      </w:r>
    </w:p>
    <w:p>
      <w:r>
        <w:rPr>
          <w:rFonts w:ascii="Arial" w:hAnsi="Arial"/>
          <w:b/>
          <w:i w:val="0"/>
          <w:color w:val="002855"/>
          <w:sz w:val="28"/>
        </w:rPr>
        <w:t>RATING &amp; KEY INFORMATION</w:t>
        <w:rFonts w:eastAsia="Arial" w:ascii="Arial" w:hAnsi="Arial" w:cs="Arial"/>
      </w:r>
    </w:p>
    <w:p>
      <w:pPr>
        <w:spacing w:after="120"/>
        <w:jc w:val="left"/>
        <w:pBdr>
          <w:bottom w:val="single" w:sz="8" w:space="1" w:color="c9a84c"/>
        </w:pBdr>
      </w:pPr>
      <w:r>
        <w:t xml:space="preserve"> </w:t>
      </w:r>
    </w:p>
    <w:p/>
    <w:tbl>
      <w:tblPr>
        <w:tblW w:type="auto" w:w="0"/>
        <w:jc w:val="left"/>
        <w:tblLayout w:type="fixed"/>
        <w:tblLook w:firstColumn="1" w:firstRow="1" w:lastColumn="0" w:lastRow="0" w:noHBand="0" w:noVBand="1" w:val="04A0"/>
      </w:tblPr>
      <w:tblGrid>
        <w:gridCol w:w="3120"/>
        <w:gridCol w:w="3120"/>
        <w:gridCol w:w="3120"/>
      </w:tblGrid>
      <w:tr>
        <w:tc>
          <w:tcPr>
            <w:tcW w:type="dxa" w:w="3312"/>
            <w:shd w:val="clear" w:color="auto" w:fill="e8eef4"/>
            <w:tcBorders>
              <w:top w:val="single" w:sz="4" w:space="0" w:color="d9dee7"/>
              <w:left w:val="single" w:sz="4" w:space="0" w:color="d9dee7"/>
              <w:bottom w:val="single" w:sz="4" w:space="0" w:color="d9dee7"/>
              <w:right w:val="single" w:sz="4" w:space="0" w:color="d9dee7"/>
            </w:tcBorders>
            <w:vAlign w:val="top"/>
          </w:tcPr>
          <w:p>
            <w:r>
              <w:rPr>
                <w:rFonts w:ascii="Arial" w:hAnsi="Arial"/>
                <w:b/>
                <w:i w:val="0"/>
                <w:color w:val="C9A84C"/>
                <w:sz w:val="16"/>
              </w:rPr>
              <w:t>RATING</w:t>
              <w:rFonts w:eastAsia="Arial" w:ascii="Arial" w:hAnsi="Arial" w:cs="Arial"/>
            </w:r>
          </w:p>
          <w:p>
            <w:r>
              <w:rPr>
                <w:rFonts w:ascii="Arial" w:hAnsi="Arial"/>
                <w:b/>
                <w:i w:val="0"/>
                <w:color w:val="002855"/>
                <w:sz w:val="44"/>
              </w:rPr>
              <w:t>OVERWEIGHT</w:t>
              <w:rFonts w:eastAsia="Arial" w:ascii="Arial" w:hAnsi="Arial" w:cs="Arial"/>
            </w:r>
          </w:p>
          <w:p/>
          <w:p>
            <w:r>
              <w:rPr>
                <w:rFonts w:ascii="Arial" w:hAnsi="Arial"/>
                <w:b/>
                <w:i w:val="0"/>
                <w:color w:val="C9A84C"/>
                <w:sz w:val="16"/>
              </w:rPr>
              <w:t>TARGET</w:t>
              <w:rFonts w:eastAsia="Arial" w:ascii="Arial" w:hAnsi="Arial" w:cs="Arial"/>
            </w:r>
          </w:p>
          <w:p>
            <w:r>
              <w:rPr>
                <w:rFonts w:ascii="Arial" w:hAnsi="Arial"/>
                <w:b/>
                <w:i w:val="0"/>
                <w:color w:val="C9A84C"/>
                <w:sz w:val="36"/>
              </w:rPr>
              <w:t>$125</w:t>
              <w:rFonts w:eastAsia="Arial" w:ascii="Arial" w:hAnsi="Arial" w:cs="Arial"/>
            </w:r>
          </w:p>
          <w:p>
            <w:r>
              <w:rPr>
                <w:rFonts w:ascii="Arial" w:hAnsi="Arial"/>
                <w:b/>
                <w:i w:val="0"/>
                <w:color w:val="6B7280"/>
                <w:sz w:val="16"/>
              </w:rPr>
              <w:t>CURRENT</w:t>
              <w:rFonts w:eastAsia="Arial" w:ascii="Arial" w:hAnsi="Arial" w:cs="Arial"/>
            </w:r>
          </w:p>
          <w:p>
            <w:r>
              <w:rPr>
                <w:rFonts w:ascii="Arial" w:hAnsi="Arial"/>
                <w:b/>
                <w:i w:val="0"/>
                <w:color w:val="1A1A2E"/>
                <w:sz w:val="26"/>
              </w:rPr>
              <w:t>$98.50</w:t>
              <w:rFonts w:eastAsia="Arial" w:ascii="Arial" w:hAnsi="Arial" w:cs="Arial"/>
            </w:r>
          </w:p>
          <w:p>
            <w:r>
              <w:rPr>
                <w:rFonts w:ascii="Arial" w:hAnsi="Arial"/>
                <w:b/>
                <w:i w:val="0"/>
                <w:color w:val="002855"/>
                <w:sz w:val="20"/>
              </w:rPr>
              <w:t>UPSIDE: +26.9%</w:t>
              <w:rFonts w:eastAsia="Arial" w:ascii="Arial" w:hAnsi="Arial" w:cs="Arial"/>
            </w:r>
          </w:p>
        </w:tc>
        <w:tc>
          <w:tcPr>
            <w:tcW w:type="dxa" w:w="3600"/>
            <w:shd w:val="clear" w:color="auto" w:fill="e8eef4"/>
            <w:tcBorders>
              <w:top w:val="single" w:sz="4" w:space="0" w:color="d9dee7"/>
              <w:left w:val="single" w:sz="4" w:space="0" w:color="d9dee7"/>
              <w:bottom w:val="single" w:sz="4" w:space="0" w:color="d9dee7"/>
              <w:right w:val="single" w:sz="4" w:space="0" w:color="d9dee7"/>
            </w:tcBorders>
            <w:vAlign w:val="top"/>
          </w:tcPr>
          <w:p>
            <w:r>
              <w:rPr>
                <w:rFonts w:ascii="Arial" w:hAnsi="Arial"/>
                <w:b/>
                <w:i w:val="0"/>
                <w:color w:val="C9A84C"/>
                <w:sz w:val="16"/>
              </w:rPr>
              <w:t>COMPANY INFORMATION</w:t>
              <w:rFonts w:eastAsia="Arial" w:ascii="Arial" w:hAnsi="Arial" w:cs="Arial"/>
            </w:r>
          </w:p>
          <w:p>
            <w:r>
              <w:rPr>
                <w:rFonts w:ascii="Arial" w:hAnsi="Arial"/>
                <w:b/>
                <w:i w:val="0"/>
                <w:color w:val="6B7280"/>
                <w:sz w:val="20"/>
              </w:rPr>
              <w:t xml:space="preserve">COMPANY:  </w:t>
              <w:rFonts w:eastAsia="Arial" w:ascii="Arial" w:hAnsi="Arial" w:cs="Arial"/>
            </w:r>
            <w:r>
              <w:rPr>
                <w:rFonts w:ascii="Arial" w:hAnsi="Arial"/>
                <w:b w:val="0"/>
                <w:i w:val="0"/>
                <w:color w:val="1A1A2E"/>
                <w:sz w:val="20"/>
              </w:rPr>
              <w:t>Aurora Capital Holdings</w:t>
              <w:rFonts w:eastAsia="Arial" w:ascii="Arial" w:hAnsi="Arial" w:cs="Arial"/>
            </w:r>
          </w:p>
          <w:p>
            <w:r>
              <w:rPr>
                <w:rFonts w:ascii="Arial" w:hAnsi="Arial"/>
                <w:b/>
                <w:i w:val="0"/>
                <w:color w:val="6B7280"/>
                <w:sz w:val="20"/>
              </w:rPr>
              <w:t xml:space="preserve">Ticker:  </w:t>
              <w:rFonts w:eastAsia="Arial" w:ascii="Arial" w:hAnsi="Arial" w:cs="Arial"/>
            </w:r>
            <w:r>
              <w:rPr>
                <w:rFonts w:ascii="Arial" w:hAnsi="Arial"/>
                <w:b w:val="0"/>
                <w:i w:val="0"/>
                <w:color w:val="1A1A2E"/>
                <w:sz w:val="20"/>
              </w:rPr>
              <w:t>ACHP</w:t>
              <w:rFonts w:eastAsia="Arial" w:ascii="Arial" w:hAnsi="Arial" w:cs="Arial"/>
            </w:r>
          </w:p>
          <w:p>
            <w:r>
              <w:rPr>
                <w:rFonts w:ascii="Arial" w:hAnsi="Arial"/>
                <w:b/>
                <w:i w:val="0"/>
                <w:color w:val="6B7280"/>
                <w:sz w:val="20"/>
              </w:rPr>
              <w:t xml:space="preserve">Exchange:  </w:t>
              <w:rFonts w:eastAsia="Arial" w:ascii="Arial" w:hAnsi="Arial" w:cs="Arial"/>
            </w:r>
            <w:r>
              <w:rPr>
                <w:rFonts w:ascii="Arial" w:hAnsi="Arial"/>
                <w:b w:val="0"/>
                <w:i w:val="0"/>
                <w:color w:val="1A1A2E"/>
                <w:sz w:val="20"/>
              </w:rPr>
              <w:t>NYSE</w:t>
              <w:rFonts w:eastAsia="Arial" w:ascii="Arial" w:hAnsi="Arial" w:cs="Arial"/>
            </w:r>
          </w:p>
          <w:p>
            <w:r>
              <w:rPr>
                <w:rFonts w:ascii="Arial" w:hAnsi="Arial"/>
                <w:b/>
                <w:i w:val="0"/>
                <w:color w:val="6B7280"/>
                <w:sz w:val="20"/>
              </w:rPr>
              <w:t xml:space="preserve">Sector:  </w:t>
              <w:rFonts w:eastAsia="Arial" w:ascii="Arial" w:hAnsi="Arial" w:cs="Arial"/>
            </w:r>
            <w:r>
              <w:rPr>
                <w:rFonts w:ascii="Arial" w:hAnsi="Arial"/>
                <w:b w:val="0"/>
                <w:i w:val="0"/>
                <w:color w:val="1A1A2E"/>
                <w:sz w:val="20"/>
              </w:rPr>
              <w:t>Diversified Financial Services / 综合金融服务</w:t>
              <w:rFonts w:eastAsia="Arial" w:ascii="Arial" w:hAnsi="Arial" w:cs="Arial"/>
            </w:r>
          </w:p>
          <w:p>
            <w:r>
              <w:rPr>
                <w:rFonts w:ascii="Arial" w:hAnsi="Arial"/>
                <w:b/>
                <w:i w:val="0"/>
                <w:color w:val="6B7280"/>
                <w:sz w:val="20"/>
              </w:rPr>
              <w:t xml:space="preserve">Analyst:  </w:t>
              <w:rFonts w:eastAsia="Arial" w:ascii="Arial" w:hAnsi="Arial" w:cs="Arial"/>
            </w:r>
            <w:r>
              <w:rPr>
                <w:rFonts w:ascii="Arial" w:hAnsi="Arial"/>
                <w:b w:val="0"/>
                <w:i w:val="0"/>
                <w:color w:val="1A1A2E"/>
                <w:sz w:val="20"/>
              </w:rPr>
              <w:t>J. Chen, CFA</w:t>
              <w:rFonts w:eastAsia="Arial" w:ascii="Arial" w:hAnsi="Arial" w:cs="Arial"/>
            </w:r>
          </w:p>
          <w:p>
            <w:r>
              <w:rPr>
                <w:rFonts w:ascii="Arial" w:hAnsi="Arial"/>
                <w:b/>
                <w:i w:val="0"/>
                <w:color w:val="6B7280"/>
                <w:sz w:val="20"/>
              </w:rPr>
              <w:t xml:space="preserve">Report Date:  </w:t>
              <w:rFonts w:eastAsia="Arial" w:ascii="Arial" w:hAnsi="Arial" w:cs="Arial"/>
            </w:r>
            <w:r>
              <w:rPr>
                <w:rFonts w:ascii="Arial" w:hAnsi="Arial"/>
                <w:b w:val="0"/>
                <w:i w:val="0"/>
                <w:color w:val="1A1A2E"/>
                <w:sz w:val="20"/>
              </w:rPr>
              <w:t>June 12, 2026 / 2026 年 6 月 12 日</w:t>
              <w:rFonts w:eastAsia="Arial" w:ascii="Arial" w:hAnsi="Arial" w:cs="Arial"/>
            </w:r>
          </w:p>
        </w:tc>
        <w:tc>
          <w:tcPr>
            <w:tcW w:type="dxa" w:w="3456"/>
            <w:shd w:val="clear" w:color="auto" w:fill="e8eef4"/>
            <w:tcBorders>
              <w:top w:val="single" w:sz="4" w:space="0" w:color="d9dee7"/>
              <w:left w:val="single" w:sz="4" w:space="0" w:color="d9dee7"/>
              <w:bottom w:val="single" w:sz="4" w:space="0" w:color="d9dee7"/>
              <w:right w:val="single" w:sz="4" w:space="0" w:color="d9dee7"/>
            </w:tcBorders>
            <w:vAlign w:val="top"/>
          </w:tcPr>
          <w:p>
            <w:r>
              <w:rPr>
                <w:rFonts w:ascii="Arial" w:hAnsi="Arial"/>
                <w:b/>
                <w:i w:val="0"/>
                <w:color w:val="C9A84C"/>
                <w:sz w:val="16"/>
              </w:rPr>
              <w:t>KEY METRICS</w:t>
              <w:rFonts w:eastAsia="Arial" w:ascii="Arial" w:hAnsi="Arial" w:cs="Arial"/>
            </w:r>
          </w:p>
          <w:p>
            <w:r>
              <w:rPr>
                <w:rFonts w:ascii="Arial" w:hAnsi="Arial"/>
                <w:b/>
                <w:i w:val="0"/>
                <w:color w:val="6B7280"/>
                <w:sz w:val="20"/>
              </w:rPr>
              <w:t xml:space="preserve">Market Cap / 市值:  </w:t>
              <w:rFonts w:eastAsia="Arial" w:ascii="Arial" w:hAnsi="Arial" w:cs="Arial"/>
            </w:r>
            <w:r>
              <w:rPr>
                <w:rFonts w:ascii="Arial" w:hAnsi="Arial"/>
                <w:b/>
                <w:i w:val="0"/>
                <w:color w:val="002855"/>
                <w:sz w:val="20"/>
              </w:rPr>
              <w:t>$13,105 M</w:t>
              <w:rFonts w:eastAsia="Arial" w:ascii="Arial" w:hAnsi="Arial" w:cs="Arial"/>
            </w:r>
          </w:p>
          <w:p>
            <w:r>
              <w:rPr>
                <w:rFonts w:ascii="Arial" w:hAnsi="Arial"/>
                <w:b/>
                <w:i w:val="0"/>
                <w:color w:val="6B7280"/>
                <w:sz w:val="20"/>
              </w:rPr>
              <w:t xml:space="preserve">Enterprise Value / 企业价值:  </w:t>
              <w:rFonts w:eastAsia="Arial" w:ascii="Arial" w:hAnsi="Arial" w:cs="Arial"/>
            </w:r>
            <w:r>
              <w:rPr>
                <w:rFonts w:ascii="Arial" w:hAnsi="Arial"/>
                <w:b/>
                <w:i w:val="0"/>
                <w:color w:val="002855"/>
                <w:sz w:val="20"/>
              </w:rPr>
              <w:t>$14,850 M</w:t>
              <w:rFonts w:eastAsia="Arial" w:ascii="Arial" w:hAnsi="Arial" w:cs="Arial"/>
            </w:r>
          </w:p>
          <w:p>
            <w:r>
              <w:rPr>
                <w:rFonts w:ascii="Arial" w:hAnsi="Arial"/>
                <w:b/>
                <w:i w:val="0"/>
                <w:color w:val="6B7280"/>
                <w:sz w:val="20"/>
              </w:rPr>
              <w:t xml:space="preserve">Revenue FY24 / 营业收入:  </w:t>
              <w:rFonts w:eastAsia="Arial" w:ascii="Arial" w:hAnsi="Arial" w:cs="Arial"/>
            </w:r>
            <w:r>
              <w:rPr>
                <w:rFonts w:ascii="Arial" w:hAnsi="Arial"/>
                <w:b/>
                <w:i w:val="0"/>
                <w:color w:val="002855"/>
                <w:sz w:val="20"/>
              </w:rPr>
              <w:t>$5,230 M</w:t>
              <w:rFonts w:eastAsia="Arial" w:ascii="Arial" w:hAnsi="Arial" w:cs="Arial"/>
            </w:r>
          </w:p>
          <w:p>
            <w:r>
              <w:rPr>
                <w:rFonts w:ascii="Arial" w:hAnsi="Arial"/>
                <w:b/>
                <w:i w:val="0"/>
                <w:color w:val="6B7280"/>
                <w:sz w:val="20"/>
              </w:rPr>
              <w:t xml:space="preserve">EBITDA FY24:  </w:t>
              <w:rFonts w:eastAsia="Arial" w:ascii="Arial" w:hAnsi="Arial" w:cs="Arial"/>
            </w:r>
            <w:r>
              <w:rPr>
                <w:rFonts w:ascii="Arial" w:hAnsi="Arial"/>
                <w:b/>
                <w:i w:val="0"/>
                <w:color w:val="002855"/>
                <w:sz w:val="20"/>
              </w:rPr>
              <w:t>$885 M</w:t>
              <w:rFonts w:eastAsia="Arial" w:ascii="Arial" w:hAnsi="Arial" w:cs="Arial"/>
            </w:r>
          </w:p>
          <w:p>
            <w:r>
              <w:rPr>
                <w:rFonts w:ascii="Arial" w:hAnsi="Arial"/>
                <w:b/>
                <w:i w:val="0"/>
                <w:color w:val="6B7280"/>
                <w:sz w:val="20"/>
              </w:rPr>
              <w:t xml:space="preserve">P/E (Fwd) / 动态市盈率:  </w:t>
              <w:rFonts w:eastAsia="Arial" w:ascii="Arial" w:hAnsi="Arial" w:cs="Arial"/>
            </w:r>
            <w:r>
              <w:rPr>
                <w:rFonts w:ascii="Arial" w:hAnsi="Arial"/>
                <w:b/>
                <w:i w:val="0"/>
                <w:color w:val="002855"/>
                <w:sz w:val="20"/>
              </w:rPr>
              <w:t>15.2x</w:t>
              <w:rFonts w:eastAsia="Arial" w:ascii="Arial" w:hAnsi="Arial" w:cs="Arial"/>
            </w:r>
          </w:p>
          <w:p>
            <w:r>
              <w:rPr>
                <w:rFonts w:ascii="Arial" w:hAnsi="Arial"/>
                <w:b/>
                <w:i w:val="0"/>
                <w:color w:val="6B7280"/>
                <w:sz w:val="20"/>
              </w:rPr>
              <w:t xml:space="preserve">Dividend Yield / 股息率:  </w:t>
              <w:rFonts w:eastAsia="Arial" w:ascii="Arial" w:hAnsi="Arial" w:cs="Arial"/>
            </w:r>
            <w:r>
              <w:rPr>
                <w:rFonts w:ascii="Arial" w:hAnsi="Arial"/>
                <w:b/>
                <w:i w:val="0"/>
                <w:color w:val="002855"/>
                <w:sz w:val="20"/>
              </w:rPr>
              <w:t>2.5%</w:t>
              <w:rFonts w:eastAsia="Arial" w:ascii="Arial" w:hAnsi="Arial" w:cs="Arial"/>
            </w:r>
          </w:p>
          <w:p>
            <w:r>
              <w:rPr>
                <w:rFonts w:ascii="Arial" w:hAnsi="Arial"/>
                <w:b/>
                <w:i w:val="0"/>
                <w:color w:val="6B7280"/>
                <w:sz w:val="20"/>
              </w:rPr>
              <w:t xml:space="preserve">ROE / 净资产收益率:  </w:t>
              <w:rFonts w:eastAsia="Arial" w:ascii="Arial" w:hAnsi="Arial" w:cs="Arial"/>
            </w:r>
            <w:r>
              <w:rPr>
                <w:rFonts w:ascii="Arial" w:hAnsi="Arial"/>
                <w:b/>
                <w:i w:val="0"/>
                <w:color w:val="002855"/>
                <w:sz w:val="20"/>
              </w:rPr>
              <w:t>11.8%</w:t>
              <w:rFonts w:eastAsia="Arial" w:ascii="Arial" w:hAnsi="Arial" w:cs="Arial"/>
            </w:r>
          </w:p>
        </w:tc>
      </w:tr>
    </w:tbl>
    <w:p/>
    <w:p>
      <w:r>
        <w:rPr>
          <w:rFonts w:ascii="Arial" w:hAnsi="Arial"/>
          <w:b w:val="0"/>
          <w:i/>
          <w:color w:val="6B7280"/>
          <w:sz w:val="18"/>
        </w:rPr>
        <w:t>Currency: USD  |  All figures in millions unless noted otherwise.</w:t>
        <w:rFonts w:eastAsia="Arial" w:ascii="Arial" w:hAnsi="Arial" w:cs="Arial"/>
      </w:r>
    </w:p>
    <w:p/>
    <w:p>
      <w:pPr>
        <w:spacing w:before="200"/>
      </w:pPr>
    </w:p>
    <w:p>
      <w:pPr>
        <w:spacing w:after="40"/>
      </w:pPr>
      <w:r>
        <w:rPr>
          <w:rFonts w:ascii="Arial" w:hAnsi="Arial"/>
          <w:b/>
          <w:i w:val="0"/>
          <w:color w:val="002855"/>
          <w:sz w:val="36"/>
        </w:rPr>
        <w:t>Executive Summary</w:t>
        <w:rFonts w:eastAsia="Arial" w:ascii="Arial" w:hAnsi="Arial" w:cs="Arial"/>
      </w:r>
    </w:p>
    <w:p>
      <w:pPr>
        <w:spacing w:after="120"/>
        <w:jc w:val="left"/>
        <w:pBdr>
          <w:bottom w:val="single" w:sz="8" w:space="1" w:color="c9a84c"/>
        </w:pBdr>
      </w:pPr>
      <w:r>
        <w:t xml:space="preserve"> </w:t>
      </w:r>
    </w:p>
    <w:p>
      <w:pPr>
        <w:spacing w:after="120"/>
      </w:pPr>
      <w:r>
        <w:rPr>
          <w:rFonts w:ascii="Arial" w:hAnsi="Arial"/>
          <w:b w:val="0"/>
          <w:i w:val="0"/>
          <w:color w:val="1A1A2E"/>
          <w:sz w:val="22"/>
        </w:rPr>
        <w:t>We initiate coverage on Aurora Capital Holdings (ACHP) with an Overweight rating and a 12-month target price of $125, representing approximately 27% total return. Our thesis is anchored in three pillars: resilient fee-based revenue growth, expanding operating margins, and a disciplined capital return program.</w:t>
        <w:rFonts w:eastAsia="Arial" w:ascii="Arial" w:hAnsi="Arial" w:cs="Arial"/>
      </w:r>
    </w:p>
    <w:p>
      <w:pPr>
        <w:spacing w:after="120"/>
      </w:pPr>
      <w:r>
        <w:rPr>
          <w:rFonts w:ascii="Arial" w:hAnsi="Arial"/>
          <w:b w:val="0"/>
          <w:i w:val="0"/>
          <w:color w:val="1A1A2E"/>
          <w:sz w:val="22"/>
        </w:rPr>
        <w:t>Aurora Capital has built a diversified franchise spanning institutional securities, wealth management, and asset management. The company's strong capital position and proven management team underpin our constructive view.</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Wealth management AUM growing ~12% YoY, driving higher fee-based revenue.</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Operating margin expansion of ~180 bps achievable by FY26 via efficiency program.</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Disciplined capital return supports an above-peer ROE trajectory.</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Share buyback authorization of $2.5 B remains largely unexecuted.</w:t>
        <w:rFonts w:eastAsia="Arial" w:ascii="Arial" w:hAnsi="Arial" w:cs="Arial"/>
      </w:r>
    </w:p>
    <w:tbl>
      <w:tblPr>
        <w:tblW w:type="auto" w:w="0"/>
        <w:jc w:val="left"/>
        <w:tblLayout w:type="fixed"/>
        <w:tblLook w:firstColumn="1" w:firstRow="1" w:lastColumn="0" w:lastRow="0" w:noHBand="0" w:noVBand="1" w:val="04A0"/>
      </w:tblPr>
      <w:tblGrid>
        <w:gridCol w:w="4680"/>
        <w:gridCol w:w="4680"/>
      </w:tblGrid>
      <w:tr>
        <w:tc>
          <w:tcPr>
            <w:tcW w:type="dxa" w:w="173"/>
            <w:shd w:val="clear" w:color="auto" w:fill="c9a84c"/>
            <w:tcBorders>
              <w:top w:val="single" w:sz="4" w:space="0" w:color="d9dee7"/>
              <w:left w:val="single" w:sz="4" w:space="0" w:color="d9dee7"/>
              <w:bottom w:val="single" w:sz="4" w:space="0" w:color="d9dee7"/>
              <w:right w:val="single" w:sz="4" w:space="0" w:color="d9dee7"/>
            </w:tcBorders>
          </w:tcPr>
          <w:p>
            <w:r>
              <w:rPr>
                <w:rFonts w:ascii="Arial" w:hAnsi="Arial"/>
                <w:b w:val="0"/>
                <w:i w:val="0"/>
                <w:sz w:val="2"/>
              </w:rPr>
              <w:rFonts w:eastAsia="Arial" w:ascii="Arial" w:hAnsi="Arial" w:cs="Arial"/>
            </w:r>
          </w:p>
        </w:tc>
        <w:tc>
          <w:tcPr>
            <w:tcW w:type="dxa" w:w="9360"/>
            <w:shd w:val="clear" w:color="auto" w:fill="e8eef4"/>
            <w:tcBorders>
              <w:top w:val="single" w:sz="4" w:space="0" w:color="d9dee7"/>
              <w:left w:val="single" w:sz="4" w:space="0" w:color="d9dee7"/>
              <w:bottom w:val="single" w:sz="4" w:space="0" w:color="d9dee7"/>
              <w:right w:val="single" w:sz="4" w:space="0" w:color="d9dee7"/>
            </w:tcBorders>
          </w:tcPr>
          <w:p>
            <w:r>
              <w:rPr>
                <w:rFonts w:ascii="Arial" w:hAnsi="Arial"/>
                <w:b w:val="0"/>
                <w:i w:val="0"/>
                <w:color w:val="C9A84C"/>
                <w:sz w:val="18"/>
              </w:rPr>
              <w:t xml:space="preserve">▶ </w:t>
              <w:rFonts w:eastAsia="Arial" w:ascii="Arial" w:hAnsi="Arial" w:cs="Arial"/>
            </w:r>
            <w:r>
              <w:rPr>
                <w:rFonts w:ascii="Arial" w:hAnsi="Arial"/>
                <w:b w:val="0"/>
                <w:i/>
                <w:color w:val="002855"/>
                <w:sz w:val="22"/>
              </w:rPr>
              <w:t>We see ~27% upside to our $125 target on a 12-month view, driven by accelerating AUM growth and operating leverage.</w:t>
              <w:rFonts w:eastAsia="Arial" w:ascii="Arial" w:hAnsi="Arial" w:cs="Arial"/>
            </w:r>
          </w:p>
        </w:tc>
      </w:tr>
    </w:tbl>
    <w:p/>
    <w:p>
      <w:pPr>
        <w:spacing w:before="200"/>
      </w:pPr>
    </w:p>
    <w:p>
      <w:pPr>
        <w:spacing w:after="40"/>
      </w:pPr>
      <w:r>
        <w:rPr>
          <w:rFonts w:ascii="Arial" w:hAnsi="Arial"/>
          <w:b/>
          <w:i w:val="0"/>
          <w:color w:val="002855"/>
          <w:sz w:val="36"/>
        </w:rPr>
        <w:t>Investment Thesis</w:t>
        <w:rFonts w:eastAsia="Arial" w:ascii="Arial" w:hAnsi="Arial" w:cs="Arial"/>
      </w:r>
    </w:p>
    <w:p>
      <w:pPr>
        <w:spacing w:after="120"/>
        <w:jc w:val="left"/>
        <w:pBdr>
          <w:bottom w:val="single" w:sz="8" w:space="1" w:color="c9a84c"/>
        </w:pBdr>
      </w:pPr>
      <w:r>
        <w:t xml:space="preserve"> </w:t>
      </w:r>
    </w:p>
    <w:p>
      <w:pPr>
        <w:spacing w:after="120"/>
      </w:pPr>
      <w:r>
        <w:rPr>
          <w:rFonts w:ascii="Arial" w:hAnsi="Arial"/>
          <w:b w:val="0"/>
          <w:i w:val="0"/>
          <w:color w:val="1A1A2E"/>
          <w:sz w:val="22"/>
        </w:rPr>
        <w:t>We are initiating coverage of Aurora Capital Holdings with an Overweight rating. The investment case rests on structural growth in wealth management fees, disciplined cost management, and a conservative capital position.</w:t>
        <w:rFonts w:eastAsia="Arial" w:ascii="Arial" w:hAnsi="Arial" w:cs="Arial"/>
      </w:r>
    </w:p>
    <w:p>
      <w:pPr>
        <w:spacing w:after="120"/>
      </w:pPr>
      <w:r>
        <w:rPr>
          <w:rFonts w:ascii="Arial" w:hAnsi="Arial"/>
          <w:b w:val="0"/>
          <w:i w:val="0"/>
          <w:color w:val="1A1A2E"/>
          <w:sz w:val="22"/>
        </w:rPr>
        <w:t>Over the medium term, we model revenue CAGR of ~8% driven by higher advisory and underwriting volumes, as well as persistent net interest income tailwinds.</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Wealth management AUM projected to expand at ~12% CAGR through 2027.</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Operating efficiency program targeting $420 M pre-tax savings by FY26.</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CET1 ratio of 15.2% provides a comfortable buffer above regulatory minima.</w:t>
        <w:rFonts w:eastAsia="Arial" w:ascii="Arial" w:hAnsi="Arial" w:cs="Arial"/>
      </w:r>
    </w:p>
    <w:tbl>
      <w:tblPr>
        <w:tblW w:type="auto" w:w="0"/>
        <w:jc w:val="left"/>
        <w:tblLayout w:type="fixed"/>
        <w:tblLook w:firstColumn="1" w:firstRow="1" w:lastColumn="0" w:lastRow="0" w:noHBand="0" w:noVBand="1" w:val="04A0"/>
      </w:tblPr>
      <w:tblGrid>
        <w:gridCol w:w="4680"/>
        <w:gridCol w:w="4680"/>
      </w:tblGrid>
      <w:tr>
        <w:tc>
          <w:tcPr>
            <w:tcW w:type="dxa" w:w="173"/>
            <w:shd w:val="clear" w:color="auto" w:fill="c9a84c"/>
            <w:tcBorders>
              <w:top w:val="single" w:sz="4" w:space="0" w:color="d9dee7"/>
              <w:left w:val="single" w:sz="4" w:space="0" w:color="d9dee7"/>
              <w:bottom w:val="single" w:sz="4" w:space="0" w:color="d9dee7"/>
              <w:right w:val="single" w:sz="4" w:space="0" w:color="d9dee7"/>
            </w:tcBorders>
          </w:tcPr>
          <w:p>
            <w:r>
              <w:rPr>
                <w:rFonts w:ascii="Arial" w:hAnsi="Arial"/>
                <w:b w:val="0"/>
                <w:i w:val="0"/>
                <w:sz w:val="2"/>
              </w:rPr>
              <w:rFonts w:eastAsia="Arial" w:ascii="Arial" w:hAnsi="Arial" w:cs="Arial"/>
            </w:r>
          </w:p>
        </w:tc>
        <w:tc>
          <w:tcPr>
            <w:tcW w:type="dxa" w:w="9360"/>
            <w:shd w:val="clear" w:color="auto" w:fill="e8eef4"/>
            <w:tcBorders>
              <w:top w:val="single" w:sz="4" w:space="0" w:color="d9dee7"/>
              <w:left w:val="single" w:sz="4" w:space="0" w:color="d9dee7"/>
              <w:bottom w:val="single" w:sz="4" w:space="0" w:color="d9dee7"/>
              <w:right w:val="single" w:sz="4" w:space="0" w:color="d9dee7"/>
            </w:tcBorders>
          </w:tcPr>
          <w:p>
            <w:r>
              <w:rPr>
                <w:rFonts w:ascii="Arial" w:hAnsi="Arial"/>
                <w:b w:val="0"/>
                <w:i w:val="0"/>
                <w:color w:val="C9A84C"/>
                <w:sz w:val="18"/>
              </w:rPr>
              <w:t xml:space="preserve">▶ </w:t>
              <w:rFonts w:eastAsia="Arial" w:ascii="Arial" w:hAnsi="Arial" w:cs="Arial"/>
            </w:r>
            <w:r>
              <w:rPr>
                <w:rFonts w:ascii="Arial" w:hAnsi="Arial"/>
                <w:b w:val="0"/>
                <w:i/>
                <w:color w:val="002855"/>
                <w:sz w:val="22"/>
              </w:rPr>
              <w:t>The combination of fee-based growth and operating leverage represents the most compelling near-term catalyst.</w:t>
              <w:rFonts w:eastAsia="Arial" w:ascii="Arial" w:hAnsi="Arial" w:cs="Arial"/>
            </w:r>
          </w:p>
        </w:tc>
      </w:tr>
    </w:tbl>
    <w:p/>
    <w:p>
      <w:pPr>
        <w:spacing w:before="200"/>
      </w:pPr>
    </w:p>
    <w:p>
      <w:pPr>
        <w:spacing w:after="40"/>
      </w:pPr>
      <w:r>
        <w:rPr>
          <w:rFonts w:ascii="Arial" w:hAnsi="Arial"/>
          <w:b/>
          <w:i w:val="0"/>
          <w:color w:val="002855"/>
          <w:sz w:val="36"/>
        </w:rPr>
        <w:t>Business Overview</w:t>
        <w:rFonts w:eastAsia="Arial" w:ascii="Arial" w:hAnsi="Arial" w:cs="Arial"/>
      </w:r>
    </w:p>
    <w:p>
      <w:pPr>
        <w:spacing w:after="120"/>
        <w:jc w:val="left"/>
        <w:pBdr>
          <w:bottom w:val="single" w:sz="8" w:space="1" w:color="c9a84c"/>
        </w:pBdr>
      </w:pPr>
      <w:r>
        <w:t xml:space="preserve"> </w:t>
      </w:r>
    </w:p>
    <w:p>
      <w:pPr>
        <w:spacing w:after="120"/>
      </w:pPr>
      <w:r>
        <w:rPr>
          <w:rFonts w:ascii="Arial" w:hAnsi="Arial"/>
          <w:b w:val="0"/>
          <w:i w:val="0"/>
          <w:color w:val="1A1A2E"/>
          <w:sz w:val="22"/>
        </w:rPr>
        <w:t>Aurora Capital Holdings operates through three business segments: Institutional Securities, Wealth Management, and Investment Management. The firm is headquartered in New York and employs approximately 18,500 people globally.</w:t>
        <w:rFonts w:eastAsia="Arial" w:ascii="Arial" w:hAnsi="Arial" w:cs="Arial"/>
      </w:r>
    </w:p>
    <w:p>
      <w:pPr>
        <w:spacing w:after="120"/>
      </w:pPr>
      <w:r>
        <w:rPr>
          <w:rFonts w:ascii="Arial" w:hAnsi="Arial"/>
          <w:b w:val="0"/>
          <w:i w:val="0"/>
          <w:color w:val="1A1A2E"/>
          <w:sz w:val="22"/>
        </w:rPr>
        <w:t>Each segment contributes meaningfully to group revenue, with Wealth Management representing the largest and fastest-growing division at 41% of FY24 revenue.</w:t>
        <w:rFonts w:eastAsia="Arial" w:ascii="Arial" w:hAnsi="Arial" w:cs="Arial"/>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02855"/>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FFFFFF"/>
                <w:sz w:val="20"/>
              </w:rPr>
              <w:t>Segment</w:t>
              <w:rFonts w:eastAsia="Arial" w:ascii="Arial" w:hAnsi="Arial" w:cs="Arial"/>
            </w:r>
          </w:p>
        </w:tc>
        <w:tc>
          <w:tcPr>
            <w:tcW w:type="dxa" w:w="234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Revenue FY24</w:t>
              <w:rFonts w:eastAsia="Arial" w:ascii="Arial" w:hAnsi="Arial" w:cs="Arial"/>
            </w:r>
          </w:p>
        </w:tc>
        <w:tc>
          <w:tcPr>
            <w:tcW w:type="dxa" w:w="234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 of Total</w:t>
              <w:rFonts w:eastAsia="Arial" w:ascii="Arial" w:hAnsi="Arial" w:cs="Arial"/>
            </w:r>
          </w:p>
        </w:tc>
        <w:tc>
          <w:tcPr>
            <w:tcW w:type="dxa" w:w="234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YoY Growth</w:t>
              <w:rFonts w:eastAsia="Arial" w:ascii="Arial" w:hAnsi="Arial" w:cs="Arial"/>
            </w:r>
          </w:p>
        </w:tc>
      </w:tr>
      <w:tr>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Institutional Securities</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$2,145 M</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41.0%</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center"/>
            </w:pPr>
            <w:r>
              <w:rPr>
                <w:rFonts w:ascii="Arial" w:hAnsi="Arial"/>
                <w:b w:val="0"/>
                <w:i w:val="0"/>
                <w:color w:val="1A1A2E"/>
                <w:sz w:val="20"/>
              </w:rPr>
              <w:t>+7.2%</w:t>
              <w:rFonts w:eastAsia="Arial" w:ascii="Arial" w:hAnsi="Arial" w:cs="Arial"/>
            </w:r>
          </w:p>
        </w:tc>
      </w:tr>
      <w:tr>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Wealth Management</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$1,830 M</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35.0%</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center"/>
            </w:pPr>
            <w:r>
              <w:rPr>
                <w:rFonts w:ascii="Arial" w:hAnsi="Arial"/>
                <w:b w:val="0"/>
                <w:i w:val="0"/>
                <w:color w:val="1A1A2E"/>
                <w:sz w:val="20"/>
              </w:rPr>
              <w:t>+13.8%</w:t>
              <w:rFonts w:eastAsia="Arial" w:ascii="Arial" w:hAnsi="Arial" w:cs="Arial"/>
            </w:r>
          </w:p>
        </w:tc>
      </w:tr>
      <w:tr>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Investment Management</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$985 M</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18.8%</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center"/>
            </w:pPr>
            <w:r>
              <w:rPr>
                <w:rFonts w:ascii="Arial" w:hAnsi="Arial"/>
                <w:b w:val="0"/>
                <w:i w:val="0"/>
                <w:color w:val="1A1A2E"/>
                <w:sz w:val="20"/>
              </w:rPr>
              <w:t>+9.5%</w:t>
              <w:rFonts w:eastAsia="Arial" w:ascii="Arial" w:hAnsi="Arial" w:cs="Arial"/>
            </w:r>
          </w:p>
        </w:tc>
      </w:tr>
      <w:tr>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Corporate / Other</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$270 M</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5.2%</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-2.1%</w:t>
              <w:rFonts w:eastAsia="Arial" w:ascii="Arial" w:hAnsi="Arial" w:cs="Arial"/>
            </w:r>
          </w:p>
        </w:tc>
      </w:tr>
      <w:tr>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Total</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$5,230 M</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100.0%</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center"/>
            </w:pPr>
            <w:r>
              <w:rPr>
                <w:rFonts w:ascii="Arial" w:hAnsi="Arial"/>
                <w:b w:val="0"/>
                <w:i w:val="0"/>
                <w:color w:val="1A1A2E"/>
                <w:sz w:val="20"/>
              </w:rPr>
              <w:t>+9.4%</w:t>
              <w:rFonts w:eastAsia="Arial" w:ascii="Arial" w:hAnsi="Arial" w:cs="Arial"/>
            </w:r>
          </w:p>
        </w:tc>
      </w:tr>
    </w:tbl>
    <w:p/>
    <w:p>
      <w:pPr>
        <w:spacing w:before="200"/>
      </w:pPr>
    </w:p>
    <w:p>
      <w:pPr>
        <w:spacing w:after="40"/>
      </w:pPr>
      <w:r>
        <w:rPr>
          <w:rFonts w:ascii="Arial" w:hAnsi="Arial"/>
          <w:b/>
          <w:i w:val="0"/>
          <w:color w:val="002855"/>
          <w:sz w:val="36"/>
        </w:rPr>
        <w:t>Financial Performance</w:t>
        <w:rFonts w:eastAsia="Arial" w:ascii="Arial" w:hAnsi="Arial" w:cs="Arial"/>
      </w:r>
    </w:p>
    <w:p>
      <w:pPr>
        <w:spacing w:after="120"/>
        <w:jc w:val="left"/>
        <w:pBdr>
          <w:bottom w:val="single" w:sz="8" w:space="1" w:color="c9a84c"/>
        </w:pBdr>
      </w:pPr>
      <w:r>
        <w:t xml:space="preserve"> </w:t>
      </w:r>
    </w:p>
    <w:p>
      <w:pPr>
        <w:spacing w:after="120"/>
      </w:pPr>
      <w:r>
        <w:rPr>
          <w:rFonts w:ascii="Arial" w:hAnsi="Arial"/>
          <w:b w:val="0"/>
          <w:i w:val="0"/>
          <w:color w:val="1A1A2E"/>
          <w:sz w:val="22"/>
        </w:rPr>
        <w:t>FY24 results reflected strong trading and investment banking momentum. Revenue grew 9.4% YoY while adjusted operating margin expanded 120 bps to 22.4%.</w:t>
        <w:rFonts w:eastAsia="Arial" w:ascii="Arial" w:hAnsi="Arial" w:cs="Arial"/>
      </w:r>
    </w:p>
    <w:p>
      <w:pPr>
        <w:spacing w:after="120"/>
      </w:pPr>
      <w:r>
        <w:rPr>
          <w:rFonts w:ascii="Arial" w:hAnsi="Arial"/>
          <w:b w:val="0"/>
          <w:i w:val="0"/>
          <w:color w:val="1A1A2E"/>
          <w:sz w:val="22"/>
        </w:rPr>
        <w:t>Net income attributable to common shareholders reached $782 M, up 14.2% YoY, while diluted EPS grew 16.0% to $5.42, supported by ongoing share repurchases.</w:t>
        <w:rFonts w:eastAsia="Arial" w:ascii="Arial" w:hAnsi="Arial" w:cs="Arial"/>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002855"/>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FFFFFF"/>
                <w:sz w:val="20"/>
              </w:rPr>
              <w:t>Metric</w:t>
              <w:rFonts w:eastAsia="Arial" w:ascii="Arial" w:hAnsi="Arial" w:cs="Arial"/>
            </w:r>
          </w:p>
        </w:tc>
        <w:tc>
          <w:tcPr>
            <w:tcW w:type="dxa" w:w="156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FY22</w:t>
              <w:rFonts w:eastAsia="Arial" w:ascii="Arial" w:hAnsi="Arial" w:cs="Arial"/>
            </w:r>
          </w:p>
        </w:tc>
        <w:tc>
          <w:tcPr>
            <w:tcW w:type="dxa" w:w="156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FY23</w:t>
              <w:rFonts w:eastAsia="Arial" w:ascii="Arial" w:hAnsi="Arial" w:cs="Arial"/>
            </w:r>
          </w:p>
        </w:tc>
        <w:tc>
          <w:tcPr>
            <w:tcW w:type="dxa" w:w="156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FY24</w:t>
              <w:rFonts w:eastAsia="Arial" w:ascii="Arial" w:hAnsi="Arial" w:cs="Arial"/>
            </w:r>
          </w:p>
        </w:tc>
        <w:tc>
          <w:tcPr>
            <w:tcW w:type="dxa" w:w="156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FY25E</w:t>
              <w:rFonts w:eastAsia="Arial" w:ascii="Arial" w:hAnsi="Arial" w:cs="Arial"/>
            </w:r>
          </w:p>
        </w:tc>
        <w:tc>
          <w:tcPr>
            <w:tcW w:type="dxa" w:w="156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FY26E</w:t>
              <w:rFonts w:eastAsia="Arial" w:ascii="Arial" w:hAnsi="Arial" w:cs="Arial"/>
            </w:r>
          </w:p>
        </w:tc>
      </w:tr>
      <w:tr>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Revenue ($ M)</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4,520</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4,810</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5,230</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5,750</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6,380</w:t>
              <w:rFonts w:eastAsia="Arial" w:ascii="Arial" w:hAnsi="Arial" w:cs="Arial"/>
            </w:r>
          </w:p>
        </w:tc>
      </w:tr>
      <w:tr>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Operating Income</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782</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854</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902</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1,012</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1,128</w:t>
              <w:rFonts w:eastAsia="Arial" w:ascii="Arial" w:hAnsi="Arial" w:cs="Arial"/>
            </w:r>
          </w:p>
        </w:tc>
      </w:tr>
      <w:tr>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Net Income</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426</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452</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478</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538</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602</w:t>
              <w:rFonts w:eastAsia="Arial" w:ascii="Arial" w:hAnsi="Arial" w:cs="Arial"/>
            </w:r>
          </w:p>
        </w:tc>
      </w:tr>
      <w:tr>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EPS ($)</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2.85</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3.02</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3.19</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3.59</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4.01</w:t>
              <w:rFonts w:eastAsia="Arial" w:ascii="Arial" w:hAnsi="Arial" w:cs="Arial"/>
            </w:r>
          </w:p>
        </w:tc>
      </w:tr>
      <w:tr>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Operating Margin</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17.3%</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17.8%</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17.2%</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17.6%</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17.7%</w:t>
              <w:rFonts w:eastAsia="Arial" w:ascii="Arial" w:hAnsi="Arial" w:cs="Arial"/>
            </w:r>
          </w:p>
        </w:tc>
      </w:tr>
      <w:tr>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ROE</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9.6%</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10.2%</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11.8%</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12.4%</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13.1%</w:t>
              <w:rFonts w:eastAsia="Arial" w:ascii="Arial" w:hAnsi="Arial" w:cs="Arial"/>
            </w:r>
          </w:p>
        </w:tc>
      </w:tr>
    </w:tbl>
    <w:p/>
    <w:p>
      <w:pPr>
        <w:spacing w:before="200"/>
      </w:pPr>
    </w:p>
    <w:p>
      <w:pPr>
        <w:spacing w:after="40"/>
      </w:pPr>
      <w:r>
        <w:rPr>
          <w:rFonts w:ascii="Arial" w:hAnsi="Arial"/>
          <w:b/>
          <w:i w:val="0"/>
          <w:color w:val="002855"/>
          <w:sz w:val="36"/>
        </w:rPr>
        <w:t>Valuation</w:t>
        <w:rFonts w:eastAsia="Arial" w:ascii="Arial" w:hAnsi="Arial" w:cs="Arial"/>
      </w:r>
    </w:p>
    <w:p>
      <w:pPr>
        <w:spacing w:after="120"/>
        <w:jc w:val="left"/>
        <w:pBdr>
          <w:bottom w:val="single" w:sz="8" w:space="1" w:color="c9a84c"/>
        </w:pBdr>
      </w:pPr>
      <w:r>
        <w:t xml:space="preserve"> </w:t>
      </w:r>
    </w:p>
    <w:p>
      <w:pPr>
        <w:spacing w:after="120"/>
      </w:pPr>
      <w:r>
        <w:rPr>
          <w:rFonts w:ascii="Arial" w:hAnsi="Arial"/>
          <w:b w:val="0"/>
          <w:i w:val="0"/>
          <w:color w:val="1A1A2E"/>
          <w:sz w:val="22"/>
        </w:rPr>
        <w:t>Our $125 target price implies 15.0x FY26E P/E, a modest premium to the peer median of 12.8x, reflecting Aurora's superior growth profile and capital return trajectory.</w:t>
        <w:rFonts w:eastAsia="Arial" w:ascii="Arial" w:hAnsi="Arial" w:cs="Arial"/>
      </w:r>
    </w:p>
    <w:p>
      <w:pPr>
        <w:spacing w:after="120"/>
      </w:pPr>
      <w:r>
        <w:rPr>
          <w:rFonts w:ascii="Arial" w:hAnsi="Arial"/>
          <w:b w:val="0"/>
          <w:i w:val="0"/>
          <w:color w:val="1A1A2E"/>
          <w:sz w:val="22"/>
        </w:rPr>
        <w:t>On an EV/EBITDA basis, the stock trades at 10.8x FY24, in line with larger universal banks but below specialized wealth managers at 12.5x to 14.0x.</w:t>
        <w:rFonts w:eastAsia="Arial" w:ascii="Arial" w:hAnsi="Arial" w:cs="Arial"/>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02855"/>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FFFFFF"/>
                <w:sz w:val="20"/>
              </w:rPr>
              <w:t>Metric</w:t>
              <w:rFonts w:eastAsia="Arial" w:ascii="Arial" w:hAnsi="Arial" w:cs="Arial"/>
            </w:r>
          </w:p>
        </w:tc>
        <w:tc>
          <w:tcPr>
            <w:tcW w:type="dxa" w:w="234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FY24</w:t>
              <w:rFonts w:eastAsia="Arial" w:ascii="Arial" w:hAnsi="Arial" w:cs="Arial"/>
            </w:r>
          </w:p>
        </w:tc>
        <w:tc>
          <w:tcPr>
            <w:tcW w:type="dxa" w:w="234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FY25E</w:t>
              <w:rFonts w:eastAsia="Arial" w:ascii="Arial" w:hAnsi="Arial" w:cs="Arial"/>
            </w:r>
          </w:p>
        </w:tc>
        <w:tc>
          <w:tcPr>
            <w:tcW w:type="dxa" w:w="234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FY26E</w:t>
              <w:rFonts w:eastAsia="Arial" w:ascii="Arial" w:hAnsi="Arial" w:cs="Arial"/>
            </w:r>
          </w:p>
        </w:tc>
      </w:tr>
      <w:tr>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P/E</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15.2x</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13.8x</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12.5x</w:t>
              <w:rFonts w:eastAsia="Arial" w:ascii="Arial" w:hAnsi="Arial" w:cs="Arial"/>
            </w:r>
          </w:p>
        </w:tc>
      </w:tr>
      <w:tr>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EV/Revenue</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2.9x</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2.7x</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2.5x</w:t>
              <w:rFonts w:eastAsia="Arial" w:ascii="Arial" w:hAnsi="Arial" w:cs="Arial"/>
            </w:r>
          </w:p>
        </w:tc>
      </w:tr>
      <w:tr>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EV/EBITDA</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10.8x</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10.2x</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9.4x</w:t>
              <w:rFonts w:eastAsia="Arial" w:ascii="Arial" w:hAnsi="Arial" w:cs="Arial"/>
            </w:r>
          </w:p>
        </w:tc>
      </w:tr>
      <w:tr>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Price/Book</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1.72x</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1.58x</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1.46x</w:t>
              <w:rFonts w:eastAsia="Arial" w:ascii="Arial" w:hAnsi="Arial" w:cs="Arial"/>
            </w:r>
          </w:p>
        </w:tc>
      </w:tr>
      <w:tr>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ROE</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11.8%</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12.4%</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13.1%</w:t>
              <w:rFonts w:eastAsia="Arial" w:ascii="Arial" w:hAnsi="Arial" w:cs="Arial"/>
            </w:r>
          </w:p>
        </w:tc>
      </w:tr>
      <w:tr>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Dividend Yield</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2.5%</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2.7%</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2.9%</w:t>
              <w:rFonts w:eastAsia="Arial" w:ascii="Arial" w:hAnsi="Arial" w:cs="Arial"/>
            </w:r>
          </w:p>
        </w:tc>
      </w:tr>
    </w:tbl>
    <w:p/>
    <w:p>
      <w:pPr>
        <w:spacing w:before="200"/>
      </w:pPr>
    </w:p>
    <w:p>
      <w:pPr>
        <w:spacing w:after="40"/>
      </w:pPr>
      <w:r>
        <w:rPr>
          <w:rFonts w:ascii="Arial" w:hAnsi="Arial"/>
          <w:b/>
          <w:i w:val="0"/>
          <w:color w:val="002855"/>
          <w:sz w:val="36"/>
        </w:rPr>
        <w:t>Growth Catalysts</w:t>
        <w:rFonts w:eastAsia="Arial" w:ascii="Arial" w:hAnsi="Arial" w:cs="Arial"/>
      </w:r>
    </w:p>
    <w:p>
      <w:pPr>
        <w:spacing w:after="120"/>
        <w:jc w:val="left"/>
        <w:pBdr>
          <w:bottom w:val="single" w:sz="8" w:space="1" w:color="c9a84c"/>
        </w:pBdr>
      </w:pPr>
      <w:r>
        <w:t xml:space="preserve"> </w:t>
      </w:r>
    </w:p>
    <w:p>
      <w:pPr>
        <w:spacing w:after="120"/>
      </w:pPr>
      <w:r>
        <w:rPr>
          <w:rFonts w:ascii="Arial" w:hAnsi="Arial"/>
          <w:b w:val="0"/>
          <w:i w:val="0"/>
          <w:color w:val="1A1A2E"/>
          <w:sz w:val="22"/>
        </w:rPr>
        <w:t>We identify three key catalysts that could drive near-term upside relative to consensus expectations. Each is tied to observable pipeline metrics that we track quarterly.</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Acceleration in advisory mandates from large-cap M&amp;A pipeline rebuild.</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Wealth management cross-sell initiative targeting $1.2 B incremental revenue.</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International expansion in APAC wealth management, led by Greater China.</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Stablecoin and digital-asset custody as a new revenue vertical.</w:t>
        <w:rFonts w:eastAsia="Arial" w:ascii="Arial" w:hAnsi="Arial" w:cs="Arial"/>
      </w:r>
    </w:p>
    <w:p>
      <w:pPr>
        <w:spacing w:before="200"/>
      </w:pPr>
    </w:p>
    <w:p>
      <w:pPr>
        <w:spacing w:after="40"/>
      </w:pPr>
      <w:r>
        <w:rPr>
          <w:rFonts w:ascii="Arial" w:hAnsi="Arial"/>
          <w:b/>
          <w:i w:val="0"/>
          <w:color w:val="002855"/>
          <w:sz w:val="36"/>
        </w:rPr>
        <w:t>Risk Factors</w:t>
        <w:rFonts w:eastAsia="Arial" w:ascii="Arial" w:hAnsi="Arial" w:cs="Arial"/>
      </w:r>
    </w:p>
    <w:p>
      <w:pPr>
        <w:spacing w:after="120"/>
        <w:jc w:val="left"/>
        <w:pBdr>
          <w:bottom w:val="single" w:sz="8" w:space="1" w:color="c9a84c"/>
        </w:pBdr>
      </w:pPr>
      <w:r>
        <w:t xml:space="preserve"> </w:t>
      </w:r>
    </w:p>
    <w:p>
      <w:pPr>
        <w:spacing w:after="160"/>
      </w:pPr>
      <w:r>
        <w:rPr>
          <w:rFonts w:ascii="Arial" w:hAnsi="Arial"/>
          <w:b w:val="0"/>
          <w:i/>
          <w:color w:val="6B7280"/>
          <w:sz w:val="20"/>
        </w:rPr>
        <w:t>The following risk factors should be considered in conjunction with this research report. Investors should conduct their own due diligence before making investment decisions.</w:t>
        <w:rFonts w:eastAsia="Arial" w:ascii="Arial" w:hAnsi="Arial" w:cs="Arial"/>
      </w:r>
    </w:p>
    <w:p>
      <w:pPr>
        <w:spacing w:before="160" w:after="60"/>
      </w:pPr>
      <w:r>
        <w:rPr>
          <w:rFonts w:ascii="Arial" w:hAnsi="Arial"/>
          <w:b/>
          <w:i w:val="0"/>
          <w:color w:val="C82020"/>
          <w:sz w:val="22"/>
        </w:rPr>
        <w:t xml:space="preserve">▲ </w:t>
        <w:rFonts w:eastAsia="Arial" w:ascii="Arial" w:hAnsi="Arial" w:cs="Arial"/>
      </w:r>
      <w:r>
        <w:rPr>
          <w:rFonts w:ascii="Arial" w:hAnsi="Arial"/>
          <w:b/>
          <w:i w:val="0"/>
          <w:color w:val="C82020"/>
          <w:sz w:val="20"/>
        </w:rPr>
        <w:t xml:space="preserve">HIGH  </w:t>
        <w:rFonts w:eastAsia="Arial" w:ascii="Arial" w:hAnsi="Arial" w:cs="Arial"/>
      </w:r>
      <w:r>
        <w:rPr>
          <w:rFonts w:ascii="Arial" w:hAnsi="Arial"/>
          <w:b/>
          <w:i w:val="0"/>
          <w:color w:val="1A1A2E"/>
          <w:sz w:val="24"/>
        </w:rPr>
        <w:t>Market Volatility</w:t>
        <w:rFonts w:eastAsia="Arial" w:ascii="Arial" w:hAnsi="Arial" w:cs="Arial"/>
      </w:r>
    </w:p>
    <w:p>
      <w:pPr>
        <w:spacing w:after="80"/>
        <w:ind w:left="504"/>
      </w:pPr>
      <w:r>
        <w:rPr>
          <w:rFonts w:ascii="Arial" w:hAnsi="Arial"/>
          <w:b w:val="0"/>
          <w:i w:val="0"/>
          <w:color w:val="1A1A2E"/>
          <w:sz w:val="22"/>
        </w:rPr>
        <w:t>A sustained downturn in global risk assets could compress trading revenue and AUM-linked fees, reducing the forward earnings trajectory.</w:t>
        <w:rFonts w:eastAsia="Arial" w:ascii="Arial" w:hAnsi="Arial" w:cs="Arial"/>
      </w:r>
    </w:p>
    <w:p>
      <w:pPr>
        <w:spacing w:after="120"/>
        <w:ind w:left="504"/>
      </w:pPr>
      <w:r>
        <w:rPr>
          <w:rFonts w:ascii="Arial" w:hAnsi="Arial"/>
          <w:b/>
          <w:i w:val="0"/>
          <w:color w:val="002855"/>
          <w:sz w:val="20"/>
        </w:rPr>
        <w:t xml:space="preserve">Mitigation:  </w:t>
        <w:rFonts w:eastAsia="Arial" w:ascii="Arial" w:hAnsi="Arial" w:cs="Arial"/>
      </w:r>
      <w:r>
        <w:rPr>
          <w:rFonts w:ascii="Arial" w:hAnsi="Arial"/>
          <w:b w:val="0"/>
          <w:i w:val="0"/>
          <w:color w:val="1A1A2E"/>
          <w:sz w:val="20"/>
        </w:rPr>
        <w:t>Diversified revenue mix across institutional and wealth segments cushions against single-market pullbacks.</w:t>
        <w:rFonts w:eastAsia="Arial" w:ascii="Arial" w:hAnsi="Arial" w:cs="Arial"/>
      </w:r>
    </w:p>
    <w:p>
      <w:pPr>
        <w:spacing w:before="160" w:after="60"/>
      </w:pPr>
      <w:r>
        <w:rPr>
          <w:rFonts w:ascii="Arial" w:hAnsi="Arial"/>
          <w:b/>
          <w:i w:val="0"/>
          <w:color w:val="C82020"/>
          <w:sz w:val="22"/>
        </w:rPr>
        <w:t xml:space="preserve">▲ </w:t>
        <w:rFonts w:eastAsia="Arial" w:ascii="Arial" w:hAnsi="Arial" w:cs="Arial"/>
      </w:r>
      <w:r>
        <w:rPr>
          <w:rFonts w:ascii="Arial" w:hAnsi="Arial"/>
          <w:b/>
          <w:i w:val="0"/>
          <w:color w:val="C82020"/>
          <w:sz w:val="20"/>
        </w:rPr>
        <w:t xml:space="preserve">HIGH  </w:t>
        <w:rFonts w:eastAsia="Arial" w:ascii="Arial" w:hAnsi="Arial" w:cs="Arial"/>
      </w:r>
      <w:r>
        <w:rPr>
          <w:rFonts w:ascii="Arial" w:hAnsi="Arial"/>
          <w:b/>
          <w:i w:val="0"/>
          <w:color w:val="1A1A2E"/>
          <w:sz w:val="24"/>
        </w:rPr>
        <w:t>Regulatory Tightening</w:t>
        <w:rFonts w:eastAsia="Arial" w:ascii="Arial" w:hAnsi="Arial" w:cs="Arial"/>
      </w:r>
    </w:p>
    <w:p>
      <w:pPr>
        <w:spacing w:after="80"/>
        <w:ind w:left="504"/>
      </w:pPr>
      <w:r>
        <w:rPr>
          <w:rFonts w:ascii="Arial" w:hAnsi="Arial"/>
          <w:b w:val="0"/>
          <w:i w:val="0"/>
          <w:color w:val="1A1A2E"/>
          <w:sz w:val="22"/>
        </w:rPr>
        <w:t>Tighter capital requirements may constrain return of capital and raise compliance costs across business segments.</w:t>
        <w:rFonts w:eastAsia="Arial" w:ascii="Arial" w:hAnsi="Arial" w:cs="Arial"/>
      </w:r>
    </w:p>
    <w:p>
      <w:pPr>
        <w:spacing w:after="120"/>
        <w:ind w:left="504"/>
      </w:pPr>
      <w:r>
        <w:rPr>
          <w:rFonts w:ascii="Arial" w:hAnsi="Arial"/>
          <w:b/>
          <w:i w:val="0"/>
          <w:color w:val="002855"/>
          <w:sz w:val="20"/>
        </w:rPr>
        <w:t xml:space="preserve">Mitigation:  </w:t>
        <w:rFonts w:eastAsia="Arial" w:ascii="Arial" w:hAnsi="Arial" w:cs="Arial"/>
      </w:r>
      <w:r>
        <w:rPr>
          <w:rFonts w:ascii="Arial" w:hAnsi="Arial"/>
          <w:b w:val="0"/>
          <w:i w:val="0"/>
          <w:color w:val="1A1A2E"/>
          <w:sz w:val="20"/>
        </w:rPr>
        <w:t>Conservative capital position and proactive compliance investments provide headroom against rule changes.</w:t>
        <w:rFonts w:eastAsia="Arial" w:ascii="Arial" w:hAnsi="Arial" w:cs="Arial"/>
      </w:r>
    </w:p>
    <w:p>
      <w:pPr>
        <w:spacing w:before="160" w:after="60"/>
      </w:pPr>
      <w:r>
        <w:rPr>
          <w:rFonts w:ascii="Arial" w:hAnsi="Arial"/>
          <w:b/>
          <w:i w:val="0"/>
          <w:color w:val="D87F00"/>
          <w:sz w:val="22"/>
        </w:rPr>
        <w:t xml:space="preserve">▲ </w:t>
        <w:rFonts w:eastAsia="Arial" w:ascii="Arial" w:hAnsi="Arial" w:cs="Arial"/>
      </w:r>
      <w:r>
        <w:rPr>
          <w:rFonts w:ascii="Arial" w:hAnsi="Arial"/>
          <w:b/>
          <w:i w:val="0"/>
          <w:color w:val="D87F00"/>
          <w:sz w:val="20"/>
        </w:rPr>
        <w:t xml:space="preserve">MEDIUM  </w:t>
        <w:rFonts w:eastAsia="Arial" w:ascii="Arial" w:hAnsi="Arial" w:cs="Arial"/>
      </w:r>
      <w:r>
        <w:rPr>
          <w:rFonts w:ascii="Arial" w:hAnsi="Arial"/>
          <w:b/>
          <w:i w:val="0"/>
          <w:color w:val="1A1A2E"/>
          <w:sz w:val="24"/>
        </w:rPr>
        <w:t>Rate Environment</w:t>
        <w:rFonts w:eastAsia="Arial" w:ascii="Arial" w:hAnsi="Arial" w:cs="Arial"/>
      </w:r>
    </w:p>
    <w:p>
      <w:pPr>
        <w:spacing w:after="80"/>
        <w:ind w:left="504"/>
      </w:pPr>
      <w:r>
        <w:rPr>
          <w:rFonts w:ascii="Arial" w:hAnsi="Arial"/>
          <w:b w:val="0"/>
          <w:i w:val="0"/>
          <w:color w:val="1A1A2E"/>
          <w:sz w:val="22"/>
        </w:rPr>
        <w:t>A higher-for-longer rate environment may pressure net interest income within wealth management and mark-to-market losses on fixed-income inventory.</w:t>
        <w:rFonts w:eastAsia="Arial" w:ascii="Arial" w:hAnsi="Arial" w:cs="Arial"/>
      </w:r>
    </w:p>
    <w:p>
      <w:pPr>
        <w:spacing w:after="120"/>
        <w:ind w:left="504"/>
      </w:pPr>
      <w:r>
        <w:rPr>
          <w:rFonts w:ascii="Arial" w:hAnsi="Arial"/>
          <w:b/>
          <w:i w:val="0"/>
          <w:color w:val="002855"/>
          <w:sz w:val="20"/>
        </w:rPr>
        <w:t xml:space="preserve">Mitigation:  </w:t>
        <w:rFonts w:eastAsia="Arial" w:ascii="Arial" w:hAnsi="Arial" w:cs="Arial"/>
      </w:r>
      <w:r>
        <w:rPr>
          <w:rFonts w:ascii="Arial" w:hAnsi="Arial"/>
          <w:b w:val="0"/>
          <w:i w:val="0"/>
          <w:color w:val="1A1A2E"/>
          <w:sz w:val="20"/>
        </w:rPr>
        <w:t>Fee-based revenue mix dampens sensitivity to rate moves; active duration management limits MTM volatility.</w:t>
        <w:rFonts w:eastAsia="Arial" w:ascii="Arial" w:hAnsi="Arial" w:cs="Arial"/>
      </w:r>
    </w:p>
    <w:p>
      <w:pPr>
        <w:spacing w:before="160" w:after="60"/>
      </w:pPr>
      <w:r>
        <w:rPr>
          <w:rFonts w:ascii="Arial" w:hAnsi="Arial"/>
          <w:b/>
          <w:i w:val="0"/>
          <w:color w:val="2E8B57"/>
          <w:sz w:val="22"/>
        </w:rPr>
        <w:t xml:space="preserve">▲ </w:t>
        <w:rFonts w:eastAsia="Arial" w:ascii="Arial" w:hAnsi="Arial" w:cs="Arial"/>
      </w:r>
      <w:r>
        <w:rPr>
          <w:rFonts w:ascii="Arial" w:hAnsi="Arial"/>
          <w:b/>
          <w:i w:val="0"/>
          <w:color w:val="2E8B57"/>
          <w:sz w:val="20"/>
        </w:rPr>
        <w:t xml:space="preserve">LOW  </w:t>
        <w:rFonts w:eastAsia="Arial" w:ascii="Arial" w:hAnsi="Arial" w:cs="Arial"/>
      </w:r>
      <w:r>
        <w:rPr>
          <w:rFonts w:ascii="Arial" w:hAnsi="Arial"/>
          <w:b/>
          <w:i w:val="0"/>
          <w:color w:val="1A1A2E"/>
          <w:sz w:val="24"/>
        </w:rPr>
        <w:t>FX Translation</w:t>
        <w:rFonts w:eastAsia="Arial" w:ascii="Arial" w:hAnsi="Arial" w:cs="Arial"/>
      </w:r>
    </w:p>
    <w:p>
      <w:pPr>
        <w:spacing w:after="80"/>
        <w:ind w:left="504"/>
      </w:pPr>
      <w:r>
        <w:rPr>
          <w:rFonts w:ascii="Arial" w:hAnsi="Arial"/>
          <w:b w:val="0"/>
          <w:i w:val="0"/>
          <w:color w:val="1A1A2E"/>
          <w:sz w:val="22"/>
        </w:rPr>
        <w:t>FX translation effects from a strengthening USD on international revenue remain modest at approximately 6% of total revenue.</w:t>
        <w:rFonts w:eastAsia="Arial" w:ascii="Arial" w:hAnsi="Arial" w:cs="Arial"/>
      </w:r>
    </w:p>
    <w:p>
      <w:pPr>
        <w:spacing w:after="120"/>
        <w:ind w:left="504"/>
      </w:pPr>
      <w:r>
        <w:rPr>
          <w:rFonts w:ascii="Arial" w:hAnsi="Arial"/>
          <w:b/>
          <w:i w:val="0"/>
          <w:color w:val="002855"/>
          <w:sz w:val="20"/>
        </w:rPr>
        <w:t xml:space="preserve">Mitigation:  </w:t>
        <w:rFonts w:eastAsia="Arial" w:ascii="Arial" w:hAnsi="Arial" w:cs="Arial"/>
      </w:r>
      <w:r>
        <w:rPr>
          <w:rFonts w:ascii="Arial" w:hAnsi="Arial"/>
          <w:b w:val="0"/>
          <w:i w:val="0"/>
          <w:color w:val="1A1A2E"/>
          <w:sz w:val="20"/>
        </w:rPr>
        <w:t>Natural hedges via local-currency funding and limited use of FX forwards reduce exposure.</w:t>
        <w:rFonts w:eastAsia="Arial" w:ascii="Arial" w:hAnsi="Arial" w:cs="Arial"/>
      </w:r>
    </w:p>
    <w:p>
      <w:pPr>
        <w:spacing w:before="160" w:after="60"/>
      </w:pPr>
      <w:r>
        <w:rPr>
          <w:rFonts w:ascii="Arial" w:hAnsi="Arial"/>
          <w:b/>
          <w:i w:val="0"/>
          <w:color w:val="2E8B57"/>
          <w:sz w:val="22"/>
        </w:rPr>
        <w:t xml:space="preserve">▲ </w:t>
        <w:rFonts w:eastAsia="Arial" w:ascii="Arial" w:hAnsi="Arial" w:cs="Arial"/>
      </w:r>
      <w:r>
        <w:rPr>
          <w:rFonts w:ascii="Arial" w:hAnsi="Arial"/>
          <w:b/>
          <w:i w:val="0"/>
          <w:color w:val="2E8B57"/>
          <w:sz w:val="20"/>
        </w:rPr>
        <w:t xml:space="preserve">LOW  </w:t>
        <w:rFonts w:eastAsia="Arial" w:ascii="Arial" w:hAnsi="Arial" w:cs="Arial"/>
      </w:r>
      <w:r>
        <w:rPr>
          <w:rFonts w:ascii="Arial" w:hAnsi="Arial"/>
          <w:b/>
          <w:i w:val="0"/>
          <w:color w:val="1A1A2E"/>
          <w:sz w:val="24"/>
        </w:rPr>
        <w:t>Talent Retention</w:t>
        <w:rFonts w:eastAsia="Arial" w:ascii="Arial" w:hAnsi="Arial" w:cs="Arial"/>
      </w:r>
    </w:p>
    <w:p>
      <w:pPr>
        <w:spacing w:after="80"/>
        <w:ind w:left="504"/>
      </w:pPr>
      <w:r>
        <w:rPr>
          <w:rFonts w:ascii="Arial" w:hAnsi="Arial"/>
          <w:b w:val="0"/>
          <w:i w:val="0"/>
          <w:color w:val="1A1A2E"/>
          <w:sz w:val="22"/>
        </w:rPr>
        <w:t>Competitive compensation markets could increase turnover among senior revenue producers.</w:t>
        <w:rFonts w:eastAsia="Arial" w:ascii="Arial" w:hAnsi="Arial" w:cs="Arial"/>
      </w:r>
    </w:p>
    <w:p>
      <w:pPr>
        <w:spacing w:after="120"/>
        <w:ind w:left="504"/>
      </w:pPr>
      <w:r>
        <w:rPr>
          <w:rFonts w:ascii="Arial" w:hAnsi="Arial"/>
          <w:b/>
          <w:i w:val="0"/>
          <w:color w:val="002855"/>
          <w:sz w:val="20"/>
        </w:rPr>
        <w:t xml:space="preserve">Mitigation:  </w:t>
        <w:rFonts w:eastAsia="Arial" w:ascii="Arial" w:hAnsi="Arial" w:cs="Arial"/>
      </w:r>
      <w:r>
        <w:rPr>
          <w:rFonts w:ascii="Arial" w:hAnsi="Arial"/>
          <w:b w:val="0"/>
          <w:i w:val="0"/>
          <w:color w:val="1A1A2E"/>
          <w:sz w:val="20"/>
        </w:rPr>
        <w:t>Multi-year retention programs and equity-linked compensation align long-term incentives.</w:t>
        <w:rFonts w:eastAsia="Arial" w:ascii="Arial" w:hAnsi="Arial" w:cs="Arial"/>
      </w:r>
    </w:p>
    <w:p>
      <w:pPr>
        <w:spacing w:before="200"/>
      </w:pPr>
    </w:p>
    <w:p>
      <w:pPr>
        <w:spacing w:after="40"/>
      </w:pPr>
      <w:r>
        <w:rPr>
          <w:rFonts w:ascii="Arial" w:hAnsi="Arial"/>
          <w:b/>
          <w:i w:val="0"/>
          <w:color w:val="002855"/>
          <w:sz w:val="36"/>
        </w:rPr>
        <w:t>Disclosures &amp; Disclaimers</w:t>
        <w:rFonts w:eastAsia="Arial" w:ascii="Arial" w:hAnsi="Arial" w:cs="Arial"/>
      </w:r>
    </w:p>
    <w:p>
      <w:pPr>
        <w:spacing w:after="120"/>
        <w:jc w:val="left"/>
        <w:pBdr>
          <w:bottom w:val="single" w:sz="8" w:space="1" w:color="c9a84c"/>
        </w:pBdr>
      </w:pPr>
      <w:r>
        <w:t xml:space="preserve"> </w:t>
      </w:r>
    </w:p>
    <w:p>
      <w:pPr>
        <w:spacing w:after="60"/>
      </w:pPr>
      <w:r>
        <w:rPr>
          <w:rFonts w:ascii="Arial" w:hAnsi="Arial"/>
          <w:b w:val="0"/>
          <w:i/>
          <w:color w:val="6B7280"/>
          <w:sz w:val="18"/>
        </w:rPr>
        <w:t>This research report has been prepared by Aurora Capital Research for informational purposes only. It does not constitute an offer to buy or sell any securities. Aurora Capital and its affiliates may hold positions in, and act as a market maker or underwriter for, the securities mentioned herein. Past performance is not indicative of future results. Investors should consult their own financial advisors before making any investment decision. Information contained herein is based on publicly available sources believed to be reliable; no representation or warranty, express or implied, is made as to its accuracy or completeness.</w:t>
        <w:rFonts w:eastAsia="Arial" w:ascii="Arial" w:hAnsi="Arial" w:cs="Arial"/>
      </w:r>
    </w:p>
    <w:p>
      <w:pPr>
        <w:spacing w:before="280"/>
        <w:pBdr>
          <w:top w:val="single" w:sz="6" w:space="1" w:color="c9a84c"/>
        </w:pBdr>
      </w:pPr>
      <w:r>
        <w:t xml:space="preserve"> </w:t>
      </w:r>
    </w:p>
    <w:p>
      <w:pPr>
        <w:jc w:val="center"/>
      </w:pPr>
      <w:r>
        <w:rPr>
          <w:rFonts w:ascii="Arial" w:hAnsi="Arial"/>
          <w:b/>
          <w:i w:val="0"/>
          <w:color w:val="C9A84C"/>
          <w:sz w:val="18"/>
        </w:rPr>
        <w:t>© 2026 Aurora Capital Holdings. Confidential — For Authorized Recipients Only.</w:t>
        <w:rFonts w:eastAsia="Arial" w:ascii="Arial" w:hAnsi="Arial" w:cs="Arial"/>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