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8" w:space="1" w:color="c9a84c"/>
        </w:pBdr>
      </w:pPr>
      <w:r>
        <w:t xml:space="preserve"> </w:t>
      </w:r>
    </w:p>
    <w:p>
      <w:r>
        <w:rPr>
          <w:rFonts w:ascii="Arial" w:hAnsi="Arial"/>
          <w:b/>
          <w:i w:val="0"/>
          <w:color w:val="C9A84C"/>
          <w:sz w:val="24"/>
        </w:rPr>
        <w:t>极光资本研究</w:t>
        <w:rFonts w:eastAsia="Arial" w:ascii="Arial" w:hAnsi="Arial" w:cs="Arial"/>
      </w:r>
    </w:p>
    <w:p>
      <w:r>
        <w:rPr>
          <w:rFonts w:ascii="Arial" w:hAnsi="Arial"/>
          <w:b w:val="0"/>
          <w:i/>
          <w:color w:val="6B7280"/>
          <w:sz w:val="20"/>
        </w:rPr>
        <w:t>Equity Research Division / 股权研究部  ·  June 12, 2026 / 2026 年 6 月 12 日</w:t>
        <w:rFonts w:eastAsia="Arial" w:ascii="Arial" w:hAnsi="Arial" w:cs="Arial"/>
      </w:r>
    </w:p>
    <w:p/>
    <w:p/>
    <w:p/>
    <w:p>
      <w:pPr>
        <w:spacing w:after="80"/>
        <w:jc w:val="center"/>
      </w:pPr>
      <w:r>
        <w:rPr>
          <w:rFonts w:ascii="Arial" w:hAnsi="Arial"/>
          <w:b/>
          <w:i w:val="0"/>
          <w:color w:val="002855"/>
          <w:sz w:val="56"/>
        </w:rPr>
        <w:t>极光资本控股 (ACHP)</w:t>
        <w:rFonts w:eastAsia="Arial" w:ascii="Arial" w:hAnsi="Arial" w:cs="Arial"/>
      </w:r>
    </w:p>
    <w:p>
      <w:pPr>
        <w:spacing w:after="200"/>
        <w:jc w:val="center"/>
      </w:pPr>
      <w:r>
        <w:rPr>
          <w:rFonts w:ascii="Arial" w:hAnsi="Arial"/>
          <w:b w:val="0"/>
          <w:i/>
          <w:color w:val="1A1A2E"/>
          <w:sz w:val="28"/>
        </w:rPr>
        <w:t>NYSE  ·  启动覆盖研究</w:t>
        <w:rFonts w:eastAsia="Arial" w:ascii="Arial" w:hAnsi="Arial" w:cs="Arial"/>
      </w:r>
    </w:p>
    <w:p>
      <w:pPr>
        <w:jc w:val="center"/>
        <w:pBdr>
          <w:bottom w:val="single" w:sz="12" w:space="1" w:color="c9a84c"/>
        </w:pBdr>
      </w:pPr>
      <w:r>
        <w:t xml:space="preserve">          </w:t>
      </w:r>
    </w:p>
    <w:p>
      <w:pPr>
        <w:spacing w:after="40"/>
        <w:jc w:val="center"/>
      </w:pPr>
      <w:r>
        <w:rPr>
          <w:rFonts w:ascii="Arial" w:hAnsi="Arial"/>
          <w:b/>
          <w:i w:val="0"/>
          <w:color w:val="6B7280"/>
          <w:sz w:val="22"/>
        </w:rPr>
        <w:t xml:space="preserve">投资评级:  </w:t>
        <w:rFonts w:eastAsia="Arial" w:ascii="Arial" w:hAnsi="Arial" w:cs="Arial"/>
      </w:r>
      <w:r>
        <w:rPr>
          <w:rFonts w:ascii="Arial" w:hAnsi="Arial"/>
          <w:b/>
          <w:i w:val="0"/>
          <w:color w:val="002855"/>
          <w:sz w:val="32"/>
        </w:rPr>
        <w:t>OVERWEIGHT</w:t>
        <w:rFonts w:eastAsia="Arial" w:ascii="Arial" w:hAnsi="Arial" w:cs="Arial"/>
      </w:r>
    </w:p>
    <w:p>
      <w:pPr>
        <w:spacing w:after="40"/>
        <w:jc w:val="center"/>
      </w:pPr>
      <w:r>
        <w:rPr>
          <w:rFonts w:ascii="Arial" w:hAnsi="Arial"/>
          <w:b/>
          <w:i w:val="0"/>
          <w:color w:val="6B7280"/>
          <w:sz w:val="22"/>
        </w:rPr>
        <w:t xml:space="preserve">目标价:  </w:t>
        <w:rFonts w:eastAsia="Arial" w:ascii="Arial" w:hAnsi="Arial" w:cs="Arial"/>
      </w:r>
      <w:r>
        <w:rPr>
          <w:rFonts w:ascii="Arial" w:hAnsi="Arial"/>
          <w:b/>
          <w:i w:val="0"/>
          <w:color w:val="C9A84C"/>
          <w:sz w:val="32"/>
        </w:rPr>
        <w:t>$125</w:t>
        <w:rFonts w:eastAsia="Arial" w:ascii="Arial" w:hAnsi="Arial" w:cs="Arial"/>
      </w:r>
    </w:p>
    <w:p>
      <w:pPr>
        <w:spacing w:after="40"/>
        <w:jc w:val="center"/>
      </w:pPr>
      <w:r>
        <w:rPr>
          <w:rFonts w:ascii="Arial" w:hAnsi="Arial"/>
          <w:b/>
          <w:i w:val="0"/>
          <w:color w:val="6B7280"/>
          <w:sz w:val="22"/>
        </w:rPr>
        <w:t xml:space="preserve">当前价:  </w:t>
        <w:rFonts w:eastAsia="Arial" w:ascii="Arial" w:hAnsi="Arial" w:cs="Arial"/>
      </w:r>
      <w:r>
        <w:rPr>
          <w:rFonts w:ascii="Arial" w:hAnsi="Arial"/>
          <w:b/>
          <w:i w:val="0"/>
          <w:color w:val="1A1A2E"/>
          <w:sz w:val="32"/>
        </w:rPr>
        <w:t>$98.50</w:t>
        <w:rFonts w:eastAsia="Arial" w:ascii="Arial" w:hAnsi="Arial" w:cs="Arial"/>
      </w:r>
    </w:p>
    <w:p>
      <w:pPr>
        <w:spacing w:after="40"/>
        <w:jc w:val="center"/>
      </w:pPr>
      <w:r>
        <w:rPr>
          <w:rFonts w:ascii="Arial" w:hAnsi="Arial"/>
          <w:b/>
          <w:i w:val="0"/>
          <w:color w:val="6B7280"/>
          <w:sz w:val="22"/>
        </w:rPr>
        <w:t xml:space="preserve">上涨空间:  </w:t>
        <w:rFonts w:eastAsia="Arial" w:ascii="Arial" w:hAnsi="Arial" w:cs="Arial"/>
      </w:r>
      <w:r>
        <w:rPr>
          <w:rFonts w:ascii="Arial" w:hAnsi="Arial"/>
          <w:b/>
          <w:i w:val="0"/>
          <w:color w:val="002855"/>
          <w:sz w:val="32"/>
        </w:rPr>
        <w:t>+26.9%</w:t>
        <w:rFonts w:eastAsia="Arial" w:ascii="Arial" w:hAnsi="Arial" w:cs="Arial"/>
      </w:r>
    </w:p>
    <w:p/>
    <w:p/>
    <w:p/>
    <w:p/>
    <w:p>
      <w:pPr>
        <w:spacing w:before="240"/>
        <w:jc w:val="center"/>
      </w:pPr>
      <w:r>
        <w:rPr>
          <w:rFonts w:ascii="Arial" w:hAnsi="Arial"/>
          <w:b/>
          <w:i w:val="0"/>
          <w:color w:val="C9A84C"/>
          <w:sz w:val="18"/>
        </w:rPr>
        <w:t>机密文件  ·  仅限授权接收人查阅</w:t>
        <w:rFonts w:eastAsia="Arial" w:ascii="Arial" w:hAnsi="Arial" w:cs="Arial"/>
      </w:r>
    </w:p>
    <w:p>
      <w:r>
        <w:br w:type="page"/>
      </w:r>
    </w:p>
    <w:p>
      <w:r>
        <w:rPr>
          <w:rFonts w:ascii="Arial" w:hAnsi="Arial"/>
          <w:b/>
          <w:i w:val="0"/>
          <w:color w:val="002855"/>
          <w:sz w:val="28"/>
        </w:rPr>
        <w:t>投资评级与关键信息</w:t>
        <w:rFonts w:eastAsia="Arial" w:ascii="Arial" w:hAnsi="Arial" w:cs="Arial"/>
      </w:r>
    </w:p>
    <w:p>
      <w:pPr>
        <w:spacing w:after="120"/>
        <w:jc w:val="left"/>
        <w:pBdr>
          <w:bottom w:val="single" w:sz="8" w:space="1" w:color="c9a84c"/>
        </w:pBdr>
      </w:pPr>
      <w:r>
        <w:t xml:space="preserve"> </w:t>
      </w:r>
    </w:p>
    <w:p/>
    <w:tbl>
      <w:tblPr>
        <w:tblW w:type="auto" w:w="0"/>
        <w:jc w:val="left"/>
        <w:tblLayout w:type="fixed"/>
        <w:tblLook w:firstColumn="1" w:firstRow="1" w:lastColumn="0" w:lastRow="0" w:noHBand="0" w:noVBand="1" w:val="04A0"/>
      </w:tblPr>
      <w:tblGrid>
        <w:gridCol w:w="3120"/>
        <w:gridCol w:w="3120"/>
        <w:gridCol w:w="3120"/>
      </w:tblGrid>
      <w:tr>
        <w:tc>
          <w:tcPr>
            <w:tcW w:type="dxa" w:w="3312"/>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投资评级</w:t>
              <w:rFonts w:eastAsia="Arial" w:ascii="Arial" w:hAnsi="Arial" w:cs="Arial"/>
            </w:r>
          </w:p>
          <w:p>
            <w:r>
              <w:rPr>
                <w:rFonts w:ascii="Arial" w:hAnsi="Arial"/>
                <w:b/>
                <w:i w:val="0"/>
                <w:color w:val="002855"/>
                <w:sz w:val="44"/>
              </w:rPr>
              <w:t>OVERWEIGHT</w:t>
              <w:rFonts w:eastAsia="Arial" w:ascii="Arial" w:hAnsi="Arial" w:cs="Arial"/>
            </w:r>
          </w:p>
          <w:p/>
          <w:p>
            <w:r>
              <w:rPr>
                <w:rFonts w:ascii="Arial" w:hAnsi="Arial"/>
                <w:b/>
                <w:i w:val="0"/>
                <w:color w:val="C9A84C"/>
                <w:sz w:val="16"/>
              </w:rPr>
              <w:t>目标价</w:t>
              <w:rFonts w:eastAsia="Arial" w:ascii="Arial" w:hAnsi="Arial" w:cs="Arial"/>
            </w:r>
          </w:p>
          <w:p>
            <w:r>
              <w:rPr>
                <w:rFonts w:ascii="Arial" w:hAnsi="Arial"/>
                <w:b/>
                <w:i w:val="0"/>
                <w:color w:val="C9A84C"/>
                <w:sz w:val="36"/>
              </w:rPr>
              <w:t>$125</w:t>
              <w:rFonts w:eastAsia="Arial" w:ascii="Arial" w:hAnsi="Arial" w:cs="Arial"/>
            </w:r>
          </w:p>
          <w:p>
            <w:r>
              <w:rPr>
                <w:rFonts w:ascii="Arial" w:hAnsi="Arial"/>
                <w:b/>
                <w:i w:val="0"/>
                <w:color w:val="6B7280"/>
                <w:sz w:val="16"/>
              </w:rPr>
              <w:t>当前价</w:t>
              <w:rFonts w:eastAsia="Arial" w:ascii="Arial" w:hAnsi="Arial" w:cs="Arial"/>
            </w:r>
          </w:p>
          <w:p>
            <w:r>
              <w:rPr>
                <w:rFonts w:ascii="Arial" w:hAnsi="Arial"/>
                <w:b/>
                <w:i w:val="0"/>
                <w:color w:val="1A1A2E"/>
                <w:sz w:val="26"/>
              </w:rPr>
              <w:t>$98.50</w:t>
              <w:rFonts w:eastAsia="Arial" w:ascii="Arial" w:hAnsi="Arial" w:cs="Arial"/>
            </w:r>
          </w:p>
          <w:p>
            <w:r>
              <w:rPr>
                <w:rFonts w:ascii="Arial" w:hAnsi="Arial"/>
                <w:b/>
                <w:i w:val="0"/>
                <w:color w:val="002855"/>
                <w:sz w:val="20"/>
              </w:rPr>
              <w:t>上涨空间: +26.9%</w:t>
              <w:rFonts w:eastAsia="Arial" w:ascii="Arial" w:hAnsi="Arial" w:cs="Arial"/>
            </w:r>
          </w:p>
        </w:tc>
        <w:tc>
          <w:tcPr>
            <w:tcW w:type="dxa" w:w="3600"/>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公司信息</w:t>
              <w:rFonts w:eastAsia="Arial" w:ascii="Arial" w:hAnsi="Arial" w:cs="Arial"/>
            </w:r>
          </w:p>
          <w:p>
            <w:r>
              <w:rPr>
                <w:rFonts w:ascii="Arial" w:hAnsi="Arial"/>
                <w:b/>
                <w:i w:val="0"/>
                <w:color w:val="6B7280"/>
                <w:sz w:val="20"/>
              </w:rPr>
              <w:t xml:space="preserve">公司名称:  </w:t>
              <w:rFonts w:eastAsia="Arial" w:ascii="Arial" w:hAnsi="Arial" w:cs="Arial"/>
            </w:r>
            <w:r>
              <w:rPr>
                <w:rFonts w:ascii="Arial" w:hAnsi="Arial"/>
                <w:b w:val="0"/>
                <w:i w:val="0"/>
                <w:color w:val="1A1A2E"/>
                <w:sz w:val="20"/>
              </w:rPr>
              <w:t>极光资本控股</w:t>
              <w:rFonts w:eastAsia="Arial" w:ascii="Arial" w:hAnsi="Arial" w:cs="Arial"/>
            </w:r>
          </w:p>
          <w:p>
            <w:r>
              <w:rPr>
                <w:rFonts w:ascii="Arial" w:hAnsi="Arial"/>
                <w:b/>
                <w:i w:val="0"/>
                <w:color w:val="6B7280"/>
                <w:sz w:val="20"/>
              </w:rPr>
              <w:t xml:space="preserve">股票代码:  </w:t>
              <w:rFonts w:eastAsia="Arial" w:ascii="Arial" w:hAnsi="Arial" w:cs="Arial"/>
            </w:r>
            <w:r>
              <w:rPr>
                <w:rFonts w:ascii="Arial" w:hAnsi="Arial"/>
                <w:b w:val="0"/>
                <w:i w:val="0"/>
                <w:color w:val="1A1A2E"/>
                <w:sz w:val="20"/>
              </w:rPr>
              <w:t>ACHP</w:t>
              <w:rFonts w:eastAsia="Arial" w:ascii="Arial" w:hAnsi="Arial" w:cs="Arial"/>
            </w:r>
          </w:p>
          <w:p>
            <w:r>
              <w:rPr>
                <w:rFonts w:ascii="Arial" w:hAnsi="Arial"/>
                <w:b/>
                <w:i w:val="0"/>
                <w:color w:val="6B7280"/>
                <w:sz w:val="20"/>
              </w:rPr>
              <w:t xml:space="preserve">交易所:  </w:t>
              <w:rFonts w:eastAsia="Arial" w:ascii="Arial" w:hAnsi="Arial" w:cs="Arial"/>
            </w:r>
            <w:r>
              <w:rPr>
                <w:rFonts w:ascii="Arial" w:hAnsi="Arial"/>
                <w:b w:val="0"/>
                <w:i w:val="0"/>
                <w:color w:val="1A1A2E"/>
                <w:sz w:val="20"/>
              </w:rPr>
              <w:t>NYSE</w:t>
              <w:rFonts w:eastAsia="Arial" w:ascii="Arial" w:hAnsi="Arial" w:cs="Arial"/>
            </w:r>
          </w:p>
          <w:p>
            <w:r>
              <w:rPr>
                <w:rFonts w:ascii="Arial" w:hAnsi="Arial"/>
                <w:b/>
                <w:i w:val="0"/>
                <w:color w:val="6B7280"/>
                <w:sz w:val="20"/>
              </w:rPr>
              <w:t xml:space="preserve">行业:  </w:t>
              <w:rFonts w:eastAsia="Arial" w:ascii="Arial" w:hAnsi="Arial" w:cs="Arial"/>
            </w:r>
            <w:r>
              <w:rPr>
                <w:rFonts w:ascii="Arial" w:hAnsi="Arial"/>
                <w:b w:val="0"/>
                <w:i w:val="0"/>
                <w:color w:val="1A1A2E"/>
                <w:sz w:val="20"/>
              </w:rPr>
              <w:t>Diversified Financial Services / 综合金融服务</w:t>
              <w:rFonts w:eastAsia="Arial" w:ascii="Arial" w:hAnsi="Arial" w:cs="Arial"/>
            </w:r>
          </w:p>
          <w:p>
            <w:r>
              <w:rPr>
                <w:rFonts w:ascii="Arial" w:hAnsi="Arial"/>
                <w:b/>
                <w:i w:val="0"/>
                <w:color w:val="6B7280"/>
                <w:sz w:val="20"/>
              </w:rPr>
              <w:t xml:space="preserve">分析师:  </w:t>
              <w:rFonts w:eastAsia="Arial" w:ascii="Arial" w:hAnsi="Arial" w:cs="Arial"/>
            </w:r>
            <w:r>
              <w:rPr>
                <w:rFonts w:ascii="Arial" w:hAnsi="Arial"/>
                <w:b w:val="0"/>
                <w:i w:val="0"/>
                <w:color w:val="1A1A2E"/>
                <w:sz w:val="20"/>
              </w:rPr>
              <w:t>J. Chen, CFA</w:t>
              <w:rFonts w:eastAsia="Arial" w:ascii="Arial" w:hAnsi="Arial" w:cs="Arial"/>
            </w:r>
          </w:p>
          <w:p>
            <w:r>
              <w:rPr>
                <w:rFonts w:ascii="Arial" w:hAnsi="Arial"/>
                <w:b/>
                <w:i w:val="0"/>
                <w:color w:val="6B7280"/>
                <w:sz w:val="20"/>
              </w:rPr>
              <w:t xml:space="preserve">报告日期:  </w:t>
              <w:rFonts w:eastAsia="Arial" w:ascii="Arial" w:hAnsi="Arial" w:cs="Arial"/>
            </w:r>
            <w:r>
              <w:rPr>
                <w:rFonts w:ascii="Arial" w:hAnsi="Arial"/>
                <w:b w:val="0"/>
                <w:i w:val="0"/>
                <w:color w:val="1A1A2E"/>
                <w:sz w:val="20"/>
              </w:rPr>
              <w:t>June 12, 2026 / 2026 年 6 月 12 日</w:t>
              <w:rFonts w:eastAsia="Arial" w:ascii="Arial" w:hAnsi="Arial" w:cs="Arial"/>
            </w:r>
          </w:p>
        </w:tc>
        <w:tc>
          <w:tcPr>
            <w:tcW w:type="dxa" w:w="3456"/>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关键财务指标</w:t>
              <w:rFonts w:eastAsia="Arial" w:ascii="Arial" w:hAnsi="Arial" w:cs="Arial"/>
            </w:r>
          </w:p>
          <w:p>
            <w:r>
              <w:rPr>
                <w:rFonts w:ascii="Arial" w:hAnsi="Arial"/>
                <w:b/>
                <w:i w:val="0"/>
                <w:color w:val="6B7280"/>
                <w:sz w:val="20"/>
              </w:rPr>
              <w:t xml:space="preserve">Market Cap / 市值:  </w:t>
              <w:rFonts w:eastAsia="Arial" w:ascii="Arial" w:hAnsi="Arial" w:cs="Arial"/>
            </w:r>
            <w:r>
              <w:rPr>
                <w:rFonts w:ascii="Arial" w:hAnsi="Arial"/>
                <w:b/>
                <w:i w:val="0"/>
                <w:color w:val="002855"/>
                <w:sz w:val="20"/>
              </w:rPr>
              <w:t>$13,105 M</w:t>
              <w:rFonts w:eastAsia="Arial" w:ascii="Arial" w:hAnsi="Arial" w:cs="Arial"/>
            </w:r>
          </w:p>
          <w:p>
            <w:r>
              <w:rPr>
                <w:rFonts w:ascii="Arial" w:hAnsi="Arial"/>
                <w:b/>
                <w:i w:val="0"/>
                <w:color w:val="6B7280"/>
                <w:sz w:val="20"/>
              </w:rPr>
              <w:t xml:space="preserve">Enterprise Value / 企业价值:  </w:t>
              <w:rFonts w:eastAsia="Arial" w:ascii="Arial" w:hAnsi="Arial" w:cs="Arial"/>
            </w:r>
            <w:r>
              <w:rPr>
                <w:rFonts w:ascii="Arial" w:hAnsi="Arial"/>
                <w:b/>
                <w:i w:val="0"/>
                <w:color w:val="002855"/>
                <w:sz w:val="20"/>
              </w:rPr>
              <w:t>$14,850 M</w:t>
              <w:rFonts w:eastAsia="Arial" w:ascii="Arial" w:hAnsi="Arial" w:cs="Arial"/>
            </w:r>
          </w:p>
          <w:p>
            <w:r>
              <w:rPr>
                <w:rFonts w:ascii="Arial" w:hAnsi="Arial"/>
                <w:b/>
                <w:i w:val="0"/>
                <w:color w:val="6B7280"/>
                <w:sz w:val="20"/>
              </w:rPr>
              <w:t xml:space="preserve">Revenue FY24 / 营业收入:  </w:t>
              <w:rFonts w:eastAsia="Arial" w:ascii="Arial" w:hAnsi="Arial" w:cs="Arial"/>
            </w:r>
            <w:r>
              <w:rPr>
                <w:rFonts w:ascii="Arial" w:hAnsi="Arial"/>
                <w:b/>
                <w:i w:val="0"/>
                <w:color w:val="002855"/>
                <w:sz w:val="20"/>
              </w:rPr>
              <w:t>$5,230 M</w:t>
              <w:rFonts w:eastAsia="Arial" w:ascii="Arial" w:hAnsi="Arial" w:cs="Arial"/>
            </w:r>
          </w:p>
          <w:p>
            <w:r>
              <w:rPr>
                <w:rFonts w:ascii="Arial" w:hAnsi="Arial"/>
                <w:b/>
                <w:i w:val="0"/>
                <w:color w:val="6B7280"/>
                <w:sz w:val="20"/>
              </w:rPr>
              <w:t xml:space="preserve">EBITDA FY24:  </w:t>
              <w:rFonts w:eastAsia="Arial" w:ascii="Arial" w:hAnsi="Arial" w:cs="Arial"/>
            </w:r>
            <w:r>
              <w:rPr>
                <w:rFonts w:ascii="Arial" w:hAnsi="Arial"/>
                <w:b/>
                <w:i w:val="0"/>
                <w:color w:val="002855"/>
                <w:sz w:val="20"/>
              </w:rPr>
              <w:t>$885 M</w:t>
              <w:rFonts w:eastAsia="Arial" w:ascii="Arial" w:hAnsi="Arial" w:cs="Arial"/>
            </w:r>
          </w:p>
          <w:p>
            <w:r>
              <w:rPr>
                <w:rFonts w:ascii="Arial" w:hAnsi="Arial"/>
                <w:b/>
                <w:i w:val="0"/>
                <w:color w:val="6B7280"/>
                <w:sz w:val="20"/>
              </w:rPr>
              <w:t xml:space="preserve">P/E (Fwd) / 动态市盈率:  </w:t>
              <w:rFonts w:eastAsia="Arial" w:ascii="Arial" w:hAnsi="Arial" w:cs="Arial"/>
            </w:r>
            <w:r>
              <w:rPr>
                <w:rFonts w:ascii="Arial" w:hAnsi="Arial"/>
                <w:b/>
                <w:i w:val="0"/>
                <w:color w:val="002855"/>
                <w:sz w:val="20"/>
              </w:rPr>
              <w:t>15.2x</w:t>
              <w:rFonts w:eastAsia="Arial" w:ascii="Arial" w:hAnsi="Arial" w:cs="Arial"/>
            </w:r>
          </w:p>
          <w:p>
            <w:r>
              <w:rPr>
                <w:rFonts w:ascii="Arial" w:hAnsi="Arial"/>
                <w:b/>
                <w:i w:val="0"/>
                <w:color w:val="6B7280"/>
                <w:sz w:val="20"/>
              </w:rPr>
              <w:t xml:space="preserve">Dividend Yield / 股息率:  </w:t>
              <w:rFonts w:eastAsia="Arial" w:ascii="Arial" w:hAnsi="Arial" w:cs="Arial"/>
            </w:r>
            <w:r>
              <w:rPr>
                <w:rFonts w:ascii="Arial" w:hAnsi="Arial"/>
                <w:b/>
                <w:i w:val="0"/>
                <w:color w:val="002855"/>
                <w:sz w:val="20"/>
              </w:rPr>
              <w:t>2.5%</w:t>
              <w:rFonts w:eastAsia="Arial" w:ascii="Arial" w:hAnsi="Arial" w:cs="Arial"/>
            </w:r>
          </w:p>
          <w:p>
            <w:r>
              <w:rPr>
                <w:rFonts w:ascii="Arial" w:hAnsi="Arial"/>
                <w:b/>
                <w:i w:val="0"/>
                <w:color w:val="6B7280"/>
                <w:sz w:val="20"/>
              </w:rPr>
              <w:t xml:space="preserve">ROE / 净资产收益率:  </w:t>
              <w:rFonts w:eastAsia="Arial" w:ascii="Arial" w:hAnsi="Arial" w:cs="Arial"/>
            </w:r>
            <w:r>
              <w:rPr>
                <w:rFonts w:ascii="Arial" w:hAnsi="Arial"/>
                <w:b/>
                <w:i w:val="0"/>
                <w:color w:val="002855"/>
                <w:sz w:val="20"/>
              </w:rPr>
              <w:t>11.8%</w:t>
              <w:rFonts w:eastAsia="Arial" w:ascii="Arial" w:hAnsi="Arial" w:cs="Arial"/>
            </w:r>
          </w:p>
        </w:tc>
      </w:tr>
    </w:tbl>
    <w:p/>
    <w:p>
      <w:r>
        <w:rPr>
          <w:rFonts w:ascii="Arial" w:hAnsi="Arial"/>
          <w:b w:val="0"/>
          <w:i/>
          <w:color w:val="6B7280"/>
          <w:sz w:val="18"/>
        </w:rPr>
        <w:t>币种：USD  ·  所有金额以百万为单位，除非另有说明。</w:t>
        <w:rFonts w:eastAsia="Arial" w:ascii="Arial" w:hAnsi="Arial" w:cs="Arial"/>
      </w:r>
    </w:p>
    <w:p/>
    <w:p>
      <w:pPr>
        <w:spacing w:before="200"/>
      </w:pPr>
    </w:p>
    <w:p>
      <w:pPr>
        <w:spacing w:after="40"/>
      </w:pPr>
      <w:r>
        <w:rPr>
          <w:rFonts w:ascii="Arial" w:hAnsi="Arial"/>
          <w:b/>
          <w:i w:val="0"/>
          <w:color w:val="002855"/>
          <w:sz w:val="36"/>
        </w:rPr>
        <w:t>投资摘要</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我们对极光资本控股（ACHP）启动覆盖，给予 Overweight（买入）评级，12 个月目标价 125 美元，对应总回报约 27%。核心论点基于三大支柱：稳健的管理费收入增长、持续扩张的经营利润率，以及纪律严明的资本回报计划。</w:t>
        <w:rFonts w:eastAsia="Arial" w:ascii="Arial" w:hAnsi="Arial" w:cs="Arial"/>
      </w:r>
    </w:p>
    <w:p>
      <w:pPr>
        <w:spacing w:after="120"/>
      </w:pPr>
      <w:r>
        <w:rPr>
          <w:rFonts w:ascii="Arial" w:hAnsi="Arial"/>
          <w:b w:val="0"/>
          <w:i w:val="0"/>
          <w:color w:val="1A1A2E"/>
          <w:sz w:val="22"/>
        </w:rPr>
        <w:t>极光资本已建立起涵盖机构证券、财富管理与资产管理的多元化业务版图。公司雄厚的资本基础与经验丰富的管理团队构成我们乐观展望的底层支撑。</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财富管理 AUM 同比增长约 12%，推动管理费收入上升。</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通过效率提升计划，FY26 经营利润率有望扩张约 180 bps。</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纪律性的资本回报支撑高于同业的 ROE 路径。</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25 亿美元股票回购授权仍有较大执行空间。</w:t>
        <w:rFonts w:eastAsia="Arial" w:ascii="Arial" w:hAnsi="Arial" w:cs="Arial"/>
      </w:r>
    </w:p>
    <w:tbl>
      <w:tblPr>
        <w:tblW w:type="auto" w:w="0"/>
        <w:jc w:val="left"/>
        <w:tblLayout w:type="fixed"/>
        <w:tblLook w:firstColumn="1" w:firstRow="1" w:lastColumn="0" w:lastRow="0" w:noHBand="0" w:noVBand="1" w:val="04A0"/>
      </w:tblPr>
      <w:tblGrid>
        <w:gridCol w:w="4680"/>
        <w:gridCol w:w="4680"/>
      </w:tblGrid>
      <w:tr>
        <w:tc>
          <w:tcPr>
            <w:tcW w:type="dxa" w:w="173"/>
            <w:shd w:val="clear" w:color="auto" w:fill="c9a84c"/>
            <w:tcBorders>
              <w:top w:val="single" w:sz="4" w:space="0" w:color="d9dee7"/>
              <w:left w:val="single" w:sz="4" w:space="0" w:color="d9dee7"/>
              <w:bottom w:val="single" w:sz="4" w:space="0" w:color="d9dee7"/>
              <w:right w:val="single" w:sz="4" w:space="0" w:color="d9dee7"/>
            </w:tcBorders>
          </w:tcPr>
          <w:p>
            <w:r>
              <w:rPr>
                <w:rFonts w:ascii="Arial" w:hAnsi="Arial"/>
                <w:b w:val="0"/>
                <w:i w:val="0"/>
                <w:sz w:val="2"/>
              </w:rPr>
              <w:rFonts w:eastAsia="Arial" w:ascii="Arial" w:hAnsi="Arial" w:cs="Arial"/>
            </w:r>
          </w:p>
        </w:tc>
        <w:tc>
          <w:tcPr>
            <w:tcW w:type="dxa" w:w="9360"/>
            <w:shd w:val="clear" w:color="auto" w:fill="e8eef4"/>
            <w:tcBorders>
              <w:top w:val="single" w:sz="4" w:space="0" w:color="d9dee7"/>
              <w:left w:val="single" w:sz="4" w:space="0" w:color="d9dee7"/>
              <w:bottom w:val="single" w:sz="4" w:space="0" w:color="d9dee7"/>
              <w:right w:val="single" w:sz="4" w:space="0" w:color="d9dee7"/>
            </w:tcBorders>
          </w:tcPr>
          <w:p>
            <w:r>
              <w:rPr>
                <w:rFonts w:ascii="Arial" w:hAnsi="Arial"/>
                <w:b w:val="0"/>
                <w:i w:val="0"/>
                <w:color w:val="C9A84C"/>
                <w:sz w:val="18"/>
              </w:rPr>
              <w:t xml:space="preserve">▶ </w:t>
              <w:rFonts w:eastAsia="Arial" w:ascii="Arial" w:hAnsi="Arial" w:cs="Arial"/>
            </w:r>
            <w:r>
              <w:rPr>
                <w:rFonts w:ascii="Arial" w:hAnsi="Arial"/>
                <w:b w:val="0"/>
                <w:i/>
                <w:color w:val="002855"/>
                <w:sz w:val="22"/>
              </w:rPr>
              <w:t>我们预计 12 个月目标价 125 美元对应约 27% 上行空间，由 AUM 增长加速与经营杠杆共同驱动。</w:t>
              <w:rFonts w:eastAsia="Arial" w:ascii="Arial" w:hAnsi="Arial" w:cs="Arial"/>
            </w:r>
          </w:p>
        </w:tc>
      </w:tr>
    </w:tbl>
    <w:p/>
    <w:p>
      <w:pPr>
        <w:spacing w:before="200"/>
      </w:pPr>
    </w:p>
    <w:p>
      <w:pPr>
        <w:spacing w:after="40"/>
      </w:pPr>
      <w:r>
        <w:rPr>
          <w:rFonts w:ascii="Arial" w:hAnsi="Arial"/>
          <w:b/>
          <w:i w:val="0"/>
          <w:color w:val="002855"/>
          <w:sz w:val="36"/>
        </w:rPr>
        <w:t>投资论点</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我们对极光资本控股启动覆盖，给予 Overweight（买入）评级。投资逻辑建立在财富管理费的结构性增长、纪律性成本管理，以及稳健的资本基础之上。</w:t>
        <w:rFonts w:eastAsia="Arial" w:ascii="Arial" w:hAnsi="Arial" w:cs="Arial"/>
      </w:r>
    </w:p>
    <w:p>
      <w:pPr>
        <w:spacing w:after="120"/>
      </w:pPr>
      <w:r>
        <w:rPr>
          <w:rFonts w:ascii="Arial" w:hAnsi="Arial"/>
          <w:b w:val="0"/>
          <w:i w:val="0"/>
          <w:color w:val="1A1A2E"/>
          <w:sz w:val="22"/>
        </w:rPr>
        <w:t>中期来看，我们预计受顾问与承销业务量提升，以及净利息收入持续改善的推动，收入年复合增长率约为 8%。</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至 2027 年，财富管理 AUM 预计以约 12% 的 CAGR 扩张。</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经营效率计划目标在 FY26 之前节省税前成本 4.2 亿美元。</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15.2% 的 CET1 资本充足率提供了高于监管要求的安全缓冲。</w:t>
        <w:rFonts w:eastAsia="Arial" w:ascii="Arial" w:hAnsi="Arial" w:cs="Arial"/>
      </w:r>
    </w:p>
    <w:tbl>
      <w:tblPr>
        <w:tblW w:type="auto" w:w="0"/>
        <w:jc w:val="left"/>
        <w:tblLayout w:type="fixed"/>
        <w:tblLook w:firstColumn="1" w:firstRow="1" w:lastColumn="0" w:lastRow="0" w:noHBand="0" w:noVBand="1" w:val="04A0"/>
      </w:tblPr>
      <w:tblGrid>
        <w:gridCol w:w="4680"/>
        <w:gridCol w:w="4680"/>
      </w:tblGrid>
      <w:tr>
        <w:tc>
          <w:tcPr>
            <w:tcW w:type="dxa" w:w="173"/>
            <w:shd w:val="clear" w:color="auto" w:fill="c9a84c"/>
            <w:tcBorders>
              <w:top w:val="single" w:sz="4" w:space="0" w:color="d9dee7"/>
              <w:left w:val="single" w:sz="4" w:space="0" w:color="d9dee7"/>
              <w:bottom w:val="single" w:sz="4" w:space="0" w:color="d9dee7"/>
              <w:right w:val="single" w:sz="4" w:space="0" w:color="d9dee7"/>
            </w:tcBorders>
          </w:tcPr>
          <w:p>
            <w:r>
              <w:rPr>
                <w:rFonts w:ascii="Arial" w:hAnsi="Arial"/>
                <w:b w:val="0"/>
                <w:i w:val="0"/>
                <w:sz w:val="2"/>
              </w:rPr>
              <w:rFonts w:eastAsia="Arial" w:ascii="Arial" w:hAnsi="Arial" w:cs="Arial"/>
            </w:r>
          </w:p>
        </w:tc>
        <w:tc>
          <w:tcPr>
            <w:tcW w:type="dxa" w:w="9360"/>
            <w:shd w:val="clear" w:color="auto" w:fill="e8eef4"/>
            <w:tcBorders>
              <w:top w:val="single" w:sz="4" w:space="0" w:color="d9dee7"/>
              <w:left w:val="single" w:sz="4" w:space="0" w:color="d9dee7"/>
              <w:bottom w:val="single" w:sz="4" w:space="0" w:color="d9dee7"/>
              <w:right w:val="single" w:sz="4" w:space="0" w:color="d9dee7"/>
            </w:tcBorders>
          </w:tcPr>
          <w:p>
            <w:r>
              <w:rPr>
                <w:rFonts w:ascii="Arial" w:hAnsi="Arial"/>
                <w:b w:val="0"/>
                <w:i w:val="0"/>
                <w:color w:val="C9A84C"/>
                <w:sz w:val="18"/>
              </w:rPr>
              <w:t xml:space="preserve">▶ </w:t>
              <w:rFonts w:eastAsia="Arial" w:ascii="Arial" w:hAnsi="Arial" w:cs="Arial"/>
            </w:r>
            <w:r>
              <w:rPr>
                <w:rFonts w:ascii="Arial" w:hAnsi="Arial"/>
                <w:b w:val="0"/>
                <w:i/>
                <w:color w:val="002855"/>
                <w:sz w:val="22"/>
              </w:rPr>
              <w:t>管理费收入增长与经营杠杆的结合，是最具吸引力的短期催化剂。</w:t>
              <w:rFonts w:eastAsia="Arial" w:ascii="Arial" w:hAnsi="Arial" w:cs="Arial"/>
            </w:r>
          </w:p>
        </w:tc>
      </w:tr>
    </w:tbl>
    <w:p/>
    <w:p>
      <w:pPr>
        <w:spacing w:before="200"/>
      </w:pPr>
    </w:p>
    <w:p>
      <w:pPr>
        <w:spacing w:after="40"/>
      </w:pPr>
      <w:r>
        <w:rPr>
          <w:rFonts w:ascii="Arial" w:hAnsi="Arial"/>
          <w:b/>
          <w:i w:val="0"/>
          <w:color w:val="002855"/>
          <w:sz w:val="36"/>
        </w:rPr>
        <w:t>业务概览</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极光资本控股通过三大业务板块运营：机构证券、财富管理，以及投资管理。公司总部位于纽约，全球员工约 18,500 人。</w:t>
        <w:rFonts w:eastAsia="Arial" w:ascii="Arial" w:hAnsi="Arial" w:cs="Arial"/>
      </w:r>
    </w:p>
    <w:p>
      <w:pPr>
        <w:spacing w:after="120"/>
      </w:pPr>
      <w:r>
        <w:rPr>
          <w:rFonts w:ascii="Arial" w:hAnsi="Arial"/>
          <w:b w:val="0"/>
          <w:i w:val="0"/>
          <w:color w:val="1A1A2E"/>
          <w:sz w:val="22"/>
        </w:rPr>
        <w:t>各业务板块均对集团收入有重要贡献，其中财富管理为最大且增长最快的部门，占 FY24 营业收入的 41%。</w:t>
        <w:rFonts w:eastAsia="Arial" w:ascii="Arial" w:hAnsi="Arial" w:cs="Arial"/>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业务板块</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 收入</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占比</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同比增长</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机构证券</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$2,145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41.0%</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+7.2%</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财富管理</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$1,830 M</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35.0%</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+13.8%</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投资管理</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$985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18.8%</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+9.5%</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公司 / 其他</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$270 M</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-2.1%</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合计</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$5,230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100.0%</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+9.4%</w:t>
              <w:rFonts w:eastAsia="Arial" w:ascii="Arial" w:hAnsi="Arial" w:cs="Arial"/>
            </w:r>
          </w:p>
        </w:tc>
      </w:tr>
    </w:tbl>
    <w:p/>
    <w:p>
      <w:pPr>
        <w:spacing w:before="200"/>
      </w:pPr>
    </w:p>
    <w:p>
      <w:pPr>
        <w:spacing w:after="40"/>
      </w:pPr>
      <w:r>
        <w:rPr>
          <w:rFonts w:ascii="Arial" w:hAnsi="Arial"/>
          <w:b/>
          <w:i w:val="0"/>
          <w:color w:val="002855"/>
          <w:sz w:val="36"/>
        </w:rPr>
        <w:t>财务表现</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FY24 业绩体现出强劲的交易与投行业务动能。收入同比增长 9.4%，经调整经营利润率扩张 120 bps 至 22.4%。</w:t>
        <w:rFonts w:eastAsia="Arial" w:ascii="Arial" w:hAnsi="Arial" w:cs="Arial"/>
      </w:r>
    </w:p>
    <w:p>
      <w:pPr>
        <w:spacing w:after="120"/>
      </w:pPr>
      <w:r>
        <w:rPr>
          <w:rFonts w:ascii="Arial" w:hAnsi="Arial"/>
          <w:b w:val="0"/>
          <w:i w:val="0"/>
          <w:color w:val="1A1A2E"/>
          <w:sz w:val="22"/>
        </w:rPr>
        <w:t>归属于普通股股东的净利润达 7.82 亿美元，同比增长 14.2%；在持续回购的推动下，稀释后每股收益增长 16.0% 至 5.42 美元。</w:t>
        <w:rFonts w:eastAsia="Arial" w:ascii="Arial" w:hAnsi="Arial" w:cs="Arial"/>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指标</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FY22</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FY23</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FY25E</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FY26E</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收入（百万美元）</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4,520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4,810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5,230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5,750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6,380</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经营利润</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782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854</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1,012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1,128</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净利润</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426</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452</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478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538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602</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每股收益</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2.85</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3.19</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3.59</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4.01</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经营利润率</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17.3%</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17.2%</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17.6%</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17.7%</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净资产收益率</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9.6%</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11.8%</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12.4%</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13.1%</w:t>
              <w:rFonts w:eastAsia="Arial" w:ascii="Arial" w:hAnsi="Arial" w:cs="Arial"/>
            </w:r>
          </w:p>
        </w:tc>
      </w:tr>
    </w:tbl>
    <w:p/>
    <w:p>
      <w:pPr>
        <w:spacing w:before="200"/>
      </w:pPr>
    </w:p>
    <w:p>
      <w:pPr>
        <w:spacing w:after="40"/>
      </w:pPr>
      <w:r>
        <w:rPr>
          <w:rFonts w:ascii="Arial" w:hAnsi="Arial"/>
          <w:b/>
          <w:i w:val="0"/>
          <w:color w:val="002855"/>
          <w:sz w:val="36"/>
        </w:rPr>
        <w:t>估值分析</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我们 125 美元的目标价对应 FY26E 15.0x P/E，较同业中位数 12.8x 小幅溢价，反映出公司更优的增长曲线与资本回报轨迹。</w:t>
        <w:rFonts w:eastAsia="Arial" w:ascii="Arial" w:hAnsi="Arial" w:cs="Arial"/>
      </w:r>
    </w:p>
    <w:p>
      <w:pPr>
        <w:spacing w:after="120"/>
      </w:pPr>
      <w:r>
        <w:rPr>
          <w:rFonts w:ascii="Arial" w:hAnsi="Arial"/>
          <w:b w:val="0"/>
          <w:i w:val="0"/>
          <w:color w:val="1A1A2E"/>
          <w:sz w:val="22"/>
        </w:rPr>
        <w:t>以 EV/EBITDA 计，该股 FY24 交易于 10.8x，与大型综合银行一致，但低于专业财富管理机构 12.5x–14.0x 的区间。</w:t>
        <w:rFonts w:eastAsia="Arial" w:ascii="Arial" w:hAnsi="Arial" w:cs="Arial"/>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指标</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FY25E</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FY26E</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P/E</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15.2x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13.8x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12.5x</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EV/Revenue</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2.9x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2.5x</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EV/EBITDA</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10.8x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10.2x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9.4x</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Price/Book</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1.72x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1.58x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1.46x</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ROE</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11.8%</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12.4%</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13.1%</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Dividend Yield</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2.5%</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2.9%</w:t>
              <w:rFonts w:eastAsia="Arial" w:ascii="Arial" w:hAnsi="Arial" w:cs="Arial"/>
            </w:r>
          </w:p>
        </w:tc>
      </w:tr>
    </w:tbl>
    <w:p/>
    <w:p>
      <w:pPr>
        <w:spacing w:before="200"/>
      </w:pPr>
    </w:p>
    <w:p>
      <w:pPr>
        <w:spacing w:after="40"/>
      </w:pPr>
      <w:r>
        <w:rPr>
          <w:rFonts w:ascii="Arial" w:hAnsi="Arial"/>
          <w:b/>
          <w:i w:val="0"/>
          <w:color w:val="002855"/>
          <w:sz w:val="36"/>
        </w:rPr>
        <w:t>增长驱动因素</w:t>
        <w:rFonts w:eastAsia="Arial" w:ascii="Arial" w:hAnsi="Arial" w:cs="Arial"/>
      </w:r>
    </w:p>
    <w:p>
      <w:pPr>
        <w:spacing w:after="120"/>
        <w:jc w:val="left"/>
        <w:pBdr>
          <w:bottom w:val="single" w:sz="8" w:space="1" w:color="c9a84c"/>
        </w:pBdr>
      </w:pPr>
      <w:r>
        <w:t xml:space="preserve"> </w:t>
      </w:r>
    </w:p>
    <w:p>
      <w:pPr>
        <w:spacing w:after="120"/>
      </w:pPr>
      <w:r>
        <w:rPr>
          <w:rFonts w:ascii="Arial" w:hAnsi="Arial"/>
          <w:b w:val="0"/>
          <w:i w:val="0"/>
          <w:color w:val="1A1A2E"/>
          <w:sz w:val="22"/>
        </w:rPr>
        <w:t>我们识别出三项关键催化剂，有望在短期内推动业绩超越市场一致预期。每项均与我们季度追踪的可观测项目管道指标相关。</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大型并购项目管道重建推动顾问费加速。</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财富管理交叉销售计划目标新增 12 亿美元收入。</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以大中华区为首的亚太区财富管理国际扩张。</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稳定币与数字资产托管作为全新收入垂直领域。</w:t>
        <w:rFonts w:eastAsia="Arial" w:ascii="Arial" w:hAnsi="Arial" w:cs="Arial"/>
      </w:r>
    </w:p>
    <w:p>
      <w:pPr>
        <w:spacing w:before="200"/>
      </w:pPr>
    </w:p>
    <w:p>
      <w:pPr>
        <w:spacing w:after="40"/>
      </w:pPr>
      <w:r>
        <w:rPr>
          <w:rFonts w:ascii="Arial" w:hAnsi="Arial"/>
          <w:b/>
          <w:i w:val="0"/>
          <w:color w:val="002855"/>
          <w:sz w:val="36"/>
        </w:rPr>
        <w:t>风险因素</w:t>
        <w:rFonts w:eastAsia="Arial" w:ascii="Arial" w:hAnsi="Arial" w:cs="Arial"/>
      </w:r>
    </w:p>
    <w:p>
      <w:pPr>
        <w:spacing w:after="120"/>
        <w:jc w:val="left"/>
        <w:pBdr>
          <w:bottom w:val="single" w:sz="8" w:space="1" w:color="c9a84c"/>
        </w:pBdr>
      </w:pPr>
      <w:r>
        <w:t xml:space="preserve"> </w:t>
      </w:r>
    </w:p>
    <w:p>
      <w:pPr>
        <w:spacing w:after="160"/>
      </w:pPr>
      <w:r>
        <w:rPr>
          <w:rFonts w:ascii="Arial" w:hAnsi="Arial"/>
          <w:b w:val="0"/>
          <w:i/>
          <w:color w:val="6B7280"/>
          <w:sz w:val="20"/>
        </w:rPr>
        <w:t>以下风险因素请结合本研究报告综合评估。投资者应充分认识到相关风险，并据此做出独立判断。</w:t>
        <w:rFonts w:eastAsia="Arial" w:ascii="Arial" w:hAnsi="Arial" w:cs="Arial"/>
      </w:r>
    </w:p>
    <w:p>
      <w:pPr>
        <w:spacing w:before="160" w:after="60"/>
      </w:pPr>
      <w:r>
        <w:rPr>
          <w:rFonts w:ascii="Arial" w:hAnsi="Arial"/>
          <w:b/>
          <w:i w:val="0"/>
          <w:color w:val="C82020"/>
          <w:sz w:val="22"/>
        </w:rPr>
        <w:t xml:space="preserve">▲ </w:t>
        <w:rFonts w:eastAsia="Arial" w:ascii="Arial" w:hAnsi="Arial" w:cs="Arial"/>
      </w:r>
      <w:r>
        <w:rPr>
          <w:rFonts w:ascii="Arial" w:hAnsi="Arial"/>
          <w:b/>
          <w:i w:val="0"/>
          <w:color w:val="C82020"/>
          <w:sz w:val="20"/>
        </w:rPr>
        <w:t xml:space="preserve">高风险  </w:t>
        <w:rFonts w:eastAsia="Arial" w:ascii="Arial" w:hAnsi="Arial" w:cs="Arial"/>
      </w:r>
      <w:r>
        <w:rPr>
          <w:rFonts w:ascii="Arial" w:hAnsi="Arial"/>
          <w:b/>
          <w:i w:val="0"/>
          <w:color w:val="1A1A2E"/>
          <w:sz w:val="24"/>
        </w:rPr>
        <w:t>市场波动</w:t>
        <w:rFonts w:eastAsia="Arial" w:ascii="Arial" w:hAnsi="Arial" w:cs="Arial"/>
      </w:r>
    </w:p>
    <w:p>
      <w:pPr>
        <w:spacing w:after="80"/>
        <w:ind w:left="504"/>
      </w:pPr>
      <w:r>
        <w:rPr>
          <w:rFonts w:ascii="Arial" w:hAnsi="Arial"/>
          <w:b w:val="0"/>
          <w:i w:val="0"/>
          <w:color w:val="1A1A2E"/>
          <w:sz w:val="22"/>
        </w:rPr>
        <w:t>全球风险资产持续下跌可能压缩交易收入与 AUM 相关管理费，进而削弱盈利增长路径。</w:t>
        <w:rFonts w:eastAsia="Arial" w:ascii="Arial" w:hAnsi="Arial" w:cs="Arial"/>
      </w:r>
    </w:p>
    <w:p>
      <w:pPr>
        <w:spacing w:after="120"/>
        <w:ind w:left="504"/>
      </w:pPr>
      <w:r>
        <w:rPr>
          <w:rFonts w:ascii="Arial" w:hAnsi="Arial"/>
          <w:b/>
          <w:i w:val="0"/>
          <w:color w:val="002855"/>
          <w:sz w:val="20"/>
        </w:rPr>
        <w:t xml:space="preserve">缓释措施:  </w:t>
        <w:rFonts w:eastAsia="Arial" w:ascii="Arial" w:hAnsi="Arial" w:cs="Arial"/>
      </w:r>
      <w:r>
        <w:rPr>
          <w:rFonts w:ascii="Arial" w:hAnsi="Arial"/>
          <w:b w:val="0"/>
          <w:i w:val="0"/>
          <w:color w:val="1A1A2E"/>
          <w:sz w:val="20"/>
        </w:rPr>
        <w:t>机构与财富板块收入结构多元化，可在单一市场回调时提供缓冲。</w:t>
        <w:rFonts w:eastAsia="Arial" w:ascii="Arial" w:hAnsi="Arial" w:cs="Arial"/>
      </w:r>
    </w:p>
    <w:p>
      <w:pPr>
        <w:spacing w:before="160" w:after="60"/>
      </w:pPr>
      <w:r>
        <w:rPr>
          <w:rFonts w:ascii="Arial" w:hAnsi="Arial"/>
          <w:b/>
          <w:i w:val="0"/>
          <w:color w:val="C82020"/>
          <w:sz w:val="22"/>
        </w:rPr>
        <w:t xml:space="preserve">▲ </w:t>
        <w:rFonts w:eastAsia="Arial" w:ascii="Arial" w:hAnsi="Arial" w:cs="Arial"/>
      </w:r>
      <w:r>
        <w:rPr>
          <w:rFonts w:ascii="Arial" w:hAnsi="Arial"/>
          <w:b/>
          <w:i w:val="0"/>
          <w:color w:val="C82020"/>
          <w:sz w:val="20"/>
        </w:rPr>
        <w:t xml:space="preserve">高风险  </w:t>
        <w:rFonts w:eastAsia="Arial" w:ascii="Arial" w:hAnsi="Arial" w:cs="Arial"/>
      </w:r>
      <w:r>
        <w:rPr>
          <w:rFonts w:ascii="Arial" w:hAnsi="Arial"/>
          <w:b/>
          <w:i w:val="0"/>
          <w:color w:val="1A1A2E"/>
          <w:sz w:val="24"/>
        </w:rPr>
        <w:t>监管收紧</w:t>
        <w:rFonts w:eastAsia="Arial" w:ascii="Arial" w:hAnsi="Arial" w:cs="Arial"/>
      </w:r>
    </w:p>
    <w:p>
      <w:pPr>
        <w:spacing w:after="80"/>
        <w:ind w:left="504"/>
      </w:pPr>
      <w:r>
        <w:rPr>
          <w:rFonts w:ascii="Arial" w:hAnsi="Arial"/>
          <w:b w:val="0"/>
          <w:i w:val="0"/>
          <w:color w:val="1A1A2E"/>
          <w:sz w:val="22"/>
        </w:rPr>
        <w:t>更严格的资本要求可能限制资本回报能力，并提高各业务条线的合规成本。</w:t>
        <w:rFonts w:eastAsia="Arial" w:ascii="Arial" w:hAnsi="Arial" w:cs="Arial"/>
      </w:r>
    </w:p>
    <w:p>
      <w:pPr>
        <w:spacing w:after="120"/>
        <w:ind w:left="504"/>
      </w:pPr>
      <w:r>
        <w:rPr>
          <w:rFonts w:ascii="Arial" w:hAnsi="Arial"/>
          <w:b/>
          <w:i w:val="0"/>
          <w:color w:val="002855"/>
          <w:sz w:val="20"/>
        </w:rPr>
        <w:t xml:space="preserve">缓释措施:  </w:t>
        <w:rFonts w:eastAsia="Arial" w:ascii="Arial" w:hAnsi="Arial" w:cs="Arial"/>
      </w:r>
      <w:r>
        <w:rPr>
          <w:rFonts w:ascii="Arial" w:hAnsi="Arial"/>
          <w:b w:val="0"/>
          <w:i w:val="0"/>
          <w:color w:val="1A1A2E"/>
          <w:sz w:val="20"/>
        </w:rPr>
        <w:t>稳健的资本基础与积极的合规投入为规则变动预留了空间。</w:t>
        <w:rFonts w:eastAsia="Arial" w:ascii="Arial" w:hAnsi="Arial" w:cs="Arial"/>
      </w:r>
    </w:p>
    <w:p>
      <w:pPr>
        <w:spacing w:before="160" w:after="60"/>
      </w:pPr>
      <w:r>
        <w:rPr>
          <w:rFonts w:ascii="Arial" w:hAnsi="Arial"/>
          <w:b/>
          <w:i w:val="0"/>
          <w:color w:val="D87F00"/>
          <w:sz w:val="22"/>
        </w:rPr>
        <w:t xml:space="preserve">▲ </w:t>
        <w:rFonts w:eastAsia="Arial" w:ascii="Arial" w:hAnsi="Arial" w:cs="Arial"/>
      </w:r>
      <w:r>
        <w:rPr>
          <w:rFonts w:ascii="Arial" w:hAnsi="Arial"/>
          <w:b/>
          <w:i w:val="0"/>
          <w:color w:val="D87F00"/>
          <w:sz w:val="20"/>
        </w:rPr>
        <w:t xml:space="preserve">中风险  </w:t>
        <w:rFonts w:eastAsia="Arial" w:ascii="Arial" w:hAnsi="Arial" w:cs="Arial"/>
      </w:r>
      <w:r>
        <w:rPr>
          <w:rFonts w:ascii="Arial" w:hAnsi="Arial"/>
          <w:b/>
          <w:i w:val="0"/>
          <w:color w:val="1A1A2E"/>
          <w:sz w:val="24"/>
        </w:rPr>
        <w:t>利率环境</w:t>
        <w:rFonts w:eastAsia="Arial" w:ascii="Arial" w:hAnsi="Arial" w:cs="Arial"/>
      </w:r>
    </w:p>
    <w:p>
      <w:pPr>
        <w:spacing w:after="80"/>
        <w:ind w:left="504"/>
      </w:pPr>
      <w:r>
        <w:rPr>
          <w:rFonts w:ascii="Arial" w:hAnsi="Arial"/>
          <w:b w:val="0"/>
          <w:i w:val="0"/>
          <w:color w:val="1A1A2E"/>
          <w:sz w:val="22"/>
        </w:rPr>
        <w:t>长期高利率环境可能对财富管理业务中的净利息收入造成压力，并使固定收益持仓产生按市值计价损失。</w:t>
        <w:rFonts w:eastAsia="Arial" w:ascii="Arial" w:hAnsi="Arial" w:cs="Arial"/>
      </w:r>
    </w:p>
    <w:p>
      <w:pPr>
        <w:spacing w:after="120"/>
        <w:ind w:left="504"/>
      </w:pPr>
      <w:r>
        <w:rPr>
          <w:rFonts w:ascii="Arial" w:hAnsi="Arial"/>
          <w:b/>
          <w:i w:val="0"/>
          <w:color w:val="002855"/>
          <w:sz w:val="20"/>
        </w:rPr>
        <w:t xml:space="preserve">缓释措施:  </w:t>
        <w:rFonts w:eastAsia="Arial" w:ascii="Arial" w:hAnsi="Arial" w:cs="Arial"/>
      </w:r>
      <w:r>
        <w:rPr>
          <w:rFonts w:ascii="Arial" w:hAnsi="Arial"/>
          <w:b w:val="0"/>
          <w:i w:val="0"/>
          <w:color w:val="1A1A2E"/>
          <w:sz w:val="20"/>
        </w:rPr>
        <w:t>管理费为主的收入结构降低了对利率变动的敏感度，主动久期管理可限制按市值计价波动。</w:t>
        <w:rFonts w:eastAsia="Arial" w:ascii="Arial" w:hAnsi="Arial" w:cs="Arial"/>
      </w:r>
    </w:p>
    <w:p>
      <w:pPr>
        <w:spacing w:before="160" w:after="60"/>
      </w:pPr>
      <w:r>
        <w:rPr>
          <w:rFonts w:ascii="Arial" w:hAnsi="Arial"/>
          <w:b/>
          <w:i w:val="0"/>
          <w:color w:val="2E8B57"/>
          <w:sz w:val="22"/>
        </w:rPr>
        <w:t xml:space="preserve">▲ </w:t>
        <w:rFonts w:eastAsia="Arial" w:ascii="Arial" w:hAnsi="Arial" w:cs="Arial"/>
      </w:r>
      <w:r>
        <w:rPr>
          <w:rFonts w:ascii="Arial" w:hAnsi="Arial"/>
          <w:b/>
          <w:i w:val="0"/>
          <w:color w:val="2E8B57"/>
          <w:sz w:val="20"/>
        </w:rPr>
        <w:t xml:space="preserve">低风险  </w:t>
        <w:rFonts w:eastAsia="Arial" w:ascii="Arial" w:hAnsi="Arial" w:cs="Arial"/>
      </w:r>
      <w:r>
        <w:rPr>
          <w:rFonts w:ascii="Arial" w:hAnsi="Arial"/>
          <w:b/>
          <w:i w:val="0"/>
          <w:color w:val="1A1A2E"/>
          <w:sz w:val="24"/>
        </w:rPr>
        <w:t>汇率折算</w:t>
        <w:rFonts w:eastAsia="Arial" w:ascii="Arial" w:hAnsi="Arial" w:cs="Arial"/>
      </w:r>
    </w:p>
    <w:p>
      <w:pPr>
        <w:spacing w:after="80"/>
        <w:ind w:left="504"/>
      </w:pPr>
      <w:r>
        <w:rPr>
          <w:rFonts w:ascii="Arial" w:hAnsi="Arial"/>
          <w:b w:val="0"/>
          <w:i w:val="0"/>
          <w:color w:val="1A1A2E"/>
          <w:sz w:val="22"/>
        </w:rPr>
        <w:t>美元走强对国际业务收入产生的汇率折算影响有限，约占总收入的 6%。</w:t>
        <w:rFonts w:eastAsia="Arial" w:ascii="Arial" w:hAnsi="Arial" w:cs="Arial"/>
      </w:r>
    </w:p>
    <w:p>
      <w:pPr>
        <w:spacing w:after="120"/>
        <w:ind w:left="504"/>
      </w:pPr>
      <w:r>
        <w:rPr>
          <w:rFonts w:ascii="Arial" w:hAnsi="Arial"/>
          <w:b/>
          <w:i w:val="0"/>
          <w:color w:val="002855"/>
          <w:sz w:val="20"/>
        </w:rPr>
        <w:t xml:space="preserve">缓释措施:  </w:t>
        <w:rFonts w:eastAsia="Arial" w:ascii="Arial" w:hAnsi="Arial" w:cs="Arial"/>
      </w:r>
      <w:r>
        <w:rPr>
          <w:rFonts w:ascii="Arial" w:hAnsi="Arial"/>
          <w:b w:val="0"/>
          <w:i w:val="0"/>
          <w:color w:val="1A1A2E"/>
          <w:sz w:val="20"/>
        </w:rPr>
        <w:t>通过本地货币融资形成天然对冲，并有限使用外汇远期合约降低敞口。</w:t>
        <w:rFonts w:eastAsia="Arial" w:ascii="Arial" w:hAnsi="Arial" w:cs="Arial"/>
      </w:r>
    </w:p>
    <w:p>
      <w:pPr>
        <w:spacing w:before="160" w:after="60"/>
      </w:pPr>
      <w:r>
        <w:rPr>
          <w:rFonts w:ascii="Arial" w:hAnsi="Arial"/>
          <w:b/>
          <w:i w:val="0"/>
          <w:color w:val="2E8B57"/>
          <w:sz w:val="22"/>
        </w:rPr>
        <w:t xml:space="preserve">▲ </w:t>
        <w:rFonts w:eastAsia="Arial" w:ascii="Arial" w:hAnsi="Arial" w:cs="Arial"/>
      </w:r>
      <w:r>
        <w:rPr>
          <w:rFonts w:ascii="Arial" w:hAnsi="Arial"/>
          <w:b/>
          <w:i w:val="0"/>
          <w:color w:val="2E8B57"/>
          <w:sz w:val="20"/>
        </w:rPr>
        <w:t xml:space="preserve">低风险  </w:t>
        <w:rFonts w:eastAsia="Arial" w:ascii="Arial" w:hAnsi="Arial" w:cs="Arial"/>
      </w:r>
      <w:r>
        <w:rPr>
          <w:rFonts w:ascii="Arial" w:hAnsi="Arial"/>
          <w:b/>
          <w:i w:val="0"/>
          <w:color w:val="1A1A2E"/>
          <w:sz w:val="24"/>
        </w:rPr>
        <w:t>人才留存</w:t>
        <w:rFonts w:eastAsia="Arial" w:ascii="Arial" w:hAnsi="Arial" w:cs="Arial"/>
      </w:r>
    </w:p>
    <w:p>
      <w:pPr>
        <w:spacing w:after="80"/>
        <w:ind w:left="504"/>
      </w:pPr>
      <w:r>
        <w:rPr>
          <w:rFonts w:ascii="Arial" w:hAnsi="Arial"/>
          <w:b w:val="0"/>
          <w:i w:val="0"/>
          <w:color w:val="1A1A2E"/>
          <w:sz w:val="22"/>
        </w:rPr>
        <w:t>激烈的薪酬竞争可能加剧高收入贡献人才的流失。</w:t>
        <w:rFonts w:eastAsia="Arial" w:ascii="Arial" w:hAnsi="Arial" w:cs="Arial"/>
      </w:r>
    </w:p>
    <w:p>
      <w:pPr>
        <w:spacing w:after="120"/>
        <w:ind w:left="504"/>
      </w:pPr>
      <w:r>
        <w:rPr>
          <w:rFonts w:ascii="Arial" w:hAnsi="Arial"/>
          <w:b/>
          <w:i w:val="0"/>
          <w:color w:val="002855"/>
          <w:sz w:val="20"/>
        </w:rPr>
        <w:t xml:space="preserve">缓释措施:  </w:t>
        <w:rFonts w:eastAsia="Arial" w:ascii="Arial" w:hAnsi="Arial" w:cs="Arial"/>
      </w:r>
      <w:r>
        <w:rPr>
          <w:rFonts w:ascii="Arial" w:hAnsi="Arial"/>
          <w:b w:val="0"/>
          <w:i w:val="0"/>
          <w:color w:val="1A1A2E"/>
          <w:sz w:val="20"/>
        </w:rPr>
        <w:t>多年期留任计划与股权挂钩薪酬使长期激励保持一致。</w:t>
        <w:rFonts w:eastAsia="Arial" w:ascii="Arial" w:hAnsi="Arial" w:cs="Arial"/>
      </w:r>
    </w:p>
    <w:p>
      <w:pPr>
        <w:spacing w:before="200"/>
      </w:pPr>
    </w:p>
    <w:p>
      <w:pPr>
        <w:spacing w:after="40"/>
      </w:pPr>
      <w:r>
        <w:rPr>
          <w:rFonts w:ascii="Arial" w:hAnsi="Arial"/>
          <w:b/>
          <w:i w:val="0"/>
          <w:color w:val="002855"/>
          <w:sz w:val="36"/>
        </w:rPr>
        <w:t>免责声明</w:t>
        <w:rFonts w:eastAsia="Arial" w:ascii="Arial" w:hAnsi="Arial" w:cs="Arial"/>
      </w:r>
    </w:p>
    <w:p>
      <w:pPr>
        <w:spacing w:after="120"/>
        <w:jc w:val="left"/>
        <w:pBdr>
          <w:bottom w:val="single" w:sz="8" w:space="1" w:color="c9a84c"/>
        </w:pBdr>
      </w:pPr>
      <w:r>
        <w:t xml:space="preserve"> </w:t>
      </w:r>
    </w:p>
    <w:p>
      <w:pPr>
        <w:spacing w:after="60"/>
      </w:pPr>
      <w:r>
        <w:rPr>
          <w:rFonts w:ascii="Arial" w:hAnsi="Arial"/>
          <w:b w:val="0"/>
          <w:i/>
          <w:color w:val="6B7280"/>
          <w:sz w:val="18"/>
        </w:rPr>
        <w:t>本研究报告由极光资本研究部编制，仅供参考。本报告不构成任何证券的买卖要约。极光资本及其关联方可能持有本报告所提及证券的头寸，并可能以做市商或承销商身份开展相关业务。过往业绩不代表未来表现。投资者在作出任何投资决策前应咨询其独立财务顾问。本报告所载信息基于公开资料编制，不保证其准确性或完整性。</w:t>
        <w:rFonts w:eastAsia="Arial" w:ascii="Arial" w:hAnsi="Arial" w:cs="Arial"/>
      </w:r>
    </w:p>
    <w:p>
      <w:pPr>
        <w:spacing w:before="280"/>
        <w:pBdr>
          <w:top w:val="single" w:sz="6" w:space="1" w:color="c9a84c"/>
        </w:pBdr>
      </w:pPr>
      <w:r>
        <w:t xml:space="preserve"> </w:t>
      </w:r>
    </w:p>
    <w:p>
      <w:pPr>
        <w:jc w:val="center"/>
      </w:pPr>
      <w:r>
        <w:rPr>
          <w:rFonts w:ascii="Arial" w:hAnsi="Arial"/>
          <w:b/>
          <w:i w:val="0"/>
          <w:color w:val="C9A84C"/>
          <w:sz w:val="18"/>
        </w:rPr>
        <w:t>© 2026 极光资本控股  ·  机密文件  ·  仅限授权接收人查阅</w:t>
        <w:rFonts w:eastAsia="Arial" w:ascii="Arial" w:hAnsi="Arial" w:cs="Arial"/>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