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38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 designates a 32-bit signed integer, generally used as the default type for integral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designates a 64-bit floating point, generally used as the default type for decimal values</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 designates only two possible values: true or false, used for flags that track true/false conditions</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designates a 32-bit floating point, used to save memory in large arrays of floating point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designates a 16-bit character type, used to store any character</w:t>
            </w: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designates a 16-bit signed integer, used to save memory as byte data type (2 times smaller than int)</w:t>
            </w:r>
            <w:r w:rsidDel="00000000" w:rsidR="00000000" w:rsidRPr="00000000">
              <w:rPr>
                <w:rtl w:val="0"/>
              </w:rPr>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designates a 64-bit signed integer, used when a wider range than int is needed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