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9F885" w14:textId="77777777" w:rsidR="00BE7715" w:rsidRDefault="007712D4">
      <w:pPr>
        <w:spacing w:line="360" w:lineRule="auto"/>
        <w:ind w:right="5"/>
        <w:jc w:val="center"/>
        <w:rPr>
          <w:b/>
          <w:sz w:val="32"/>
          <w:szCs w:val="32"/>
        </w:rPr>
      </w:pPr>
      <w:r>
        <w:rPr>
          <w:rFonts w:ascii="Arial Unicode MS" w:eastAsia="Arial Unicode MS" w:hAnsi="Arial Unicode MS" w:cs="Arial Unicode MS"/>
          <w:b/>
          <w:sz w:val="32"/>
          <w:szCs w:val="32"/>
        </w:rPr>
        <w:t>The effects of 17⍺-ethinylestradiol on hepatic transcriptome of early-life stage and adult Japanese quail</w:t>
      </w:r>
    </w:p>
    <w:p w14:paraId="31AFE0C2" w14:textId="77777777" w:rsidR="00BE7715" w:rsidRDefault="007712D4">
      <w:pPr>
        <w:spacing w:line="360" w:lineRule="auto"/>
        <w:jc w:val="right"/>
        <w:rPr>
          <w:b/>
        </w:rPr>
      </w:pPr>
      <w:r>
        <w:rPr>
          <w:b/>
        </w:rPr>
        <w:t>Yeon Seon Jeon, Jin Kweon, Qian Li, Janice Ou</w:t>
      </w:r>
    </w:p>
    <w:p w14:paraId="434E2F2B" w14:textId="77777777" w:rsidR="00BE7715" w:rsidRDefault="007712D4">
      <w:pPr>
        <w:spacing w:line="360" w:lineRule="auto"/>
        <w:rPr>
          <w:b/>
          <w:sz w:val="28"/>
          <w:szCs w:val="28"/>
        </w:rPr>
      </w:pPr>
      <w:r>
        <w:rPr>
          <w:b/>
          <w:sz w:val="28"/>
          <w:szCs w:val="28"/>
        </w:rPr>
        <w:t>Introduction</w:t>
      </w:r>
    </w:p>
    <w:p w14:paraId="29746368" w14:textId="77777777" w:rsidR="00BE7715" w:rsidRDefault="007712D4">
      <w:pPr>
        <w:spacing w:line="360" w:lineRule="auto"/>
      </w:pPr>
      <w:r>
        <w:rPr>
          <w:rFonts w:ascii="Arial Unicode MS" w:eastAsia="Arial Unicode MS" w:hAnsi="Arial Unicode MS" w:cs="Arial Unicode MS"/>
        </w:rPr>
        <w:t>17⍺-ethinylestradiol (EE2) is an endocrine disruptor</w:t>
      </w:r>
      <w:r>
        <w:rPr>
          <w:highlight w:val="white"/>
        </w:rPr>
        <w:t xml:space="preserve"> widely found in the environment. </w:t>
      </w:r>
      <w:r>
        <w:t>It is toxic to many organisms such as fish</w:t>
      </w:r>
      <w:r>
        <w:rPr>
          <w:vertAlign w:val="superscript"/>
        </w:rPr>
        <w:t>[</w:t>
      </w:r>
      <w:r>
        <w:rPr>
          <w:highlight w:val="white"/>
          <w:vertAlign w:val="superscript"/>
        </w:rPr>
        <w:t>1-3]</w:t>
      </w:r>
      <w:r>
        <w:rPr>
          <w:highlight w:val="white"/>
        </w:rPr>
        <w:t xml:space="preserve"> and birds</w:t>
      </w:r>
      <w:r>
        <w:rPr>
          <w:vertAlign w:val="superscript"/>
        </w:rPr>
        <w:t>[</w:t>
      </w:r>
      <w:r>
        <w:rPr>
          <w:highlight w:val="white"/>
          <w:vertAlign w:val="superscript"/>
        </w:rPr>
        <w:t>4]</w:t>
      </w:r>
      <w:r>
        <w:rPr>
          <w:highlight w:val="white"/>
        </w:rPr>
        <w:t>. Specifically, in Japanese quail (JQ), embryonic exposure to excessive EE2 causes reproductive organ abnormalities.</w:t>
      </w:r>
      <w:r>
        <w:t xml:space="preserve"> It is suspected that EE2 exerts these cellular effects by activating the nuclear estrogen receptors (ERs) type alpha. Subsequently, the activated ER acts as a transcription factor to regulate targeted genes in the quails</w:t>
      </w:r>
      <w:r>
        <w:rPr>
          <w:vertAlign w:val="superscript"/>
        </w:rPr>
        <w:t>[4]</w:t>
      </w:r>
      <w:r>
        <w:t>.</w:t>
      </w:r>
    </w:p>
    <w:p w14:paraId="71165E00" w14:textId="77777777" w:rsidR="00BE7715" w:rsidRDefault="007712D4">
      <w:pPr>
        <w:spacing w:line="360" w:lineRule="auto"/>
      </w:pPr>
      <w:r>
        <w:t>JQ has been frequently used as a research model in toxicity studies because of its relatively short sexual maturation period, minimum genetic variability and high sensitivity to environmental chemicals</w:t>
      </w:r>
      <w:r>
        <w:rPr>
          <w:vertAlign w:val="superscript"/>
        </w:rPr>
        <w:t>[</w:t>
      </w:r>
      <w:r>
        <w:rPr>
          <w:highlight w:val="white"/>
          <w:vertAlign w:val="superscript"/>
        </w:rPr>
        <w:t>5]</w:t>
      </w:r>
      <w:r>
        <w:t>. To be specific, when it comes to investigating the impacts of environmental chemicals on wildlife, domestic JQ is assumed to be more appropriate as a bridge to wild avian species than other widely used lab model organisms such as mice. However, there is only one standardized toxicity test protocol for adult and none for early life stage (ELS) JQ. In the case of other species, researchers have used ELS under the premise that it is the most susceptible stage to toxicants</w:t>
      </w:r>
      <w:r>
        <w:rPr>
          <w:vertAlign w:val="superscript"/>
        </w:rPr>
        <w:t>[</w:t>
      </w:r>
      <w:r>
        <w:rPr>
          <w:highlight w:val="white"/>
          <w:vertAlign w:val="superscript"/>
        </w:rPr>
        <w:t>6]</w:t>
      </w:r>
      <w:r>
        <w:t>. Currently, there is little research on the gene expression alterations on JQ,  either ELS or adult, upon the exposure to EE2. Moreover, many avian RNA sequencing data has not been produced and analyzed in perspective of ecotoxicology</w:t>
      </w:r>
      <w:r>
        <w:rPr>
          <w:vertAlign w:val="superscript"/>
        </w:rPr>
        <w:t>[</w:t>
      </w:r>
      <w:r>
        <w:rPr>
          <w:highlight w:val="white"/>
          <w:vertAlign w:val="superscript"/>
        </w:rPr>
        <w:t>7]</w:t>
      </w:r>
      <w:r>
        <w:t xml:space="preserve"> though it has huge potentials to be applied for predictive toxicology</w:t>
      </w:r>
      <w:r>
        <w:rPr>
          <w:vertAlign w:val="superscript"/>
        </w:rPr>
        <w:t>[</w:t>
      </w:r>
      <w:r>
        <w:rPr>
          <w:highlight w:val="white"/>
          <w:vertAlign w:val="superscript"/>
        </w:rPr>
        <w:t>8]</w:t>
      </w:r>
      <w:r>
        <w:t>. Therefore, by analyzing the first avian RNA sequencing data, our study would allow us to tackle questions about utilizing gene expression data as endpoints and substituting ELS for Adult in toxicity testing. The answers would have a meaning as a cornerstone for developing an alternative toxicity testing which is faster, cheaper, and more ethical.</w:t>
      </w:r>
    </w:p>
    <w:p w14:paraId="0221224F" w14:textId="77777777" w:rsidR="00BE7715" w:rsidRDefault="007712D4">
      <w:pPr>
        <w:spacing w:before="200" w:line="360" w:lineRule="auto"/>
        <w:rPr>
          <w:color w:val="0000FF"/>
        </w:rPr>
      </w:pPr>
      <w:r>
        <w:rPr>
          <w:b/>
          <w:sz w:val="28"/>
          <w:szCs w:val="28"/>
        </w:rPr>
        <w:t>Objectives &amp; Hypothesis</w:t>
      </w:r>
    </w:p>
    <w:p w14:paraId="4C2DF15D" w14:textId="77777777" w:rsidR="00BE7715" w:rsidRDefault="007712D4">
      <w:pPr>
        <w:spacing w:line="360" w:lineRule="auto"/>
      </w:pPr>
      <w:r>
        <w:t xml:space="preserve">We aim to determine the transcriptomic responses of ELS and adult JQ. We hypothesize that ELS would be more susceptible to EE2 than adult. If so, ELS would have more differentially expressed genes (DEGs), higher degree of dysregulation, and more dysregulated pathways than adult. </w:t>
      </w:r>
      <w:r>
        <w:rPr>
          <w:highlight w:val="white"/>
        </w:rPr>
        <w:t>According to the previous studies</w:t>
      </w:r>
      <w:r>
        <w:rPr>
          <w:highlight w:val="white"/>
          <w:vertAlign w:val="superscript"/>
        </w:rPr>
        <w:t>[4,9-10]</w:t>
      </w:r>
      <w:r>
        <w:rPr>
          <w:highlight w:val="white"/>
        </w:rPr>
        <w:t xml:space="preserve">, we expect that genes such as </w:t>
      </w:r>
      <w:r>
        <w:t xml:space="preserve">apoVLDL, and </w:t>
      </w:r>
      <w:r>
        <w:lastRenderedPageBreak/>
        <w:t>the ones responsible for sex organ development and sexual behaviors will be detected as DEGs in both adult and ELS JQs.</w:t>
      </w:r>
    </w:p>
    <w:p w14:paraId="19914D43" w14:textId="77777777" w:rsidR="00BE7715" w:rsidRDefault="007712D4">
      <w:pPr>
        <w:spacing w:before="200" w:line="360" w:lineRule="auto"/>
        <w:rPr>
          <w:b/>
          <w:sz w:val="28"/>
          <w:szCs w:val="28"/>
        </w:rPr>
      </w:pPr>
      <w:r>
        <w:rPr>
          <w:b/>
          <w:sz w:val="28"/>
          <w:szCs w:val="28"/>
        </w:rPr>
        <w:t>Materials &amp; Methods</w:t>
      </w:r>
    </w:p>
    <w:p w14:paraId="764DD0F6" w14:textId="77777777" w:rsidR="00BE7715" w:rsidRDefault="007712D4">
      <w:pPr>
        <w:spacing w:line="360" w:lineRule="auto"/>
        <w:rPr>
          <w:b/>
          <w:sz w:val="24"/>
          <w:szCs w:val="24"/>
        </w:rPr>
      </w:pPr>
      <w:r>
        <w:rPr>
          <w:b/>
          <w:sz w:val="24"/>
          <w:szCs w:val="24"/>
        </w:rPr>
        <w:t>1. Data collection</w:t>
      </w:r>
    </w:p>
    <w:p w14:paraId="22567477" w14:textId="77777777" w:rsidR="00BE7715" w:rsidRDefault="007712D4">
      <w:pPr>
        <w:spacing w:line="360" w:lineRule="auto"/>
      </w:pPr>
      <w:r>
        <w:t>In this study, we take advantages of RNA sequencing data produced via EcoToxChip project</w:t>
      </w:r>
      <w:r>
        <w:rPr>
          <w:vertAlign w:val="superscript"/>
        </w:rPr>
        <w:t>[11]</w:t>
      </w:r>
      <w:r>
        <w:t xml:space="preserve">. Five individuals per group (high, medium and control) were used to isolate RNAs from left-lobe livers. </w:t>
      </w:r>
      <w:r>
        <w:rPr>
          <w:highlight w:val="white"/>
        </w:rPr>
        <w:t xml:space="preserve">ELS and adult JQ cDNAs were sequenced by Illumina HiSeq 4000 PE100 and </w:t>
      </w:r>
      <w:r>
        <w:t>Illumina NovaSeq 6000 S4 PE100, respectively. The abundance of transcripts was quantified on Galaxy using Kallisto workflow. Details of exposure experiments for embryonic and adult JQs are described below.</w:t>
      </w:r>
    </w:p>
    <w:p w14:paraId="69BEBFE3" w14:textId="77777777" w:rsidR="00BE7715" w:rsidRDefault="007712D4">
      <w:pPr>
        <w:spacing w:line="360" w:lineRule="auto"/>
      </w:pPr>
      <w:r>
        <w:rPr>
          <w:b/>
          <w:u w:val="single"/>
        </w:rPr>
        <w:t>ELS:</w:t>
      </w:r>
      <w:r>
        <w:rPr>
          <w:b/>
        </w:rPr>
        <w:t xml:space="preserve"> </w:t>
      </w:r>
      <w:r>
        <w:t xml:space="preserve">EE2 was dissolved in dimethyl sulfoxide (DMSO) to be 50 mg/mL and the dosing solution was injected into the air cell of JQ eggs at two concentrations (High: 33.3 µg/g/egg; Medium: 3.33 µg/g egg). The control group was similarly injected with dimethyl sulfoxide (DMSO). Eggs were incubated for 9 days: the half of time necessary for hatching. </w:t>
      </w:r>
    </w:p>
    <w:p w14:paraId="55D44C51" w14:textId="77777777" w:rsidR="00BE7715" w:rsidRDefault="007712D4">
      <w:pPr>
        <w:spacing w:after="200" w:line="360" w:lineRule="auto"/>
        <w:rPr>
          <w:sz w:val="24"/>
          <w:szCs w:val="24"/>
        </w:rPr>
      </w:pPr>
      <w:r>
        <w:rPr>
          <w:b/>
          <w:u w:val="single"/>
        </w:rPr>
        <w:t>Adult stage:</w:t>
      </w:r>
      <w:r>
        <w:rPr>
          <w:b/>
        </w:rPr>
        <w:t xml:space="preserve"> </w:t>
      </w:r>
      <w:r>
        <w:t>Following US EPA guideline OCSPP 850.2100, Six- to ten-week old adult JQs were dosed (High: 5 mg/kg; Medium: 0.5 mg/kg) and sampled 4 days after.</w:t>
      </w:r>
    </w:p>
    <w:p w14:paraId="4C80ABFF" w14:textId="77777777" w:rsidR="00BE7715" w:rsidRDefault="007712D4">
      <w:pPr>
        <w:spacing w:line="360" w:lineRule="auto"/>
        <w:rPr>
          <w:b/>
          <w:sz w:val="24"/>
          <w:szCs w:val="24"/>
        </w:rPr>
      </w:pPr>
      <w:r>
        <w:rPr>
          <w:b/>
          <w:sz w:val="24"/>
          <w:szCs w:val="24"/>
        </w:rPr>
        <w:t>2. Data Analysis</w:t>
      </w:r>
    </w:p>
    <w:p w14:paraId="7F53370A" w14:textId="77777777" w:rsidR="00BE7715" w:rsidRDefault="007712D4">
      <w:pPr>
        <w:spacing w:line="360" w:lineRule="auto"/>
      </w:pPr>
      <w:r>
        <w:t xml:space="preserve">To answer the research questions, DEGs were performed using EdgeR. Volcano plots and heatmaps with both transcript counts and fold changes were used to identify DEGs. DEGs were determined with adjusted </w:t>
      </w:r>
      <w:r>
        <w:rPr>
          <w:i/>
        </w:rPr>
        <w:t>p</w:t>
      </w:r>
      <w:r>
        <w:t>-value (or false discovery rate, FDR) of 0.05 and logarithmic fold change (log</w:t>
      </w:r>
      <w:r>
        <w:rPr>
          <w:vertAlign w:val="subscript"/>
        </w:rPr>
        <w:t>2</w:t>
      </w:r>
      <w:r>
        <w:t>FC) of 1 using EdgeR</w:t>
      </w:r>
      <w:r>
        <w:rPr>
          <w:vertAlign w:val="superscript"/>
        </w:rPr>
        <w:t>[12]</w:t>
      </w:r>
      <w:r>
        <w:t>, which was recommended for a study with less than 12 replicates</w:t>
      </w:r>
      <w:r>
        <w:rPr>
          <w:vertAlign w:val="superscript"/>
        </w:rPr>
        <w:t>[13]</w:t>
      </w:r>
      <w:r>
        <w:t>. Enrichment analysis was used to find the associative pathways for the representative DEGs. For unsupervised machine learnings, both (sparse Independent) Principal Component Analysis ((sI)PCA) and hierarchical clustering algorithms (with different linkages) were applied to further investigate EE2 effects on both ELS’ and adults’ datasets.</w:t>
      </w:r>
    </w:p>
    <w:p w14:paraId="36737FEE" w14:textId="77777777" w:rsidR="00BE7715" w:rsidRDefault="007712D4">
      <w:pPr>
        <w:spacing w:before="200" w:line="360" w:lineRule="auto"/>
        <w:rPr>
          <w:sz w:val="28"/>
          <w:szCs w:val="28"/>
        </w:rPr>
      </w:pPr>
      <w:r>
        <w:rPr>
          <w:b/>
          <w:sz w:val="28"/>
          <w:szCs w:val="28"/>
        </w:rPr>
        <w:t>Results</w:t>
      </w:r>
    </w:p>
    <w:p w14:paraId="07FFACB3" w14:textId="77777777" w:rsidR="00BE7715" w:rsidRDefault="007712D4">
      <w:pPr>
        <w:spacing w:line="360" w:lineRule="auto"/>
        <w:rPr>
          <w:highlight w:val="red"/>
        </w:rPr>
      </w:pPr>
      <w:r>
        <w:rPr>
          <w:highlight w:val="white"/>
        </w:rPr>
        <w:t>After obtaining the ELS and adult JQ countables, the dupl</w:t>
      </w:r>
      <w:r>
        <w:t xml:space="preserve">icated rows were removed by summing up the transcript counts with the same row names. Both ELS and adult JQ datasets were then filtered by low count and low variance methods. Low variance filtration were perform with a cutoff of 20%, and low count filtration was conducted based on the low count of mean abundance of 10 transcripts. After filtration process, the remained gene numbers for ELS and adult were 14408 and 13472, respectively. Next, data normalization was performed with trimmed </w:t>
      </w:r>
      <w:r>
        <w:lastRenderedPageBreak/>
        <w:t xml:space="preserve">mean of M-values (TMM). The normalization result of both datasets was visualized by boxplots and qqplots (Fig 1 a and b). We confirmed that the normalization performed well, and, in addition, it removed any significant outlier. </w:t>
      </w:r>
    </w:p>
    <w:p w14:paraId="7690FD54" w14:textId="77777777" w:rsidR="00BE7715" w:rsidRDefault="007712D4">
      <w:pPr>
        <w:spacing w:before="240" w:after="240" w:line="360" w:lineRule="auto"/>
        <w:ind w:left="-1133" w:right="-844"/>
        <w:jc w:val="center"/>
      </w:pPr>
      <w:r>
        <w:rPr>
          <w:noProof/>
          <w:lang w:val="en-US"/>
        </w:rPr>
        <w:drawing>
          <wp:inline distT="114300" distB="114300" distL="114300" distR="114300" wp14:anchorId="592A5ADF" wp14:editId="48ED0C21">
            <wp:extent cx="6191250" cy="271722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6191250" cy="2717220"/>
                    </a:xfrm>
                    <a:prstGeom prst="rect">
                      <a:avLst/>
                    </a:prstGeom>
                    <a:ln/>
                  </pic:spPr>
                </pic:pic>
              </a:graphicData>
            </a:graphic>
          </wp:inline>
        </w:drawing>
      </w:r>
    </w:p>
    <w:p w14:paraId="33538976" w14:textId="77777777" w:rsidR="00BE7715" w:rsidRDefault="007712D4">
      <w:pPr>
        <w:spacing w:before="240" w:after="200" w:line="360" w:lineRule="auto"/>
        <w:ind w:left="-141" w:right="-419"/>
        <w:rPr>
          <w:sz w:val="18"/>
          <w:szCs w:val="18"/>
        </w:rPr>
      </w:pPr>
      <w:r>
        <w:rPr>
          <w:b/>
          <w:sz w:val="18"/>
          <w:szCs w:val="18"/>
        </w:rPr>
        <w:t>Figure 1. a.</w:t>
      </w:r>
      <w:r>
        <w:rPr>
          <w:sz w:val="18"/>
          <w:szCs w:val="18"/>
        </w:rPr>
        <w:t xml:space="preserve"> Boxplots of the normalized datasets across 15 samples in ELS and adult JQ. </w:t>
      </w:r>
      <w:r>
        <w:rPr>
          <w:b/>
          <w:sz w:val="18"/>
          <w:szCs w:val="18"/>
        </w:rPr>
        <w:t>b.</w:t>
      </w:r>
      <w:r>
        <w:rPr>
          <w:sz w:val="18"/>
          <w:szCs w:val="18"/>
        </w:rPr>
        <w:t xml:space="preserve"> The QQ-plots show result from one of the 15 samples in each life stage. Similar QQ-plot patterns was shown in the other 14 samples in each life stage.</w:t>
      </w:r>
    </w:p>
    <w:p w14:paraId="26CD36C8" w14:textId="77777777" w:rsidR="00BE7715" w:rsidRDefault="007712D4">
      <w:pPr>
        <w:widowControl w:val="0"/>
        <w:numPr>
          <w:ilvl w:val="0"/>
          <w:numId w:val="12"/>
        </w:numPr>
        <w:spacing w:line="360" w:lineRule="auto"/>
        <w:ind w:left="283"/>
        <w:rPr>
          <w:b/>
        </w:rPr>
      </w:pPr>
      <w:r>
        <w:rPr>
          <w:b/>
        </w:rPr>
        <w:t>ELS JQ transcriptomic response upon exposure to EE2 treatment</w:t>
      </w:r>
    </w:p>
    <w:p w14:paraId="29BB5200" w14:textId="77777777" w:rsidR="00BE7715" w:rsidRDefault="007712D4">
      <w:pPr>
        <w:widowControl w:val="0"/>
        <w:spacing w:line="360" w:lineRule="auto"/>
      </w:pPr>
      <w:r>
        <w:t>Differential expression analysis was performed on the ELS data by comparing both medium and high doses of EE2 exposure with control. 246 genes were identified as DEGs. We plotted a heatmap with the normalized transcript counts across 15 samples categorized into control, EE2 medium and high groups (Fig 2a). Moreover, two volcano plots were drawn based on the log</w:t>
      </w:r>
      <w:r>
        <w:rPr>
          <w:vertAlign w:val="subscript"/>
        </w:rPr>
        <w:t>2</w:t>
      </w:r>
      <w:r>
        <w:t xml:space="preserve">FC of </w:t>
      </w:r>
      <w:r>
        <w:rPr>
          <w:color w:val="222222"/>
          <w:highlight w:val="white"/>
        </w:rPr>
        <w:t>± 1 and -log</w:t>
      </w:r>
      <w:r>
        <w:rPr>
          <w:color w:val="222222"/>
          <w:highlight w:val="white"/>
          <w:vertAlign w:val="subscript"/>
        </w:rPr>
        <w:t>10</w:t>
      </w:r>
      <w:r>
        <w:rPr>
          <w:color w:val="222222"/>
          <w:highlight w:val="white"/>
        </w:rPr>
        <w:t xml:space="preserve">P-values (P&lt;0.05) of DEGs </w:t>
      </w:r>
      <w:r>
        <w:t>in control versus medium and control versus high (Fig 2b). The numbers of up and down regulated genes are 193 and 53, respectively.</w:t>
      </w:r>
    </w:p>
    <w:p w14:paraId="12459E73" w14:textId="77777777" w:rsidR="00BE7715" w:rsidRDefault="007712D4">
      <w:pPr>
        <w:widowControl w:val="0"/>
        <w:spacing w:line="360" w:lineRule="auto"/>
      </w:pPr>
      <w:r>
        <w:t>We further performed enrichment analysis based on the list of 246 DEGs. A total number of 10 associated pathways were revealed from the enrichment analysis result (Table 1). These pathways are related to lipid metabolism, endocrine system, circulatory system, metabolism of cofactors and vitamins, as well as signaling transduction and molecules and interaction in the KEGG pathway categories.</w:t>
      </w:r>
    </w:p>
    <w:p w14:paraId="13DC4A17" w14:textId="77777777" w:rsidR="00BE7715" w:rsidRDefault="007712D4">
      <w:pPr>
        <w:widowControl w:val="0"/>
        <w:spacing w:line="360" w:lineRule="auto"/>
        <w:jc w:val="center"/>
      </w:pPr>
      <w:r>
        <w:rPr>
          <w:noProof/>
          <w:lang w:val="en-US"/>
        </w:rPr>
        <w:lastRenderedPageBreak/>
        <w:drawing>
          <wp:inline distT="114300" distB="114300" distL="114300" distR="114300" wp14:anchorId="48F73623" wp14:editId="4EE4C8FC">
            <wp:extent cx="5100232" cy="326718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100232" cy="3267188"/>
                    </a:xfrm>
                    <a:prstGeom prst="rect">
                      <a:avLst/>
                    </a:prstGeom>
                    <a:ln/>
                  </pic:spPr>
                </pic:pic>
              </a:graphicData>
            </a:graphic>
          </wp:inline>
        </w:drawing>
      </w:r>
    </w:p>
    <w:p w14:paraId="0513238F" w14:textId="77777777" w:rsidR="00BE7715" w:rsidRDefault="007712D4">
      <w:pPr>
        <w:spacing w:after="100" w:line="360" w:lineRule="auto"/>
      </w:pPr>
      <w:r>
        <w:rPr>
          <w:b/>
          <w:sz w:val="18"/>
          <w:szCs w:val="18"/>
        </w:rPr>
        <w:t>Figure 2. a.</w:t>
      </w:r>
      <w:r>
        <w:rPr>
          <w:sz w:val="18"/>
          <w:szCs w:val="18"/>
        </w:rPr>
        <w:t xml:space="preserve"> Heatmap shows the normalized transcript counts across 15 samples categorized in control, medium and high for the 246 DEGs in ELS stage JQ. </w:t>
      </w:r>
      <w:r>
        <w:rPr>
          <w:b/>
          <w:sz w:val="18"/>
          <w:szCs w:val="18"/>
        </w:rPr>
        <w:t>b.</w:t>
      </w:r>
      <w:r>
        <w:rPr>
          <w:sz w:val="18"/>
          <w:szCs w:val="18"/>
        </w:rPr>
        <w:t xml:space="preserve"> DEGs log</w:t>
      </w:r>
      <w:r>
        <w:rPr>
          <w:sz w:val="18"/>
          <w:szCs w:val="18"/>
          <w:vertAlign w:val="subscript"/>
        </w:rPr>
        <w:t>2</w:t>
      </w:r>
      <w:r>
        <w:rPr>
          <w:sz w:val="18"/>
          <w:szCs w:val="18"/>
        </w:rPr>
        <w:t xml:space="preserve">FC of </w:t>
      </w:r>
      <w:r>
        <w:rPr>
          <w:color w:val="222222"/>
          <w:sz w:val="18"/>
          <w:szCs w:val="18"/>
          <w:highlight w:val="white"/>
        </w:rPr>
        <w:t>±1 versus -log</w:t>
      </w:r>
      <w:r>
        <w:rPr>
          <w:color w:val="222222"/>
          <w:sz w:val="18"/>
          <w:szCs w:val="18"/>
          <w:highlight w:val="white"/>
          <w:vertAlign w:val="subscript"/>
        </w:rPr>
        <w:t>10</w:t>
      </w:r>
      <w:r>
        <w:rPr>
          <w:color w:val="222222"/>
          <w:sz w:val="18"/>
          <w:szCs w:val="18"/>
          <w:highlight w:val="white"/>
        </w:rPr>
        <w:t>P-values (P&lt;0.05)</w:t>
      </w:r>
      <w:r>
        <w:rPr>
          <w:sz w:val="18"/>
          <w:szCs w:val="18"/>
        </w:rPr>
        <w:t xml:space="preserve"> from control v.s. medium and control v.s. High groups are displayed on the two volcano plots for ELS, respectively.</w:t>
      </w:r>
    </w:p>
    <w:p w14:paraId="4A47D833" w14:textId="77777777" w:rsidR="00BE7715" w:rsidRDefault="007712D4">
      <w:pPr>
        <w:spacing w:line="360" w:lineRule="auto"/>
        <w:jc w:val="center"/>
        <w:rPr>
          <w:b/>
        </w:rPr>
      </w:pPr>
      <w:r>
        <w:rPr>
          <w:b/>
          <w:noProof/>
          <w:lang w:val="en-US"/>
        </w:rPr>
        <w:drawing>
          <wp:inline distT="19050" distB="19050" distL="19050" distR="19050" wp14:anchorId="39FF5772" wp14:editId="13CA7979">
            <wp:extent cx="5072063" cy="2058771"/>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072063" cy="2058771"/>
                    </a:xfrm>
                    <a:prstGeom prst="rect">
                      <a:avLst/>
                    </a:prstGeom>
                    <a:ln/>
                  </pic:spPr>
                </pic:pic>
              </a:graphicData>
            </a:graphic>
          </wp:inline>
        </w:drawing>
      </w:r>
    </w:p>
    <w:p w14:paraId="413DFFA8" w14:textId="77777777" w:rsidR="00BE7715" w:rsidRDefault="007712D4">
      <w:pPr>
        <w:spacing w:after="100" w:line="360" w:lineRule="auto"/>
        <w:jc w:val="center"/>
        <w:rPr>
          <w:sz w:val="18"/>
          <w:szCs w:val="18"/>
        </w:rPr>
      </w:pPr>
      <w:r>
        <w:rPr>
          <w:b/>
          <w:sz w:val="18"/>
          <w:szCs w:val="18"/>
        </w:rPr>
        <w:t xml:space="preserve">Table1. </w:t>
      </w:r>
      <w:r>
        <w:rPr>
          <w:sz w:val="18"/>
          <w:szCs w:val="18"/>
        </w:rPr>
        <w:t xml:space="preserve">Enrichment analysis result of 10 pathways associated with the 246 DEGs in ELS JQ. </w:t>
      </w:r>
    </w:p>
    <w:p w14:paraId="0285B5CA" w14:textId="77777777" w:rsidR="00BE7715" w:rsidRDefault="007712D4">
      <w:pPr>
        <w:widowControl w:val="0"/>
        <w:numPr>
          <w:ilvl w:val="0"/>
          <w:numId w:val="2"/>
        </w:numPr>
        <w:spacing w:line="360" w:lineRule="auto"/>
        <w:ind w:left="283"/>
        <w:rPr>
          <w:b/>
        </w:rPr>
      </w:pPr>
      <w:r>
        <w:rPr>
          <w:b/>
        </w:rPr>
        <w:t>Adult JQ transcriptomic response upon exposure to EE2 treatment</w:t>
      </w:r>
    </w:p>
    <w:p w14:paraId="5E9BAD1F" w14:textId="77777777" w:rsidR="00BE7715" w:rsidRDefault="007712D4">
      <w:pPr>
        <w:widowControl w:val="0"/>
        <w:spacing w:line="360" w:lineRule="auto"/>
      </w:pPr>
      <w:r>
        <w:t>Similarly, differential expression analysis was conducted on the adult stage JQ in response to EE2 exposure. It resulted in 128 DEGs. Next, we plotted a heatmap with the normalized transcript counts for the 128 adult DEGs in all the sample groups including control, medium and high doses (Fig 3a). Furthermore, volcano plots were drawn based on log</w:t>
      </w:r>
      <w:r>
        <w:rPr>
          <w:vertAlign w:val="subscript"/>
        </w:rPr>
        <w:t>2</w:t>
      </w:r>
      <w:r>
        <w:t xml:space="preserve">FC of </w:t>
      </w:r>
      <w:r>
        <w:rPr>
          <w:color w:val="222222"/>
          <w:highlight w:val="white"/>
        </w:rPr>
        <w:t>± 1 on the x-axis and -log</w:t>
      </w:r>
      <w:r>
        <w:rPr>
          <w:color w:val="222222"/>
          <w:highlight w:val="white"/>
          <w:vertAlign w:val="subscript"/>
        </w:rPr>
        <w:t>10</w:t>
      </w:r>
      <w:r>
        <w:rPr>
          <w:color w:val="222222"/>
          <w:highlight w:val="white"/>
        </w:rPr>
        <w:t>P-values (P&lt;0.05) of DEGs on the y-axis in both control versus medium or high group.</w:t>
      </w:r>
      <w:r>
        <w:t xml:space="preserve"> In total, there were 59 down regulated and 69 up regulated genes.</w:t>
      </w:r>
    </w:p>
    <w:p w14:paraId="154D5496" w14:textId="77777777" w:rsidR="00BE7715" w:rsidRDefault="007712D4">
      <w:pPr>
        <w:spacing w:line="360" w:lineRule="auto"/>
      </w:pPr>
      <w:r>
        <w:lastRenderedPageBreak/>
        <w:t>Using the identified 128 DEGs, we conducted enrichment analysis to pinpoint dysregulated pathways in JQ. In the end, we found 10 pathways shown in Table 2. These pathways are associated with amino acid metabolism, endocrine system and signaling transduction according to KEGG pathway map categories.</w:t>
      </w:r>
    </w:p>
    <w:p w14:paraId="52B2AC33" w14:textId="77777777" w:rsidR="00BE7715" w:rsidRDefault="007712D4">
      <w:pPr>
        <w:widowControl w:val="0"/>
        <w:spacing w:line="360" w:lineRule="auto"/>
        <w:jc w:val="center"/>
      </w:pPr>
      <w:r>
        <w:rPr>
          <w:noProof/>
          <w:lang w:val="en-US"/>
        </w:rPr>
        <w:drawing>
          <wp:inline distT="114300" distB="114300" distL="114300" distR="114300" wp14:anchorId="59A2CE41" wp14:editId="55CF6F66">
            <wp:extent cx="5029200" cy="317485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029200" cy="3174858"/>
                    </a:xfrm>
                    <a:prstGeom prst="rect">
                      <a:avLst/>
                    </a:prstGeom>
                    <a:ln/>
                  </pic:spPr>
                </pic:pic>
              </a:graphicData>
            </a:graphic>
          </wp:inline>
        </w:drawing>
      </w:r>
    </w:p>
    <w:p w14:paraId="2B84F2BA" w14:textId="77777777" w:rsidR="00BE7715" w:rsidRDefault="007712D4">
      <w:pPr>
        <w:spacing w:after="100" w:line="360" w:lineRule="auto"/>
      </w:pPr>
      <w:r>
        <w:rPr>
          <w:b/>
          <w:sz w:val="18"/>
          <w:szCs w:val="18"/>
        </w:rPr>
        <w:t>Figure 3. a.</w:t>
      </w:r>
      <w:r>
        <w:rPr>
          <w:sz w:val="18"/>
          <w:szCs w:val="18"/>
        </w:rPr>
        <w:t xml:space="preserve"> Heatmap shows the normalized transcript counts of 128 DEGs in adult stage JQ across 15 samples in the control, medium and high doses groups. </w:t>
      </w:r>
      <w:r>
        <w:rPr>
          <w:b/>
          <w:sz w:val="18"/>
          <w:szCs w:val="18"/>
        </w:rPr>
        <w:t>b.</w:t>
      </w:r>
      <w:r>
        <w:rPr>
          <w:sz w:val="18"/>
          <w:szCs w:val="18"/>
        </w:rPr>
        <w:t xml:space="preserve"> Volcano plots indicate log</w:t>
      </w:r>
      <w:r>
        <w:rPr>
          <w:sz w:val="18"/>
          <w:szCs w:val="18"/>
          <w:vertAlign w:val="subscript"/>
        </w:rPr>
        <w:t>2</w:t>
      </w:r>
      <w:r>
        <w:rPr>
          <w:sz w:val="18"/>
          <w:szCs w:val="18"/>
        </w:rPr>
        <w:t xml:space="preserve">FC of </w:t>
      </w:r>
      <w:r>
        <w:rPr>
          <w:color w:val="222222"/>
          <w:sz w:val="18"/>
          <w:szCs w:val="18"/>
          <w:highlight w:val="white"/>
        </w:rPr>
        <w:t>± 1 versus -log</w:t>
      </w:r>
      <w:r>
        <w:rPr>
          <w:color w:val="222222"/>
          <w:sz w:val="18"/>
          <w:szCs w:val="18"/>
          <w:highlight w:val="white"/>
          <w:vertAlign w:val="subscript"/>
        </w:rPr>
        <w:t>10</w:t>
      </w:r>
      <w:r>
        <w:rPr>
          <w:color w:val="222222"/>
          <w:sz w:val="18"/>
          <w:szCs w:val="18"/>
          <w:highlight w:val="white"/>
        </w:rPr>
        <w:t xml:space="preserve">P-values (P&lt;0.05) of 128 DEGs </w:t>
      </w:r>
      <w:r>
        <w:rPr>
          <w:sz w:val="18"/>
          <w:szCs w:val="18"/>
        </w:rPr>
        <w:t>by comparing control with medium  and high groups in adult JQ.</w:t>
      </w:r>
    </w:p>
    <w:p w14:paraId="26608703" w14:textId="77777777" w:rsidR="00BE7715" w:rsidRDefault="007712D4">
      <w:pPr>
        <w:spacing w:line="360" w:lineRule="auto"/>
        <w:jc w:val="center"/>
        <w:rPr>
          <w:b/>
        </w:rPr>
      </w:pPr>
      <w:r>
        <w:rPr>
          <w:noProof/>
          <w:lang w:val="en-US"/>
        </w:rPr>
        <w:drawing>
          <wp:inline distT="19050" distB="19050" distL="19050" distR="19050" wp14:anchorId="11F18974" wp14:editId="7A32E21B">
            <wp:extent cx="4791075" cy="190522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91075" cy="1905223"/>
                    </a:xfrm>
                    <a:prstGeom prst="rect">
                      <a:avLst/>
                    </a:prstGeom>
                    <a:ln/>
                  </pic:spPr>
                </pic:pic>
              </a:graphicData>
            </a:graphic>
          </wp:inline>
        </w:drawing>
      </w:r>
    </w:p>
    <w:p w14:paraId="602855D4" w14:textId="77777777" w:rsidR="00BE7715" w:rsidRDefault="007712D4">
      <w:pPr>
        <w:spacing w:line="360" w:lineRule="auto"/>
        <w:jc w:val="center"/>
        <w:rPr>
          <w:b/>
          <w:sz w:val="18"/>
          <w:szCs w:val="18"/>
        </w:rPr>
      </w:pPr>
      <w:r>
        <w:rPr>
          <w:b/>
          <w:sz w:val="18"/>
          <w:szCs w:val="18"/>
        </w:rPr>
        <w:t xml:space="preserve">Table 2. </w:t>
      </w:r>
      <w:r>
        <w:rPr>
          <w:sz w:val="18"/>
          <w:szCs w:val="18"/>
        </w:rPr>
        <w:t>Enrichment analysis result of 10 pathways associated with 128 DEGs in Adult JQ.</w:t>
      </w:r>
    </w:p>
    <w:p w14:paraId="06719AC2" w14:textId="77777777" w:rsidR="00BE7715" w:rsidRDefault="007712D4">
      <w:pPr>
        <w:spacing w:before="200" w:line="360" w:lineRule="auto"/>
      </w:pPr>
      <w:r>
        <w:rPr>
          <w:b/>
          <w:sz w:val="28"/>
          <w:szCs w:val="28"/>
        </w:rPr>
        <w:t>Discussion</w:t>
      </w:r>
    </w:p>
    <w:p w14:paraId="4F4AB7CD" w14:textId="05F264DB" w:rsidR="00BE7715" w:rsidRDefault="00DA31E2">
      <w:pPr>
        <w:spacing w:line="360" w:lineRule="auto"/>
        <w:rPr>
          <w:b/>
        </w:rPr>
      </w:pPr>
      <w:r>
        <w:rPr>
          <w:b/>
        </w:rPr>
        <w:t>1.</w:t>
      </w:r>
      <w:r w:rsidR="007712D4">
        <w:rPr>
          <w:b/>
        </w:rPr>
        <w:t xml:space="preserve"> The transcript counts of ELS Japanese hepatic genes show higher differences than the ones in adult</w:t>
      </w:r>
    </w:p>
    <w:p w14:paraId="007A1D93" w14:textId="77777777" w:rsidR="00BE7715" w:rsidRDefault="007712D4">
      <w:pPr>
        <w:spacing w:line="360" w:lineRule="auto"/>
        <w:rPr>
          <w:b/>
        </w:rPr>
      </w:pPr>
      <w:r>
        <w:lastRenderedPageBreak/>
        <w:t xml:space="preserve">Comparing the K-means clustered heatmaps from the normalized counts (Fig 2a and 3a), we found that the differences between a control group and treated groups are higher in ELS than in adult. On the heatmap of ELS, ¾ of the DEGs are clearly up-regulated. However, the changes are not obvious in adult case. Although samples in high from the adult relatively showed stronger up-regulations compared to its medium, it still had smaller differences compared to ELS’. On the bottom ¼ of the heatamps on ELS, medium and high samples were down-regulated compared to the control, and again, adults showed the smaller difference. One of the reasons of different changes between ELS and adult is that adult quail’s liver is fully developed, and thus, its metabolism of the chemical EEG works better. </w:t>
      </w:r>
    </w:p>
    <w:p w14:paraId="67CD4BAB" w14:textId="77777777" w:rsidR="00BE7715" w:rsidRDefault="007712D4">
      <w:pPr>
        <w:spacing w:line="360" w:lineRule="auto"/>
      </w:pPr>
      <w:r>
        <w:t>To support our arguments from the heatmaps, we performed PCA, sIPCA and hierarchical clusters. Firstly, in PCA plots (Fig 4), as what heatmaps suggested, the control group is differentiated well from treatment groups in ELS. Unlike ELS, adults do not show the clear separation between control and treatment groups. Again, the sample 1 in control from the adults stayed away from all other samples in PCA.</w:t>
      </w:r>
    </w:p>
    <w:p w14:paraId="49DCD2F6" w14:textId="77777777" w:rsidR="00BE7715" w:rsidRDefault="007712D4">
      <w:pPr>
        <w:spacing w:line="360" w:lineRule="auto"/>
        <w:rPr>
          <w:sz w:val="18"/>
          <w:szCs w:val="18"/>
        </w:rPr>
      </w:pPr>
      <w:r>
        <w:rPr>
          <w:b/>
          <w:noProof/>
          <w:sz w:val="18"/>
          <w:szCs w:val="18"/>
          <w:lang w:val="en-US"/>
        </w:rPr>
        <w:drawing>
          <wp:inline distT="114300" distB="114300" distL="114300" distR="114300" wp14:anchorId="0D192424" wp14:editId="188C3626">
            <wp:extent cx="5877038" cy="2141392"/>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877038" cy="2141392"/>
                    </a:xfrm>
                    <a:prstGeom prst="rect">
                      <a:avLst/>
                    </a:prstGeom>
                    <a:ln/>
                  </pic:spPr>
                </pic:pic>
              </a:graphicData>
            </a:graphic>
          </wp:inline>
        </w:drawing>
      </w:r>
      <w:r>
        <w:rPr>
          <w:b/>
          <w:sz w:val="18"/>
          <w:szCs w:val="18"/>
        </w:rPr>
        <w:t>Figure 4</w:t>
      </w:r>
      <w:r>
        <w:rPr>
          <w:sz w:val="18"/>
          <w:szCs w:val="18"/>
        </w:rPr>
        <w:t xml:space="preserve">. PCA plots. </w:t>
      </w:r>
      <w:r>
        <w:rPr>
          <w:b/>
          <w:sz w:val="18"/>
          <w:szCs w:val="18"/>
        </w:rPr>
        <w:t>a.</w:t>
      </w:r>
      <w:r>
        <w:rPr>
          <w:sz w:val="18"/>
          <w:szCs w:val="18"/>
        </w:rPr>
        <w:t xml:space="preserve"> JQ ELS PC1 explains 18.2% and PC2 13.7% sample variance. </w:t>
      </w:r>
      <w:r>
        <w:rPr>
          <w:b/>
          <w:sz w:val="18"/>
          <w:szCs w:val="18"/>
        </w:rPr>
        <w:t>b.</w:t>
      </w:r>
      <w:r>
        <w:rPr>
          <w:sz w:val="18"/>
          <w:szCs w:val="18"/>
        </w:rPr>
        <w:t xml:space="preserve"> JQ Adult PC1 represents 16.2% and PC2 11.6% sample variance.</w:t>
      </w:r>
    </w:p>
    <w:p w14:paraId="379605A1" w14:textId="77777777" w:rsidR="00BE7715" w:rsidRDefault="00BE7715">
      <w:pPr>
        <w:spacing w:line="360" w:lineRule="auto"/>
      </w:pPr>
    </w:p>
    <w:p w14:paraId="1162B84C" w14:textId="77777777" w:rsidR="00BE7715" w:rsidRDefault="007712D4">
      <w:pPr>
        <w:spacing w:line="360" w:lineRule="auto"/>
      </w:pPr>
      <w:r>
        <w:t xml:space="preserve">Secondly, we performed sIPCA, since PCA has some drawbacks. PCA has the strong assumption that the gene expression follows a multivariate normal distribution, but it is not a case in our datasets. Furthermore, PCA decomposes the gene expressions based on maximization of its variance; however, our biological questions are not related to the highest variance. Again, in sIPCA (Fig 5), the control in ELS is well separated from medium and high groups; however, the adult’s is not. The answers from previous analyses are strengthened by the hierarchical clusters (Fig 6). In conclusion, there are more numbers of DEGs (ELS has 246, </w:t>
      </w:r>
      <w:r>
        <w:lastRenderedPageBreak/>
        <w:t>and Adults have 128) and higher log</w:t>
      </w:r>
      <w:r>
        <w:rPr>
          <w:vertAlign w:val="subscript"/>
        </w:rPr>
        <w:t>2</w:t>
      </w:r>
      <w:r>
        <w:t>FC in ELS implying that ELS quails are more susceptible to EE2 than the adults.</w:t>
      </w:r>
    </w:p>
    <w:p w14:paraId="1345080A" w14:textId="77777777" w:rsidR="00BE7715" w:rsidRDefault="007712D4">
      <w:pPr>
        <w:spacing w:line="360" w:lineRule="auto"/>
      </w:pPr>
      <w:r>
        <w:rPr>
          <w:noProof/>
          <w:lang w:val="en-US"/>
        </w:rPr>
        <w:drawing>
          <wp:inline distT="114300" distB="114300" distL="114300" distR="114300" wp14:anchorId="560604B4" wp14:editId="3FEF505F">
            <wp:extent cx="5953238" cy="2524125"/>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53238" cy="2524125"/>
                    </a:xfrm>
                    <a:prstGeom prst="rect">
                      <a:avLst/>
                    </a:prstGeom>
                    <a:ln/>
                  </pic:spPr>
                </pic:pic>
              </a:graphicData>
            </a:graphic>
          </wp:inline>
        </w:drawing>
      </w:r>
    </w:p>
    <w:p w14:paraId="5A522599" w14:textId="77777777" w:rsidR="00BE7715" w:rsidRDefault="007712D4">
      <w:pPr>
        <w:spacing w:line="360" w:lineRule="auto"/>
      </w:pPr>
      <w:r>
        <w:rPr>
          <w:b/>
          <w:sz w:val="18"/>
          <w:szCs w:val="18"/>
        </w:rPr>
        <w:t xml:space="preserve">Figure 5. a. </w:t>
      </w:r>
      <w:r>
        <w:rPr>
          <w:sz w:val="18"/>
          <w:szCs w:val="18"/>
        </w:rPr>
        <w:t xml:space="preserve">JQ ELS sIPCA with 25% explained variance. </w:t>
      </w:r>
      <w:r>
        <w:rPr>
          <w:b/>
          <w:sz w:val="18"/>
          <w:szCs w:val="18"/>
        </w:rPr>
        <w:t>b.</w:t>
      </w:r>
      <w:r>
        <w:rPr>
          <w:sz w:val="18"/>
          <w:szCs w:val="18"/>
        </w:rPr>
        <w:t xml:space="preserve"> JQ Adult sIPCA with 24% explained variance.</w:t>
      </w:r>
    </w:p>
    <w:p w14:paraId="1C7940BE" w14:textId="77777777" w:rsidR="00BE7715" w:rsidRDefault="007712D4">
      <w:pPr>
        <w:spacing w:before="240" w:line="360" w:lineRule="auto"/>
        <w:ind w:left="-992" w:right="-702"/>
        <w:jc w:val="center"/>
      </w:pPr>
      <w:r>
        <w:rPr>
          <w:noProof/>
          <w:lang w:val="en-US"/>
        </w:rPr>
        <w:drawing>
          <wp:inline distT="114300" distB="114300" distL="114300" distR="114300" wp14:anchorId="5AEB2454" wp14:editId="09DD7FDD">
            <wp:extent cx="5453063" cy="2908908"/>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53063" cy="2908908"/>
                    </a:xfrm>
                    <a:prstGeom prst="rect">
                      <a:avLst/>
                    </a:prstGeom>
                    <a:ln/>
                  </pic:spPr>
                </pic:pic>
              </a:graphicData>
            </a:graphic>
          </wp:inline>
        </w:drawing>
      </w:r>
    </w:p>
    <w:p w14:paraId="72B56A8C" w14:textId="77777777" w:rsidR="00BE7715" w:rsidRDefault="007712D4">
      <w:pPr>
        <w:spacing w:line="360" w:lineRule="auto"/>
      </w:pPr>
      <w:r>
        <w:rPr>
          <w:b/>
          <w:sz w:val="18"/>
          <w:szCs w:val="18"/>
        </w:rPr>
        <w:t>Figure 6.</w:t>
      </w:r>
      <w:r>
        <w:rPr>
          <w:sz w:val="18"/>
          <w:szCs w:val="18"/>
        </w:rPr>
        <w:t xml:space="preserve"> Hierarchical clusters with the linkages: complete, (first column) average, (second) and single (third)</w:t>
      </w:r>
    </w:p>
    <w:p w14:paraId="34C57F89" w14:textId="77777777" w:rsidR="00BE7715" w:rsidRDefault="00BE7715">
      <w:pPr>
        <w:spacing w:line="360" w:lineRule="auto"/>
      </w:pPr>
    </w:p>
    <w:p w14:paraId="17BA7C38" w14:textId="03F14B5D" w:rsidR="00BE7715" w:rsidRDefault="00DA31E2">
      <w:pPr>
        <w:spacing w:line="360" w:lineRule="auto"/>
        <w:rPr>
          <w:b/>
        </w:rPr>
      </w:pPr>
      <w:r>
        <w:rPr>
          <w:b/>
        </w:rPr>
        <w:t>2.</w:t>
      </w:r>
      <w:r w:rsidR="007712D4">
        <w:rPr>
          <w:b/>
        </w:rPr>
        <w:t xml:space="preserve"> Common DEGs in ELS and adult JQ</w:t>
      </w:r>
    </w:p>
    <w:p w14:paraId="683C34D3" w14:textId="77777777" w:rsidR="00BE7715" w:rsidRDefault="007712D4">
      <w:pPr>
        <w:spacing w:line="360" w:lineRule="auto"/>
      </w:pPr>
      <w:r>
        <w:t>There were 17 DEGs shared by both ELS and adult JQ (Table 3). We further investigated their degrees and directions of FCs (Table 3). The degree of dysregulations presented, by absolute log</w:t>
      </w:r>
      <w:r>
        <w:rPr>
          <w:vertAlign w:val="subscript"/>
        </w:rPr>
        <w:t>2</w:t>
      </w:r>
      <w:r>
        <w:t xml:space="preserve">FC, was higher in ELS than it was in adult, and the pattern was visually captured in Fig 7. We observed that six genes were dysregulated in the opposite direction. In contrast, seven </w:t>
      </w:r>
      <w:r>
        <w:lastRenderedPageBreak/>
        <w:t>genes were dysregulated in the same direction in ELS and adult JQ. Specifically, all of them were upregulated in both medium and high doses of EE2 from both life stages.</w:t>
      </w:r>
    </w:p>
    <w:p w14:paraId="68C3839A" w14:textId="77777777" w:rsidR="00BE7715" w:rsidRDefault="00BE7715">
      <w:pPr>
        <w:spacing w:line="360" w:lineRule="auto"/>
      </w:pPr>
    </w:p>
    <w:tbl>
      <w:tblPr>
        <w:tblStyle w:val="a"/>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1"/>
        <w:gridCol w:w="1826"/>
        <w:gridCol w:w="1826"/>
        <w:gridCol w:w="1826"/>
        <w:gridCol w:w="1826"/>
      </w:tblGrid>
      <w:tr w:rsidR="00BE7715" w14:paraId="0FD3412E" w14:textId="77777777">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C9BF0" w14:textId="77777777" w:rsidR="00BE7715" w:rsidRDefault="007712D4">
            <w:pPr>
              <w:widowControl w:val="0"/>
              <w:spacing w:line="240" w:lineRule="auto"/>
              <w:jc w:val="center"/>
            </w:pPr>
            <w:r>
              <w:rPr>
                <w:b/>
              </w:rPr>
              <w:t>17 Overlapping DEGs</w:t>
            </w:r>
          </w:p>
        </w:tc>
        <w:tc>
          <w:tcPr>
            <w:tcW w:w="1826" w:type="dxa"/>
            <w:tcBorders>
              <w:top w:val="single" w:sz="6" w:space="0" w:color="000000"/>
              <w:bottom w:val="single" w:sz="6" w:space="0" w:color="000000"/>
            </w:tcBorders>
            <w:tcMar>
              <w:top w:w="40" w:type="dxa"/>
              <w:left w:w="40" w:type="dxa"/>
              <w:bottom w:w="40" w:type="dxa"/>
              <w:right w:w="40" w:type="dxa"/>
            </w:tcMar>
            <w:vAlign w:val="bottom"/>
          </w:tcPr>
          <w:p w14:paraId="26171CBB" w14:textId="77777777" w:rsidR="00BE7715" w:rsidRDefault="007712D4">
            <w:pPr>
              <w:widowControl w:val="0"/>
              <w:spacing w:line="240" w:lineRule="auto"/>
              <w:jc w:val="center"/>
            </w:pPr>
            <w:r>
              <w:rPr>
                <w:b/>
              </w:rPr>
              <w:t>ELS Medium vs Control</w:t>
            </w:r>
          </w:p>
        </w:tc>
        <w:tc>
          <w:tcPr>
            <w:tcW w:w="1826" w:type="dxa"/>
            <w:tcBorders>
              <w:top w:val="single" w:sz="6" w:space="0" w:color="000000"/>
              <w:bottom w:val="single" w:sz="6" w:space="0" w:color="000000"/>
            </w:tcBorders>
            <w:tcMar>
              <w:top w:w="40" w:type="dxa"/>
              <w:left w:w="40" w:type="dxa"/>
              <w:bottom w:w="40" w:type="dxa"/>
              <w:right w:w="40" w:type="dxa"/>
            </w:tcMar>
            <w:vAlign w:val="bottom"/>
          </w:tcPr>
          <w:p w14:paraId="5FB603E7" w14:textId="77777777" w:rsidR="00BE7715" w:rsidRDefault="007712D4">
            <w:pPr>
              <w:widowControl w:val="0"/>
              <w:spacing w:line="240" w:lineRule="auto"/>
              <w:jc w:val="center"/>
            </w:pPr>
            <w:r>
              <w:rPr>
                <w:b/>
              </w:rPr>
              <w:t>ELS High vs Control</w:t>
            </w:r>
          </w:p>
        </w:tc>
        <w:tc>
          <w:tcPr>
            <w:tcW w:w="1826" w:type="dxa"/>
            <w:tcBorders>
              <w:top w:val="single" w:sz="6" w:space="0" w:color="000000"/>
              <w:bottom w:val="single" w:sz="6" w:space="0" w:color="000000"/>
            </w:tcBorders>
            <w:tcMar>
              <w:top w:w="40" w:type="dxa"/>
              <w:left w:w="40" w:type="dxa"/>
              <w:bottom w:w="40" w:type="dxa"/>
              <w:right w:w="40" w:type="dxa"/>
            </w:tcMar>
            <w:vAlign w:val="bottom"/>
          </w:tcPr>
          <w:p w14:paraId="64C0AA2E" w14:textId="77777777" w:rsidR="00BE7715" w:rsidRDefault="007712D4">
            <w:pPr>
              <w:widowControl w:val="0"/>
              <w:spacing w:line="240" w:lineRule="auto"/>
              <w:jc w:val="center"/>
            </w:pPr>
            <w:r>
              <w:rPr>
                <w:b/>
              </w:rPr>
              <w:t>Adult Medium vs Control</w:t>
            </w:r>
          </w:p>
        </w:tc>
        <w:tc>
          <w:tcPr>
            <w:tcW w:w="1826"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4E4D8AD1" w14:textId="77777777" w:rsidR="00BE7715" w:rsidRDefault="007712D4">
            <w:pPr>
              <w:widowControl w:val="0"/>
              <w:spacing w:line="240" w:lineRule="auto"/>
              <w:jc w:val="center"/>
            </w:pPr>
            <w:r>
              <w:rPr>
                <w:b/>
              </w:rPr>
              <w:t>Adult High vs Control</w:t>
            </w:r>
          </w:p>
        </w:tc>
      </w:tr>
      <w:tr w:rsidR="00BE7715" w14:paraId="37DAC670"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36783F9A" w14:textId="77777777" w:rsidR="00BE7715" w:rsidRDefault="007712D4">
            <w:pPr>
              <w:widowControl w:val="0"/>
              <w:spacing w:line="240" w:lineRule="auto"/>
              <w:jc w:val="center"/>
            </w:pPr>
            <w:r>
              <w:t>FABP7</w:t>
            </w:r>
          </w:p>
        </w:tc>
        <w:tc>
          <w:tcPr>
            <w:tcW w:w="1826" w:type="dxa"/>
            <w:tcMar>
              <w:top w:w="40" w:type="dxa"/>
              <w:left w:w="40" w:type="dxa"/>
              <w:bottom w:w="40" w:type="dxa"/>
              <w:right w:w="40" w:type="dxa"/>
            </w:tcMar>
            <w:vAlign w:val="bottom"/>
          </w:tcPr>
          <w:p w14:paraId="3E2CD222" w14:textId="77777777" w:rsidR="00BE7715" w:rsidRDefault="007712D4">
            <w:pPr>
              <w:widowControl w:val="0"/>
              <w:spacing w:line="240" w:lineRule="auto"/>
              <w:jc w:val="center"/>
            </w:pPr>
            <w:r>
              <w:rPr>
                <w:color w:val="FF0000"/>
              </w:rPr>
              <w:t>8.888</w:t>
            </w:r>
          </w:p>
        </w:tc>
        <w:tc>
          <w:tcPr>
            <w:tcW w:w="1826" w:type="dxa"/>
            <w:tcMar>
              <w:top w:w="40" w:type="dxa"/>
              <w:left w:w="40" w:type="dxa"/>
              <w:bottom w:w="40" w:type="dxa"/>
              <w:right w:w="40" w:type="dxa"/>
            </w:tcMar>
            <w:vAlign w:val="bottom"/>
          </w:tcPr>
          <w:p w14:paraId="58863E5D" w14:textId="77777777" w:rsidR="00BE7715" w:rsidRDefault="007712D4">
            <w:pPr>
              <w:widowControl w:val="0"/>
              <w:spacing w:line="240" w:lineRule="auto"/>
              <w:jc w:val="center"/>
            </w:pPr>
            <w:r>
              <w:rPr>
                <w:color w:val="FF0000"/>
              </w:rPr>
              <w:t>3.317</w:t>
            </w:r>
          </w:p>
        </w:tc>
        <w:tc>
          <w:tcPr>
            <w:tcW w:w="1826" w:type="dxa"/>
            <w:tcMar>
              <w:top w:w="40" w:type="dxa"/>
              <w:left w:w="40" w:type="dxa"/>
              <w:bottom w:w="40" w:type="dxa"/>
              <w:right w:w="40" w:type="dxa"/>
            </w:tcMar>
            <w:vAlign w:val="bottom"/>
          </w:tcPr>
          <w:p w14:paraId="311351B9" w14:textId="77777777" w:rsidR="00BE7715" w:rsidRDefault="007712D4">
            <w:pPr>
              <w:widowControl w:val="0"/>
              <w:spacing w:line="240" w:lineRule="auto"/>
              <w:jc w:val="center"/>
            </w:pPr>
            <w:r>
              <w:rPr>
                <w:color w:val="FF0000"/>
              </w:rPr>
              <w:t>3.539</w:t>
            </w:r>
          </w:p>
        </w:tc>
        <w:tc>
          <w:tcPr>
            <w:tcW w:w="1826" w:type="dxa"/>
            <w:tcBorders>
              <w:right w:val="single" w:sz="6" w:space="0" w:color="000000"/>
            </w:tcBorders>
            <w:tcMar>
              <w:top w:w="40" w:type="dxa"/>
              <w:left w:w="40" w:type="dxa"/>
              <w:bottom w:w="40" w:type="dxa"/>
              <w:right w:w="40" w:type="dxa"/>
            </w:tcMar>
            <w:vAlign w:val="bottom"/>
          </w:tcPr>
          <w:p w14:paraId="4D32FB2D" w14:textId="77777777" w:rsidR="00BE7715" w:rsidRDefault="007712D4">
            <w:pPr>
              <w:widowControl w:val="0"/>
              <w:spacing w:line="240" w:lineRule="auto"/>
              <w:jc w:val="center"/>
            </w:pPr>
            <w:r>
              <w:rPr>
                <w:color w:val="0000FF"/>
              </w:rPr>
              <w:t>-0.229</w:t>
            </w:r>
          </w:p>
        </w:tc>
      </w:tr>
      <w:tr w:rsidR="00BE7715" w14:paraId="2BB4CE52"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5EFB8F67" w14:textId="77777777" w:rsidR="00BE7715" w:rsidRDefault="007712D4">
            <w:pPr>
              <w:widowControl w:val="0"/>
              <w:spacing w:line="240" w:lineRule="auto"/>
              <w:jc w:val="center"/>
            </w:pPr>
            <w:r>
              <w:t>NPTXR*</w:t>
            </w:r>
          </w:p>
        </w:tc>
        <w:tc>
          <w:tcPr>
            <w:tcW w:w="1826" w:type="dxa"/>
            <w:tcMar>
              <w:top w:w="40" w:type="dxa"/>
              <w:left w:w="40" w:type="dxa"/>
              <w:bottom w:w="40" w:type="dxa"/>
              <w:right w:w="40" w:type="dxa"/>
            </w:tcMar>
            <w:vAlign w:val="bottom"/>
          </w:tcPr>
          <w:p w14:paraId="73B93EA7" w14:textId="77777777" w:rsidR="00BE7715" w:rsidRDefault="007712D4">
            <w:pPr>
              <w:widowControl w:val="0"/>
              <w:spacing w:line="240" w:lineRule="auto"/>
              <w:jc w:val="center"/>
            </w:pPr>
            <w:r>
              <w:rPr>
                <w:color w:val="FF0000"/>
              </w:rPr>
              <w:t>8.928</w:t>
            </w:r>
          </w:p>
        </w:tc>
        <w:tc>
          <w:tcPr>
            <w:tcW w:w="1826" w:type="dxa"/>
            <w:tcMar>
              <w:top w:w="40" w:type="dxa"/>
              <w:left w:w="40" w:type="dxa"/>
              <w:bottom w:w="40" w:type="dxa"/>
              <w:right w:w="40" w:type="dxa"/>
            </w:tcMar>
            <w:vAlign w:val="bottom"/>
          </w:tcPr>
          <w:p w14:paraId="24A57D83" w14:textId="77777777" w:rsidR="00BE7715" w:rsidRDefault="007712D4">
            <w:pPr>
              <w:widowControl w:val="0"/>
              <w:spacing w:line="240" w:lineRule="auto"/>
              <w:jc w:val="center"/>
            </w:pPr>
            <w:r>
              <w:rPr>
                <w:color w:val="FF0000"/>
              </w:rPr>
              <w:t>3.187</w:t>
            </w:r>
          </w:p>
        </w:tc>
        <w:tc>
          <w:tcPr>
            <w:tcW w:w="1826" w:type="dxa"/>
            <w:tcMar>
              <w:top w:w="40" w:type="dxa"/>
              <w:left w:w="40" w:type="dxa"/>
              <w:bottom w:w="40" w:type="dxa"/>
              <w:right w:w="40" w:type="dxa"/>
            </w:tcMar>
            <w:vAlign w:val="bottom"/>
          </w:tcPr>
          <w:p w14:paraId="7BCCD358" w14:textId="77777777" w:rsidR="00BE7715" w:rsidRDefault="007712D4">
            <w:pPr>
              <w:widowControl w:val="0"/>
              <w:spacing w:line="240" w:lineRule="auto"/>
              <w:jc w:val="center"/>
            </w:pPr>
            <w:r>
              <w:rPr>
                <w:color w:val="FF0000"/>
              </w:rPr>
              <w:t>0.793</w:t>
            </w:r>
          </w:p>
        </w:tc>
        <w:tc>
          <w:tcPr>
            <w:tcW w:w="1826" w:type="dxa"/>
            <w:tcBorders>
              <w:right w:val="single" w:sz="6" w:space="0" w:color="000000"/>
            </w:tcBorders>
            <w:tcMar>
              <w:top w:w="40" w:type="dxa"/>
              <w:left w:w="40" w:type="dxa"/>
              <w:bottom w:w="40" w:type="dxa"/>
              <w:right w:w="40" w:type="dxa"/>
            </w:tcMar>
            <w:vAlign w:val="bottom"/>
          </w:tcPr>
          <w:p w14:paraId="7BD4BF1E" w14:textId="77777777" w:rsidR="00BE7715" w:rsidRDefault="007712D4">
            <w:pPr>
              <w:widowControl w:val="0"/>
              <w:spacing w:line="240" w:lineRule="auto"/>
              <w:jc w:val="center"/>
            </w:pPr>
            <w:r>
              <w:rPr>
                <w:color w:val="FF0000"/>
              </w:rPr>
              <w:t>1.878</w:t>
            </w:r>
          </w:p>
        </w:tc>
      </w:tr>
      <w:tr w:rsidR="00BE7715" w14:paraId="72B456E9"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525BF355" w14:textId="77777777" w:rsidR="00BE7715" w:rsidRDefault="007712D4">
            <w:pPr>
              <w:widowControl w:val="0"/>
              <w:spacing w:line="240" w:lineRule="auto"/>
              <w:jc w:val="center"/>
            </w:pPr>
            <w:r>
              <w:t>TCN2**</w:t>
            </w:r>
          </w:p>
        </w:tc>
        <w:tc>
          <w:tcPr>
            <w:tcW w:w="1826" w:type="dxa"/>
            <w:tcMar>
              <w:top w:w="40" w:type="dxa"/>
              <w:left w:w="40" w:type="dxa"/>
              <w:bottom w:w="40" w:type="dxa"/>
              <w:right w:w="40" w:type="dxa"/>
            </w:tcMar>
            <w:vAlign w:val="bottom"/>
          </w:tcPr>
          <w:p w14:paraId="2C92F206" w14:textId="77777777" w:rsidR="00BE7715" w:rsidRDefault="007712D4">
            <w:pPr>
              <w:widowControl w:val="0"/>
              <w:spacing w:line="240" w:lineRule="auto"/>
              <w:jc w:val="center"/>
            </w:pPr>
            <w:r>
              <w:rPr>
                <w:color w:val="FF0000"/>
              </w:rPr>
              <w:t>6.069</w:t>
            </w:r>
          </w:p>
        </w:tc>
        <w:tc>
          <w:tcPr>
            <w:tcW w:w="1826" w:type="dxa"/>
            <w:tcMar>
              <w:top w:w="40" w:type="dxa"/>
              <w:left w:w="40" w:type="dxa"/>
              <w:bottom w:w="40" w:type="dxa"/>
              <w:right w:w="40" w:type="dxa"/>
            </w:tcMar>
            <w:vAlign w:val="bottom"/>
          </w:tcPr>
          <w:p w14:paraId="1C5BAA79" w14:textId="77777777" w:rsidR="00BE7715" w:rsidRDefault="007712D4">
            <w:pPr>
              <w:widowControl w:val="0"/>
              <w:spacing w:line="240" w:lineRule="auto"/>
              <w:jc w:val="center"/>
            </w:pPr>
            <w:r>
              <w:rPr>
                <w:color w:val="FF0000"/>
              </w:rPr>
              <w:t>3.596</w:t>
            </w:r>
          </w:p>
        </w:tc>
        <w:tc>
          <w:tcPr>
            <w:tcW w:w="1826" w:type="dxa"/>
            <w:tcMar>
              <w:top w:w="40" w:type="dxa"/>
              <w:left w:w="40" w:type="dxa"/>
              <w:bottom w:w="40" w:type="dxa"/>
              <w:right w:w="40" w:type="dxa"/>
            </w:tcMar>
            <w:vAlign w:val="bottom"/>
          </w:tcPr>
          <w:p w14:paraId="03A792B7" w14:textId="77777777" w:rsidR="00BE7715" w:rsidRDefault="007712D4">
            <w:pPr>
              <w:widowControl w:val="0"/>
              <w:spacing w:line="240" w:lineRule="auto"/>
              <w:jc w:val="center"/>
            </w:pPr>
            <w:r>
              <w:rPr>
                <w:color w:val="0000FF"/>
              </w:rPr>
              <w:t>-5.393</w:t>
            </w:r>
          </w:p>
        </w:tc>
        <w:tc>
          <w:tcPr>
            <w:tcW w:w="1826" w:type="dxa"/>
            <w:tcBorders>
              <w:right w:val="single" w:sz="6" w:space="0" w:color="000000"/>
            </w:tcBorders>
            <w:tcMar>
              <w:top w:w="40" w:type="dxa"/>
              <w:left w:w="40" w:type="dxa"/>
              <w:bottom w:w="40" w:type="dxa"/>
              <w:right w:w="40" w:type="dxa"/>
            </w:tcMar>
            <w:vAlign w:val="bottom"/>
          </w:tcPr>
          <w:p w14:paraId="4EB43725" w14:textId="77777777" w:rsidR="00BE7715" w:rsidRDefault="007712D4">
            <w:pPr>
              <w:widowControl w:val="0"/>
              <w:spacing w:line="240" w:lineRule="auto"/>
              <w:jc w:val="center"/>
            </w:pPr>
            <w:r>
              <w:rPr>
                <w:color w:val="0000FF"/>
              </w:rPr>
              <w:t>-0.798</w:t>
            </w:r>
          </w:p>
        </w:tc>
      </w:tr>
      <w:tr w:rsidR="00BE7715" w14:paraId="4091F37D"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0B772BFF" w14:textId="77777777" w:rsidR="00BE7715" w:rsidRDefault="007712D4">
            <w:pPr>
              <w:widowControl w:val="0"/>
              <w:spacing w:line="240" w:lineRule="auto"/>
              <w:jc w:val="center"/>
            </w:pPr>
            <w:r>
              <w:t>LOC107317492*</w:t>
            </w:r>
          </w:p>
        </w:tc>
        <w:tc>
          <w:tcPr>
            <w:tcW w:w="1826" w:type="dxa"/>
            <w:tcMar>
              <w:top w:w="40" w:type="dxa"/>
              <w:left w:w="40" w:type="dxa"/>
              <w:bottom w:w="40" w:type="dxa"/>
              <w:right w:w="40" w:type="dxa"/>
            </w:tcMar>
            <w:vAlign w:val="bottom"/>
          </w:tcPr>
          <w:p w14:paraId="75DF9925" w14:textId="77777777" w:rsidR="00BE7715" w:rsidRDefault="007712D4">
            <w:pPr>
              <w:widowControl w:val="0"/>
              <w:spacing w:line="240" w:lineRule="auto"/>
              <w:jc w:val="center"/>
            </w:pPr>
            <w:r>
              <w:rPr>
                <w:color w:val="FF0000"/>
              </w:rPr>
              <w:t>0.892</w:t>
            </w:r>
          </w:p>
        </w:tc>
        <w:tc>
          <w:tcPr>
            <w:tcW w:w="1826" w:type="dxa"/>
            <w:tcMar>
              <w:top w:w="40" w:type="dxa"/>
              <w:left w:w="40" w:type="dxa"/>
              <w:bottom w:w="40" w:type="dxa"/>
              <w:right w:w="40" w:type="dxa"/>
            </w:tcMar>
            <w:vAlign w:val="bottom"/>
          </w:tcPr>
          <w:p w14:paraId="1E031389" w14:textId="77777777" w:rsidR="00BE7715" w:rsidRDefault="007712D4">
            <w:pPr>
              <w:widowControl w:val="0"/>
              <w:spacing w:line="240" w:lineRule="auto"/>
              <w:jc w:val="center"/>
            </w:pPr>
            <w:r>
              <w:rPr>
                <w:color w:val="FF0000"/>
              </w:rPr>
              <w:t>3.812</w:t>
            </w:r>
          </w:p>
        </w:tc>
        <w:tc>
          <w:tcPr>
            <w:tcW w:w="1826" w:type="dxa"/>
            <w:tcMar>
              <w:top w:w="40" w:type="dxa"/>
              <w:left w:w="40" w:type="dxa"/>
              <w:bottom w:w="40" w:type="dxa"/>
              <w:right w:w="40" w:type="dxa"/>
            </w:tcMar>
            <w:vAlign w:val="bottom"/>
          </w:tcPr>
          <w:p w14:paraId="7711223E" w14:textId="77777777" w:rsidR="00BE7715" w:rsidRDefault="007712D4">
            <w:pPr>
              <w:widowControl w:val="0"/>
              <w:spacing w:line="240" w:lineRule="auto"/>
              <w:jc w:val="center"/>
            </w:pPr>
            <w:r>
              <w:rPr>
                <w:color w:val="FF0000"/>
              </w:rPr>
              <w:t>3.341</w:t>
            </w:r>
          </w:p>
        </w:tc>
        <w:tc>
          <w:tcPr>
            <w:tcW w:w="1826" w:type="dxa"/>
            <w:tcBorders>
              <w:right w:val="single" w:sz="6" w:space="0" w:color="000000"/>
            </w:tcBorders>
            <w:tcMar>
              <w:top w:w="40" w:type="dxa"/>
              <w:left w:w="40" w:type="dxa"/>
              <w:bottom w:w="40" w:type="dxa"/>
              <w:right w:w="40" w:type="dxa"/>
            </w:tcMar>
            <w:vAlign w:val="bottom"/>
          </w:tcPr>
          <w:p w14:paraId="675B9C8E" w14:textId="77777777" w:rsidR="00BE7715" w:rsidRDefault="007712D4">
            <w:pPr>
              <w:widowControl w:val="0"/>
              <w:spacing w:line="240" w:lineRule="auto"/>
              <w:jc w:val="center"/>
            </w:pPr>
            <w:r>
              <w:rPr>
                <w:color w:val="FF0000"/>
              </w:rPr>
              <w:t>3.384</w:t>
            </w:r>
          </w:p>
        </w:tc>
      </w:tr>
      <w:tr w:rsidR="00BE7715" w14:paraId="43C9D63A"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3A36DE93" w14:textId="77777777" w:rsidR="00BE7715" w:rsidRDefault="007712D4">
            <w:pPr>
              <w:widowControl w:val="0"/>
              <w:spacing w:line="240" w:lineRule="auto"/>
              <w:jc w:val="center"/>
            </w:pPr>
            <w:r>
              <w:t>GPR50**</w:t>
            </w:r>
          </w:p>
        </w:tc>
        <w:tc>
          <w:tcPr>
            <w:tcW w:w="1826" w:type="dxa"/>
            <w:tcMar>
              <w:top w:w="40" w:type="dxa"/>
              <w:left w:w="40" w:type="dxa"/>
              <w:bottom w:w="40" w:type="dxa"/>
              <w:right w:w="40" w:type="dxa"/>
            </w:tcMar>
            <w:vAlign w:val="bottom"/>
          </w:tcPr>
          <w:p w14:paraId="660570E9" w14:textId="77777777" w:rsidR="00BE7715" w:rsidRDefault="007712D4">
            <w:pPr>
              <w:widowControl w:val="0"/>
              <w:spacing w:line="240" w:lineRule="auto"/>
              <w:jc w:val="center"/>
            </w:pPr>
            <w:r>
              <w:rPr>
                <w:color w:val="FF0000"/>
              </w:rPr>
              <w:t>2.174</w:t>
            </w:r>
          </w:p>
        </w:tc>
        <w:tc>
          <w:tcPr>
            <w:tcW w:w="1826" w:type="dxa"/>
            <w:tcMar>
              <w:top w:w="40" w:type="dxa"/>
              <w:left w:w="40" w:type="dxa"/>
              <w:bottom w:w="40" w:type="dxa"/>
              <w:right w:w="40" w:type="dxa"/>
            </w:tcMar>
            <w:vAlign w:val="bottom"/>
          </w:tcPr>
          <w:p w14:paraId="79C98DBB" w14:textId="77777777" w:rsidR="00BE7715" w:rsidRDefault="007712D4">
            <w:pPr>
              <w:widowControl w:val="0"/>
              <w:spacing w:line="240" w:lineRule="auto"/>
              <w:jc w:val="center"/>
            </w:pPr>
            <w:r>
              <w:rPr>
                <w:color w:val="FF0000"/>
              </w:rPr>
              <w:t>5.188</w:t>
            </w:r>
          </w:p>
        </w:tc>
        <w:tc>
          <w:tcPr>
            <w:tcW w:w="1826" w:type="dxa"/>
            <w:tcMar>
              <w:top w:w="40" w:type="dxa"/>
              <w:left w:w="40" w:type="dxa"/>
              <w:bottom w:w="40" w:type="dxa"/>
              <w:right w:w="40" w:type="dxa"/>
            </w:tcMar>
            <w:vAlign w:val="bottom"/>
          </w:tcPr>
          <w:p w14:paraId="444F3F23" w14:textId="77777777" w:rsidR="00BE7715" w:rsidRDefault="007712D4">
            <w:pPr>
              <w:widowControl w:val="0"/>
              <w:spacing w:line="240" w:lineRule="auto"/>
              <w:jc w:val="center"/>
            </w:pPr>
            <w:r>
              <w:rPr>
                <w:color w:val="0000FF"/>
              </w:rPr>
              <w:t>-0.153</w:t>
            </w:r>
          </w:p>
        </w:tc>
        <w:tc>
          <w:tcPr>
            <w:tcW w:w="1826" w:type="dxa"/>
            <w:tcBorders>
              <w:right w:val="single" w:sz="6" w:space="0" w:color="000000"/>
            </w:tcBorders>
            <w:tcMar>
              <w:top w:w="40" w:type="dxa"/>
              <w:left w:w="40" w:type="dxa"/>
              <w:bottom w:w="40" w:type="dxa"/>
              <w:right w:w="40" w:type="dxa"/>
            </w:tcMar>
            <w:vAlign w:val="bottom"/>
          </w:tcPr>
          <w:p w14:paraId="2F35F377" w14:textId="77777777" w:rsidR="00BE7715" w:rsidRDefault="007712D4">
            <w:pPr>
              <w:widowControl w:val="0"/>
              <w:spacing w:line="240" w:lineRule="auto"/>
              <w:jc w:val="center"/>
            </w:pPr>
            <w:r>
              <w:rPr>
                <w:color w:val="0000FF"/>
              </w:rPr>
              <w:t>-2.534</w:t>
            </w:r>
          </w:p>
        </w:tc>
      </w:tr>
      <w:tr w:rsidR="00BE7715" w14:paraId="3C61AE5C"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312C392D" w14:textId="77777777" w:rsidR="00BE7715" w:rsidRDefault="007712D4">
            <w:pPr>
              <w:widowControl w:val="0"/>
              <w:spacing w:line="240" w:lineRule="auto"/>
              <w:jc w:val="center"/>
            </w:pPr>
            <w:r>
              <w:t>LOC107317574**</w:t>
            </w:r>
          </w:p>
        </w:tc>
        <w:tc>
          <w:tcPr>
            <w:tcW w:w="1826" w:type="dxa"/>
            <w:tcMar>
              <w:top w:w="40" w:type="dxa"/>
              <w:left w:w="40" w:type="dxa"/>
              <w:bottom w:w="40" w:type="dxa"/>
              <w:right w:w="40" w:type="dxa"/>
            </w:tcMar>
            <w:vAlign w:val="bottom"/>
          </w:tcPr>
          <w:p w14:paraId="089A3F7A" w14:textId="77777777" w:rsidR="00BE7715" w:rsidRDefault="007712D4">
            <w:pPr>
              <w:widowControl w:val="0"/>
              <w:spacing w:line="240" w:lineRule="auto"/>
              <w:jc w:val="center"/>
            </w:pPr>
            <w:r>
              <w:rPr>
                <w:color w:val="FF0000"/>
              </w:rPr>
              <w:t>1.062</w:t>
            </w:r>
          </w:p>
        </w:tc>
        <w:tc>
          <w:tcPr>
            <w:tcW w:w="1826" w:type="dxa"/>
            <w:tcMar>
              <w:top w:w="40" w:type="dxa"/>
              <w:left w:w="40" w:type="dxa"/>
              <w:bottom w:w="40" w:type="dxa"/>
              <w:right w:w="40" w:type="dxa"/>
            </w:tcMar>
            <w:vAlign w:val="bottom"/>
          </w:tcPr>
          <w:p w14:paraId="2081F3C7" w14:textId="77777777" w:rsidR="00BE7715" w:rsidRDefault="007712D4">
            <w:pPr>
              <w:widowControl w:val="0"/>
              <w:spacing w:line="240" w:lineRule="auto"/>
              <w:jc w:val="center"/>
            </w:pPr>
            <w:r>
              <w:rPr>
                <w:color w:val="FF0000"/>
              </w:rPr>
              <w:t>5.714</w:t>
            </w:r>
          </w:p>
        </w:tc>
        <w:tc>
          <w:tcPr>
            <w:tcW w:w="1826" w:type="dxa"/>
            <w:tcMar>
              <w:top w:w="40" w:type="dxa"/>
              <w:left w:w="40" w:type="dxa"/>
              <w:bottom w:w="40" w:type="dxa"/>
              <w:right w:w="40" w:type="dxa"/>
            </w:tcMar>
            <w:vAlign w:val="bottom"/>
          </w:tcPr>
          <w:p w14:paraId="3471E592" w14:textId="77777777" w:rsidR="00BE7715" w:rsidRDefault="007712D4">
            <w:pPr>
              <w:widowControl w:val="0"/>
              <w:spacing w:line="240" w:lineRule="auto"/>
              <w:jc w:val="center"/>
            </w:pPr>
            <w:r>
              <w:rPr>
                <w:color w:val="0000FF"/>
              </w:rPr>
              <w:t>-2.676</w:t>
            </w:r>
          </w:p>
        </w:tc>
        <w:tc>
          <w:tcPr>
            <w:tcW w:w="1826" w:type="dxa"/>
            <w:tcBorders>
              <w:right w:val="single" w:sz="6" w:space="0" w:color="000000"/>
            </w:tcBorders>
            <w:tcMar>
              <w:top w:w="40" w:type="dxa"/>
              <w:left w:w="40" w:type="dxa"/>
              <w:bottom w:w="40" w:type="dxa"/>
              <w:right w:w="40" w:type="dxa"/>
            </w:tcMar>
            <w:vAlign w:val="bottom"/>
          </w:tcPr>
          <w:p w14:paraId="1080E86F" w14:textId="77777777" w:rsidR="00BE7715" w:rsidRDefault="007712D4">
            <w:pPr>
              <w:widowControl w:val="0"/>
              <w:spacing w:line="240" w:lineRule="auto"/>
              <w:jc w:val="center"/>
            </w:pPr>
            <w:r>
              <w:rPr>
                <w:color w:val="0000FF"/>
              </w:rPr>
              <w:t>-0.223</w:t>
            </w:r>
          </w:p>
        </w:tc>
      </w:tr>
      <w:tr w:rsidR="00BE7715" w14:paraId="79FCE366"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0A6AD691" w14:textId="77777777" w:rsidR="00BE7715" w:rsidRDefault="007712D4">
            <w:pPr>
              <w:widowControl w:val="0"/>
              <w:spacing w:line="240" w:lineRule="auto"/>
              <w:jc w:val="center"/>
            </w:pPr>
            <w:r>
              <w:t>LOC107314278**</w:t>
            </w:r>
          </w:p>
        </w:tc>
        <w:tc>
          <w:tcPr>
            <w:tcW w:w="1826" w:type="dxa"/>
            <w:tcMar>
              <w:top w:w="40" w:type="dxa"/>
              <w:left w:w="40" w:type="dxa"/>
              <w:bottom w:w="40" w:type="dxa"/>
              <w:right w:w="40" w:type="dxa"/>
            </w:tcMar>
            <w:vAlign w:val="bottom"/>
          </w:tcPr>
          <w:p w14:paraId="3FB635AB" w14:textId="77777777" w:rsidR="00BE7715" w:rsidRDefault="007712D4">
            <w:pPr>
              <w:widowControl w:val="0"/>
              <w:spacing w:line="240" w:lineRule="auto"/>
              <w:jc w:val="center"/>
            </w:pPr>
            <w:r>
              <w:rPr>
                <w:color w:val="FF0000"/>
              </w:rPr>
              <w:t>6.572</w:t>
            </w:r>
          </w:p>
        </w:tc>
        <w:tc>
          <w:tcPr>
            <w:tcW w:w="1826" w:type="dxa"/>
            <w:tcMar>
              <w:top w:w="40" w:type="dxa"/>
              <w:left w:w="40" w:type="dxa"/>
              <w:bottom w:w="40" w:type="dxa"/>
              <w:right w:w="40" w:type="dxa"/>
            </w:tcMar>
            <w:vAlign w:val="bottom"/>
          </w:tcPr>
          <w:p w14:paraId="4C35B56A" w14:textId="77777777" w:rsidR="00BE7715" w:rsidRDefault="007712D4">
            <w:pPr>
              <w:widowControl w:val="0"/>
              <w:spacing w:line="240" w:lineRule="auto"/>
              <w:jc w:val="center"/>
            </w:pPr>
            <w:r>
              <w:rPr>
                <w:color w:val="FF0000"/>
              </w:rPr>
              <w:t>4.210</w:t>
            </w:r>
          </w:p>
        </w:tc>
        <w:tc>
          <w:tcPr>
            <w:tcW w:w="1826" w:type="dxa"/>
            <w:tcMar>
              <w:top w:w="40" w:type="dxa"/>
              <w:left w:w="40" w:type="dxa"/>
              <w:bottom w:w="40" w:type="dxa"/>
              <w:right w:w="40" w:type="dxa"/>
            </w:tcMar>
            <w:vAlign w:val="bottom"/>
          </w:tcPr>
          <w:p w14:paraId="437D8A9C" w14:textId="77777777" w:rsidR="00BE7715" w:rsidRDefault="007712D4">
            <w:pPr>
              <w:widowControl w:val="0"/>
              <w:spacing w:line="240" w:lineRule="auto"/>
              <w:jc w:val="center"/>
            </w:pPr>
            <w:r>
              <w:rPr>
                <w:color w:val="0000FF"/>
              </w:rPr>
              <w:t>-5.203</w:t>
            </w:r>
          </w:p>
        </w:tc>
        <w:tc>
          <w:tcPr>
            <w:tcW w:w="1826" w:type="dxa"/>
            <w:tcBorders>
              <w:right w:val="single" w:sz="6" w:space="0" w:color="000000"/>
            </w:tcBorders>
            <w:tcMar>
              <w:top w:w="40" w:type="dxa"/>
              <w:left w:w="40" w:type="dxa"/>
              <w:bottom w:w="40" w:type="dxa"/>
              <w:right w:w="40" w:type="dxa"/>
            </w:tcMar>
            <w:vAlign w:val="bottom"/>
          </w:tcPr>
          <w:p w14:paraId="423B5A1D" w14:textId="77777777" w:rsidR="00BE7715" w:rsidRDefault="007712D4">
            <w:pPr>
              <w:widowControl w:val="0"/>
              <w:spacing w:line="240" w:lineRule="auto"/>
              <w:jc w:val="center"/>
            </w:pPr>
            <w:r>
              <w:rPr>
                <w:color w:val="0000FF"/>
              </w:rPr>
              <w:t>-4.699</w:t>
            </w:r>
          </w:p>
        </w:tc>
      </w:tr>
      <w:tr w:rsidR="00BE7715" w14:paraId="6D192513"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75ACAA3A" w14:textId="77777777" w:rsidR="00BE7715" w:rsidRDefault="007712D4">
            <w:pPr>
              <w:widowControl w:val="0"/>
              <w:spacing w:line="240" w:lineRule="auto"/>
              <w:jc w:val="center"/>
            </w:pPr>
            <w:r>
              <w:t>LOC107310248</w:t>
            </w:r>
          </w:p>
        </w:tc>
        <w:tc>
          <w:tcPr>
            <w:tcW w:w="1826" w:type="dxa"/>
            <w:tcMar>
              <w:top w:w="40" w:type="dxa"/>
              <w:left w:w="40" w:type="dxa"/>
              <w:bottom w:w="40" w:type="dxa"/>
              <w:right w:w="40" w:type="dxa"/>
            </w:tcMar>
            <w:vAlign w:val="bottom"/>
          </w:tcPr>
          <w:p w14:paraId="7C0B5BBE" w14:textId="77777777" w:rsidR="00BE7715" w:rsidRDefault="007712D4">
            <w:pPr>
              <w:widowControl w:val="0"/>
              <w:spacing w:line="240" w:lineRule="auto"/>
              <w:jc w:val="center"/>
            </w:pPr>
            <w:r>
              <w:rPr>
                <w:color w:val="FF0000"/>
              </w:rPr>
              <w:t>3.495</w:t>
            </w:r>
          </w:p>
        </w:tc>
        <w:tc>
          <w:tcPr>
            <w:tcW w:w="1826" w:type="dxa"/>
            <w:tcMar>
              <w:top w:w="40" w:type="dxa"/>
              <w:left w:w="40" w:type="dxa"/>
              <w:bottom w:w="40" w:type="dxa"/>
              <w:right w:w="40" w:type="dxa"/>
            </w:tcMar>
            <w:vAlign w:val="bottom"/>
          </w:tcPr>
          <w:p w14:paraId="5ACB7EC9" w14:textId="77777777" w:rsidR="00BE7715" w:rsidRDefault="007712D4">
            <w:pPr>
              <w:widowControl w:val="0"/>
              <w:spacing w:line="240" w:lineRule="auto"/>
              <w:jc w:val="center"/>
            </w:pPr>
            <w:r>
              <w:rPr>
                <w:color w:val="FF0000"/>
              </w:rPr>
              <w:t>7.039</w:t>
            </w:r>
          </w:p>
        </w:tc>
        <w:tc>
          <w:tcPr>
            <w:tcW w:w="1826" w:type="dxa"/>
            <w:tcMar>
              <w:top w:w="40" w:type="dxa"/>
              <w:left w:w="40" w:type="dxa"/>
              <w:bottom w:w="40" w:type="dxa"/>
              <w:right w:w="40" w:type="dxa"/>
            </w:tcMar>
            <w:vAlign w:val="bottom"/>
          </w:tcPr>
          <w:p w14:paraId="4BCBBB1D" w14:textId="77777777" w:rsidR="00BE7715" w:rsidRDefault="007712D4">
            <w:pPr>
              <w:widowControl w:val="0"/>
              <w:spacing w:line="240" w:lineRule="auto"/>
              <w:jc w:val="center"/>
            </w:pPr>
            <w:r>
              <w:rPr>
                <w:color w:val="0000FF"/>
              </w:rPr>
              <w:t>-2.990</w:t>
            </w:r>
          </w:p>
        </w:tc>
        <w:tc>
          <w:tcPr>
            <w:tcW w:w="1826" w:type="dxa"/>
            <w:tcBorders>
              <w:right w:val="single" w:sz="6" w:space="0" w:color="000000"/>
            </w:tcBorders>
            <w:tcMar>
              <w:top w:w="40" w:type="dxa"/>
              <w:left w:w="40" w:type="dxa"/>
              <w:bottom w:w="40" w:type="dxa"/>
              <w:right w:w="40" w:type="dxa"/>
            </w:tcMar>
            <w:vAlign w:val="bottom"/>
          </w:tcPr>
          <w:p w14:paraId="61D6160F" w14:textId="77777777" w:rsidR="00BE7715" w:rsidRDefault="007712D4">
            <w:pPr>
              <w:widowControl w:val="0"/>
              <w:spacing w:line="240" w:lineRule="auto"/>
              <w:jc w:val="center"/>
            </w:pPr>
            <w:r>
              <w:rPr>
                <w:color w:val="FF0000"/>
              </w:rPr>
              <w:t>3.876</w:t>
            </w:r>
          </w:p>
        </w:tc>
      </w:tr>
      <w:tr w:rsidR="00BE7715" w14:paraId="4F1C89D5"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78B02BC1" w14:textId="77777777" w:rsidR="00BE7715" w:rsidRDefault="007712D4">
            <w:pPr>
              <w:widowControl w:val="0"/>
              <w:spacing w:line="240" w:lineRule="auto"/>
              <w:jc w:val="center"/>
            </w:pPr>
            <w:r>
              <w:t>LOC107317565</w:t>
            </w:r>
          </w:p>
        </w:tc>
        <w:tc>
          <w:tcPr>
            <w:tcW w:w="1826" w:type="dxa"/>
            <w:tcMar>
              <w:top w:w="40" w:type="dxa"/>
              <w:left w:w="40" w:type="dxa"/>
              <w:bottom w:w="40" w:type="dxa"/>
              <w:right w:w="40" w:type="dxa"/>
            </w:tcMar>
            <w:vAlign w:val="bottom"/>
          </w:tcPr>
          <w:p w14:paraId="198B9403" w14:textId="77777777" w:rsidR="00BE7715" w:rsidRDefault="007712D4">
            <w:pPr>
              <w:widowControl w:val="0"/>
              <w:spacing w:line="240" w:lineRule="auto"/>
              <w:jc w:val="center"/>
            </w:pPr>
            <w:r>
              <w:rPr>
                <w:color w:val="FF0000"/>
              </w:rPr>
              <w:t>6.138</w:t>
            </w:r>
          </w:p>
        </w:tc>
        <w:tc>
          <w:tcPr>
            <w:tcW w:w="1826" w:type="dxa"/>
            <w:tcMar>
              <w:top w:w="40" w:type="dxa"/>
              <w:left w:w="40" w:type="dxa"/>
              <w:bottom w:w="40" w:type="dxa"/>
              <w:right w:w="40" w:type="dxa"/>
            </w:tcMar>
            <w:vAlign w:val="bottom"/>
          </w:tcPr>
          <w:p w14:paraId="1AB9E52C" w14:textId="77777777" w:rsidR="00BE7715" w:rsidRDefault="007712D4">
            <w:pPr>
              <w:widowControl w:val="0"/>
              <w:spacing w:line="240" w:lineRule="auto"/>
              <w:jc w:val="center"/>
            </w:pPr>
            <w:r>
              <w:rPr>
                <w:color w:val="FF0000"/>
              </w:rPr>
              <w:t>2.286</w:t>
            </w:r>
          </w:p>
        </w:tc>
        <w:tc>
          <w:tcPr>
            <w:tcW w:w="1826" w:type="dxa"/>
            <w:tcMar>
              <w:top w:w="40" w:type="dxa"/>
              <w:left w:w="40" w:type="dxa"/>
              <w:bottom w:w="40" w:type="dxa"/>
              <w:right w:w="40" w:type="dxa"/>
            </w:tcMar>
            <w:vAlign w:val="bottom"/>
          </w:tcPr>
          <w:p w14:paraId="689997A8" w14:textId="77777777" w:rsidR="00BE7715" w:rsidRDefault="007712D4">
            <w:pPr>
              <w:widowControl w:val="0"/>
              <w:spacing w:line="240" w:lineRule="auto"/>
              <w:jc w:val="center"/>
            </w:pPr>
            <w:r>
              <w:rPr>
                <w:color w:val="0000FF"/>
              </w:rPr>
              <w:t>-0.558</w:t>
            </w:r>
          </w:p>
        </w:tc>
        <w:tc>
          <w:tcPr>
            <w:tcW w:w="1826" w:type="dxa"/>
            <w:tcBorders>
              <w:right w:val="single" w:sz="6" w:space="0" w:color="000000"/>
            </w:tcBorders>
            <w:tcMar>
              <w:top w:w="40" w:type="dxa"/>
              <w:left w:w="40" w:type="dxa"/>
              <w:bottom w:w="40" w:type="dxa"/>
              <w:right w:w="40" w:type="dxa"/>
            </w:tcMar>
            <w:vAlign w:val="bottom"/>
          </w:tcPr>
          <w:p w14:paraId="675BFD97" w14:textId="77777777" w:rsidR="00BE7715" w:rsidRDefault="007712D4">
            <w:pPr>
              <w:widowControl w:val="0"/>
              <w:spacing w:line="240" w:lineRule="auto"/>
              <w:jc w:val="center"/>
            </w:pPr>
            <w:r>
              <w:rPr>
                <w:color w:val="FF0000"/>
              </w:rPr>
              <w:t>3.733</w:t>
            </w:r>
          </w:p>
        </w:tc>
      </w:tr>
      <w:tr w:rsidR="00BE7715" w14:paraId="5255733F"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14E09383" w14:textId="77777777" w:rsidR="00BE7715" w:rsidRDefault="007712D4">
            <w:pPr>
              <w:widowControl w:val="0"/>
              <w:spacing w:line="240" w:lineRule="auto"/>
              <w:jc w:val="center"/>
            </w:pPr>
            <w:r>
              <w:t>LOC107305801*</w:t>
            </w:r>
          </w:p>
        </w:tc>
        <w:tc>
          <w:tcPr>
            <w:tcW w:w="1826" w:type="dxa"/>
            <w:tcMar>
              <w:top w:w="40" w:type="dxa"/>
              <w:left w:w="40" w:type="dxa"/>
              <w:bottom w:w="40" w:type="dxa"/>
              <w:right w:w="40" w:type="dxa"/>
            </w:tcMar>
            <w:vAlign w:val="bottom"/>
          </w:tcPr>
          <w:p w14:paraId="0687C7FC" w14:textId="77777777" w:rsidR="00BE7715" w:rsidRDefault="007712D4">
            <w:pPr>
              <w:widowControl w:val="0"/>
              <w:spacing w:line="240" w:lineRule="auto"/>
              <w:jc w:val="center"/>
            </w:pPr>
            <w:r>
              <w:rPr>
                <w:color w:val="FF0000"/>
              </w:rPr>
              <w:t>2.940</w:t>
            </w:r>
          </w:p>
        </w:tc>
        <w:tc>
          <w:tcPr>
            <w:tcW w:w="1826" w:type="dxa"/>
            <w:tcMar>
              <w:top w:w="40" w:type="dxa"/>
              <w:left w:w="40" w:type="dxa"/>
              <w:bottom w:w="40" w:type="dxa"/>
              <w:right w:w="40" w:type="dxa"/>
            </w:tcMar>
            <w:vAlign w:val="bottom"/>
          </w:tcPr>
          <w:p w14:paraId="220FB549" w14:textId="77777777" w:rsidR="00BE7715" w:rsidRDefault="007712D4">
            <w:pPr>
              <w:widowControl w:val="0"/>
              <w:spacing w:line="240" w:lineRule="auto"/>
              <w:jc w:val="center"/>
            </w:pPr>
            <w:r>
              <w:rPr>
                <w:color w:val="FF0000"/>
              </w:rPr>
              <w:t>0.943</w:t>
            </w:r>
          </w:p>
        </w:tc>
        <w:tc>
          <w:tcPr>
            <w:tcW w:w="1826" w:type="dxa"/>
            <w:tcMar>
              <w:top w:w="40" w:type="dxa"/>
              <w:left w:w="40" w:type="dxa"/>
              <w:bottom w:w="40" w:type="dxa"/>
              <w:right w:w="40" w:type="dxa"/>
            </w:tcMar>
            <w:vAlign w:val="bottom"/>
          </w:tcPr>
          <w:p w14:paraId="4FAA87D6" w14:textId="77777777" w:rsidR="00BE7715" w:rsidRDefault="007712D4">
            <w:pPr>
              <w:widowControl w:val="0"/>
              <w:spacing w:line="240" w:lineRule="auto"/>
              <w:jc w:val="center"/>
            </w:pPr>
            <w:r>
              <w:rPr>
                <w:color w:val="FF0000"/>
              </w:rPr>
              <w:t>2.355</w:t>
            </w:r>
          </w:p>
        </w:tc>
        <w:tc>
          <w:tcPr>
            <w:tcW w:w="1826" w:type="dxa"/>
            <w:tcBorders>
              <w:right w:val="single" w:sz="6" w:space="0" w:color="000000"/>
            </w:tcBorders>
            <w:tcMar>
              <w:top w:w="40" w:type="dxa"/>
              <w:left w:w="40" w:type="dxa"/>
              <w:bottom w:w="40" w:type="dxa"/>
              <w:right w:w="40" w:type="dxa"/>
            </w:tcMar>
            <w:vAlign w:val="bottom"/>
          </w:tcPr>
          <w:p w14:paraId="5C2A002C" w14:textId="77777777" w:rsidR="00BE7715" w:rsidRDefault="007712D4">
            <w:pPr>
              <w:widowControl w:val="0"/>
              <w:spacing w:line="240" w:lineRule="auto"/>
              <w:jc w:val="center"/>
            </w:pPr>
            <w:r>
              <w:rPr>
                <w:color w:val="FF0000"/>
              </w:rPr>
              <w:t>1.238</w:t>
            </w:r>
          </w:p>
        </w:tc>
      </w:tr>
      <w:tr w:rsidR="00BE7715" w14:paraId="0BCFD8CA"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33331ADE" w14:textId="77777777" w:rsidR="00BE7715" w:rsidRDefault="007712D4">
            <w:pPr>
              <w:widowControl w:val="0"/>
              <w:spacing w:line="240" w:lineRule="auto"/>
              <w:jc w:val="center"/>
            </w:pPr>
            <w:r>
              <w:t>LOC107319873*</w:t>
            </w:r>
          </w:p>
        </w:tc>
        <w:tc>
          <w:tcPr>
            <w:tcW w:w="1826" w:type="dxa"/>
            <w:tcMar>
              <w:top w:w="40" w:type="dxa"/>
              <w:left w:w="40" w:type="dxa"/>
              <w:bottom w:w="40" w:type="dxa"/>
              <w:right w:w="40" w:type="dxa"/>
            </w:tcMar>
            <w:vAlign w:val="bottom"/>
          </w:tcPr>
          <w:p w14:paraId="4A9A8E77" w14:textId="77777777" w:rsidR="00BE7715" w:rsidRDefault="007712D4">
            <w:pPr>
              <w:widowControl w:val="0"/>
              <w:spacing w:line="240" w:lineRule="auto"/>
              <w:jc w:val="center"/>
            </w:pPr>
            <w:r>
              <w:rPr>
                <w:color w:val="FF0000"/>
              </w:rPr>
              <w:t>2.520</w:t>
            </w:r>
          </w:p>
        </w:tc>
        <w:tc>
          <w:tcPr>
            <w:tcW w:w="1826" w:type="dxa"/>
            <w:tcMar>
              <w:top w:w="40" w:type="dxa"/>
              <w:left w:w="40" w:type="dxa"/>
              <w:bottom w:w="40" w:type="dxa"/>
              <w:right w:w="40" w:type="dxa"/>
            </w:tcMar>
            <w:vAlign w:val="bottom"/>
          </w:tcPr>
          <w:p w14:paraId="26584093" w14:textId="77777777" w:rsidR="00BE7715" w:rsidRDefault="007712D4">
            <w:pPr>
              <w:widowControl w:val="0"/>
              <w:spacing w:line="240" w:lineRule="auto"/>
              <w:jc w:val="center"/>
            </w:pPr>
            <w:r>
              <w:rPr>
                <w:color w:val="FF0000"/>
              </w:rPr>
              <w:t>6.460</w:t>
            </w:r>
          </w:p>
        </w:tc>
        <w:tc>
          <w:tcPr>
            <w:tcW w:w="1826" w:type="dxa"/>
            <w:tcMar>
              <w:top w:w="40" w:type="dxa"/>
              <w:left w:w="40" w:type="dxa"/>
              <w:bottom w:w="40" w:type="dxa"/>
              <w:right w:w="40" w:type="dxa"/>
            </w:tcMar>
            <w:vAlign w:val="bottom"/>
          </w:tcPr>
          <w:p w14:paraId="22B21CF9" w14:textId="77777777" w:rsidR="00BE7715" w:rsidRDefault="007712D4">
            <w:pPr>
              <w:widowControl w:val="0"/>
              <w:spacing w:line="240" w:lineRule="auto"/>
              <w:jc w:val="center"/>
            </w:pPr>
            <w:r>
              <w:rPr>
                <w:color w:val="FF0000"/>
              </w:rPr>
              <w:t>2.474</w:t>
            </w:r>
          </w:p>
        </w:tc>
        <w:tc>
          <w:tcPr>
            <w:tcW w:w="1826" w:type="dxa"/>
            <w:tcBorders>
              <w:right w:val="single" w:sz="6" w:space="0" w:color="000000"/>
            </w:tcBorders>
            <w:tcMar>
              <w:top w:w="40" w:type="dxa"/>
              <w:left w:w="40" w:type="dxa"/>
              <w:bottom w:w="40" w:type="dxa"/>
              <w:right w:w="40" w:type="dxa"/>
            </w:tcMar>
            <w:vAlign w:val="bottom"/>
          </w:tcPr>
          <w:p w14:paraId="260E4092" w14:textId="77777777" w:rsidR="00BE7715" w:rsidRDefault="007712D4">
            <w:pPr>
              <w:widowControl w:val="0"/>
              <w:spacing w:line="240" w:lineRule="auto"/>
              <w:jc w:val="center"/>
            </w:pPr>
            <w:r>
              <w:rPr>
                <w:color w:val="FF0000"/>
              </w:rPr>
              <w:t>0.678</w:t>
            </w:r>
          </w:p>
        </w:tc>
      </w:tr>
      <w:tr w:rsidR="00BE7715" w14:paraId="2FFCD1F1"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3FBC7641" w14:textId="77777777" w:rsidR="00BE7715" w:rsidRDefault="007712D4">
            <w:pPr>
              <w:widowControl w:val="0"/>
              <w:spacing w:line="240" w:lineRule="auto"/>
              <w:jc w:val="center"/>
            </w:pPr>
            <w:r>
              <w:t>LOC107317352*</w:t>
            </w:r>
          </w:p>
        </w:tc>
        <w:tc>
          <w:tcPr>
            <w:tcW w:w="1826" w:type="dxa"/>
            <w:tcMar>
              <w:top w:w="40" w:type="dxa"/>
              <w:left w:w="40" w:type="dxa"/>
              <w:bottom w:w="40" w:type="dxa"/>
              <w:right w:w="40" w:type="dxa"/>
            </w:tcMar>
            <w:vAlign w:val="bottom"/>
          </w:tcPr>
          <w:p w14:paraId="3C117048" w14:textId="77777777" w:rsidR="00BE7715" w:rsidRDefault="007712D4">
            <w:pPr>
              <w:widowControl w:val="0"/>
              <w:spacing w:line="240" w:lineRule="auto"/>
              <w:jc w:val="center"/>
            </w:pPr>
            <w:r>
              <w:rPr>
                <w:color w:val="FF0000"/>
              </w:rPr>
              <w:t>6.327</w:t>
            </w:r>
          </w:p>
        </w:tc>
        <w:tc>
          <w:tcPr>
            <w:tcW w:w="1826" w:type="dxa"/>
            <w:tcMar>
              <w:top w:w="40" w:type="dxa"/>
              <w:left w:w="40" w:type="dxa"/>
              <w:bottom w:w="40" w:type="dxa"/>
              <w:right w:w="40" w:type="dxa"/>
            </w:tcMar>
            <w:vAlign w:val="bottom"/>
          </w:tcPr>
          <w:p w14:paraId="040D5DBD" w14:textId="77777777" w:rsidR="00BE7715" w:rsidRDefault="007712D4">
            <w:pPr>
              <w:widowControl w:val="0"/>
              <w:spacing w:line="240" w:lineRule="auto"/>
              <w:jc w:val="center"/>
            </w:pPr>
            <w:r>
              <w:rPr>
                <w:color w:val="FF0000"/>
              </w:rPr>
              <w:t>8.216</w:t>
            </w:r>
          </w:p>
        </w:tc>
        <w:tc>
          <w:tcPr>
            <w:tcW w:w="1826" w:type="dxa"/>
            <w:tcMar>
              <w:top w:w="40" w:type="dxa"/>
              <w:left w:w="40" w:type="dxa"/>
              <w:bottom w:w="40" w:type="dxa"/>
              <w:right w:w="40" w:type="dxa"/>
            </w:tcMar>
            <w:vAlign w:val="bottom"/>
          </w:tcPr>
          <w:p w14:paraId="0FD1DE80" w14:textId="77777777" w:rsidR="00BE7715" w:rsidRDefault="007712D4">
            <w:pPr>
              <w:widowControl w:val="0"/>
              <w:spacing w:line="240" w:lineRule="auto"/>
              <w:jc w:val="center"/>
            </w:pPr>
            <w:r>
              <w:rPr>
                <w:color w:val="FF0000"/>
              </w:rPr>
              <w:t>2.740</w:t>
            </w:r>
          </w:p>
        </w:tc>
        <w:tc>
          <w:tcPr>
            <w:tcW w:w="1826" w:type="dxa"/>
            <w:tcBorders>
              <w:right w:val="single" w:sz="6" w:space="0" w:color="000000"/>
            </w:tcBorders>
            <w:tcMar>
              <w:top w:w="40" w:type="dxa"/>
              <w:left w:w="40" w:type="dxa"/>
              <w:bottom w:w="40" w:type="dxa"/>
              <w:right w:w="40" w:type="dxa"/>
            </w:tcMar>
            <w:vAlign w:val="bottom"/>
          </w:tcPr>
          <w:p w14:paraId="015188E1" w14:textId="77777777" w:rsidR="00BE7715" w:rsidRDefault="007712D4">
            <w:pPr>
              <w:widowControl w:val="0"/>
              <w:spacing w:line="240" w:lineRule="auto"/>
              <w:jc w:val="center"/>
            </w:pPr>
            <w:r>
              <w:rPr>
                <w:color w:val="FF0000"/>
              </w:rPr>
              <w:t>1.530</w:t>
            </w:r>
          </w:p>
        </w:tc>
      </w:tr>
      <w:tr w:rsidR="00BE7715" w14:paraId="257CF548"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110ED8DB" w14:textId="77777777" w:rsidR="00BE7715" w:rsidRDefault="007712D4">
            <w:pPr>
              <w:widowControl w:val="0"/>
              <w:spacing w:line="240" w:lineRule="auto"/>
              <w:jc w:val="center"/>
            </w:pPr>
            <w:r>
              <w:t>ALCAM</w:t>
            </w:r>
          </w:p>
        </w:tc>
        <w:tc>
          <w:tcPr>
            <w:tcW w:w="1826" w:type="dxa"/>
            <w:tcMar>
              <w:top w:w="40" w:type="dxa"/>
              <w:left w:w="40" w:type="dxa"/>
              <w:bottom w:w="40" w:type="dxa"/>
              <w:right w:w="40" w:type="dxa"/>
            </w:tcMar>
            <w:vAlign w:val="bottom"/>
          </w:tcPr>
          <w:p w14:paraId="01A2016C" w14:textId="77777777" w:rsidR="00BE7715" w:rsidRDefault="007712D4">
            <w:pPr>
              <w:widowControl w:val="0"/>
              <w:spacing w:line="240" w:lineRule="auto"/>
              <w:jc w:val="center"/>
            </w:pPr>
            <w:r>
              <w:rPr>
                <w:color w:val="FF0000"/>
              </w:rPr>
              <w:t>3.283</w:t>
            </w:r>
          </w:p>
        </w:tc>
        <w:tc>
          <w:tcPr>
            <w:tcW w:w="1826" w:type="dxa"/>
            <w:tcMar>
              <w:top w:w="40" w:type="dxa"/>
              <w:left w:w="40" w:type="dxa"/>
              <w:bottom w:w="40" w:type="dxa"/>
              <w:right w:w="40" w:type="dxa"/>
            </w:tcMar>
            <w:vAlign w:val="bottom"/>
          </w:tcPr>
          <w:p w14:paraId="3F1D3C60" w14:textId="77777777" w:rsidR="00BE7715" w:rsidRDefault="007712D4">
            <w:pPr>
              <w:widowControl w:val="0"/>
              <w:spacing w:line="240" w:lineRule="auto"/>
              <w:jc w:val="center"/>
            </w:pPr>
            <w:r>
              <w:rPr>
                <w:color w:val="FF0000"/>
              </w:rPr>
              <w:t>2.393</w:t>
            </w:r>
          </w:p>
        </w:tc>
        <w:tc>
          <w:tcPr>
            <w:tcW w:w="1826" w:type="dxa"/>
            <w:tcMar>
              <w:top w:w="40" w:type="dxa"/>
              <w:left w:w="40" w:type="dxa"/>
              <w:bottom w:w="40" w:type="dxa"/>
              <w:right w:w="40" w:type="dxa"/>
            </w:tcMar>
            <w:vAlign w:val="bottom"/>
          </w:tcPr>
          <w:p w14:paraId="5FA2108B" w14:textId="77777777" w:rsidR="00BE7715" w:rsidRDefault="007712D4">
            <w:pPr>
              <w:widowControl w:val="0"/>
              <w:spacing w:line="240" w:lineRule="auto"/>
              <w:jc w:val="center"/>
            </w:pPr>
            <w:r>
              <w:rPr>
                <w:color w:val="0000FF"/>
              </w:rPr>
              <w:t>-2.561</w:t>
            </w:r>
          </w:p>
        </w:tc>
        <w:tc>
          <w:tcPr>
            <w:tcW w:w="1826" w:type="dxa"/>
            <w:tcBorders>
              <w:right w:val="single" w:sz="6" w:space="0" w:color="000000"/>
            </w:tcBorders>
            <w:tcMar>
              <w:top w:w="40" w:type="dxa"/>
              <w:left w:w="40" w:type="dxa"/>
              <w:bottom w:w="40" w:type="dxa"/>
              <w:right w:w="40" w:type="dxa"/>
            </w:tcMar>
            <w:vAlign w:val="bottom"/>
          </w:tcPr>
          <w:p w14:paraId="67619423" w14:textId="77777777" w:rsidR="00BE7715" w:rsidRDefault="007712D4">
            <w:pPr>
              <w:widowControl w:val="0"/>
              <w:spacing w:line="240" w:lineRule="auto"/>
              <w:jc w:val="center"/>
            </w:pPr>
            <w:r>
              <w:rPr>
                <w:color w:val="FF0000"/>
              </w:rPr>
              <w:t>1.188</w:t>
            </w:r>
          </w:p>
        </w:tc>
      </w:tr>
      <w:tr w:rsidR="00BE7715" w14:paraId="0B4A78DE"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45DA9A95" w14:textId="77777777" w:rsidR="00BE7715" w:rsidRDefault="007712D4">
            <w:pPr>
              <w:widowControl w:val="0"/>
              <w:spacing w:line="240" w:lineRule="auto"/>
              <w:jc w:val="center"/>
            </w:pPr>
            <w:r>
              <w:t>UNC93A*</w:t>
            </w:r>
          </w:p>
        </w:tc>
        <w:tc>
          <w:tcPr>
            <w:tcW w:w="1826" w:type="dxa"/>
            <w:tcMar>
              <w:top w:w="40" w:type="dxa"/>
              <w:left w:w="40" w:type="dxa"/>
              <w:bottom w:w="40" w:type="dxa"/>
              <w:right w:w="40" w:type="dxa"/>
            </w:tcMar>
            <w:vAlign w:val="bottom"/>
          </w:tcPr>
          <w:p w14:paraId="6E690E48" w14:textId="77777777" w:rsidR="00BE7715" w:rsidRDefault="007712D4">
            <w:pPr>
              <w:widowControl w:val="0"/>
              <w:spacing w:line="240" w:lineRule="auto"/>
              <w:jc w:val="center"/>
            </w:pPr>
            <w:r>
              <w:rPr>
                <w:color w:val="FF0000"/>
              </w:rPr>
              <w:t>3.611</w:t>
            </w:r>
          </w:p>
        </w:tc>
        <w:tc>
          <w:tcPr>
            <w:tcW w:w="1826" w:type="dxa"/>
            <w:tcMar>
              <w:top w:w="40" w:type="dxa"/>
              <w:left w:w="40" w:type="dxa"/>
              <w:bottom w:w="40" w:type="dxa"/>
              <w:right w:w="40" w:type="dxa"/>
            </w:tcMar>
            <w:vAlign w:val="bottom"/>
          </w:tcPr>
          <w:p w14:paraId="4F55DD49" w14:textId="77777777" w:rsidR="00BE7715" w:rsidRDefault="007712D4">
            <w:pPr>
              <w:widowControl w:val="0"/>
              <w:spacing w:line="240" w:lineRule="auto"/>
              <w:jc w:val="center"/>
            </w:pPr>
            <w:r>
              <w:rPr>
                <w:color w:val="FF0000"/>
              </w:rPr>
              <w:t>3.021</w:t>
            </w:r>
          </w:p>
        </w:tc>
        <w:tc>
          <w:tcPr>
            <w:tcW w:w="1826" w:type="dxa"/>
            <w:tcMar>
              <w:top w:w="40" w:type="dxa"/>
              <w:left w:w="40" w:type="dxa"/>
              <w:bottom w:w="40" w:type="dxa"/>
              <w:right w:w="40" w:type="dxa"/>
            </w:tcMar>
            <w:vAlign w:val="bottom"/>
          </w:tcPr>
          <w:p w14:paraId="2C17208C" w14:textId="77777777" w:rsidR="00BE7715" w:rsidRDefault="007712D4">
            <w:pPr>
              <w:widowControl w:val="0"/>
              <w:spacing w:line="240" w:lineRule="auto"/>
              <w:jc w:val="center"/>
            </w:pPr>
            <w:r>
              <w:rPr>
                <w:color w:val="FF0000"/>
              </w:rPr>
              <w:t>2.193</w:t>
            </w:r>
          </w:p>
        </w:tc>
        <w:tc>
          <w:tcPr>
            <w:tcW w:w="1826" w:type="dxa"/>
            <w:tcBorders>
              <w:right w:val="single" w:sz="6" w:space="0" w:color="000000"/>
            </w:tcBorders>
            <w:tcMar>
              <w:top w:w="40" w:type="dxa"/>
              <w:left w:w="40" w:type="dxa"/>
              <w:bottom w:w="40" w:type="dxa"/>
              <w:right w:w="40" w:type="dxa"/>
            </w:tcMar>
            <w:vAlign w:val="bottom"/>
          </w:tcPr>
          <w:p w14:paraId="0E486B56" w14:textId="77777777" w:rsidR="00BE7715" w:rsidRDefault="007712D4">
            <w:pPr>
              <w:widowControl w:val="0"/>
              <w:spacing w:line="240" w:lineRule="auto"/>
              <w:jc w:val="center"/>
            </w:pPr>
            <w:r>
              <w:rPr>
                <w:color w:val="FF0000"/>
              </w:rPr>
              <w:t>0.141</w:t>
            </w:r>
          </w:p>
        </w:tc>
      </w:tr>
      <w:tr w:rsidR="00BE7715" w14:paraId="3FC06D93"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430BA016" w14:textId="77777777" w:rsidR="00BE7715" w:rsidRDefault="007712D4">
            <w:pPr>
              <w:widowControl w:val="0"/>
              <w:spacing w:line="240" w:lineRule="auto"/>
              <w:jc w:val="center"/>
            </w:pPr>
            <w:r>
              <w:t>ZBTB16**</w:t>
            </w:r>
          </w:p>
        </w:tc>
        <w:tc>
          <w:tcPr>
            <w:tcW w:w="1826" w:type="dxa"/>
            <w:tcMar>
              <w:top w:w="40" w:type="dxa"/>
              <w:left w:w="40" w:type="dxa"/>
              <w:bottom w:w="40" w:type="dxa"/>
              <w:right w:w="40" w:type="dxa"/>
            </w:tcMar>
            <w:vAlign w:val="bottom"/>
          </w:tcPr>
          <w:p w14:paraId="300931C0" w14:textId="77777777" w:rsidR="00BE7715" w:rsidRDefault="007712D4">
            <w:pPr>
              <w:widowControl w:val="0"/>
              <w:spacing w:line="240" w:lineRule="auto"/>
              <w:jc w:val="center"/>
            </w:pPr>
            <w:r>
              <w:rPr>
                <w:color w:val="FF0000"/>
              </w:rPr>
              <w:t>2.778</w:t>
            </w:r>
          </w:p>
        </w:tc>
        <w:tc>
          <w:tcPr>
            <w:tcW w:w="1826" w:type="dxa"/>
            <w:tcMar>
              <w:top w:w="40" w:type="dxa"/>
              <w:left w:w="40" w:type="dxa"/>
              <w:bottom w:w="40" w:type="dxa"/>
              <w:right w:w="40" w:type="dxa"/>
            </w:tcMar>
            <w:vAlign w:val="bottom"/>
          </w:tcPr>
          <w:p w14:paraId="6BC670B5" w14:textId="77777777" w:rsidR="00BE7715" w:rsidRDefault="007712D4">
            <w:pPr>
              <w:widowControl w:val="0"/>
              <w:spacing w:line="240" w:lineRule="auto"/>
              <w:jc w:val="center"/>
            </w:pPr>
            <w:r>
              <w:rPr>
                <w:color w:val="FF0000"/>
              </w:rPr>
              <w:t>1.376</w:t>
            </w:r>
          </w:p>
        </w:tc>
        <w:tc>
          <w:tcPr>
            <w:tcW w:w="1826" w:type="dxa"/>
            <w:tcMar>
              <w:top w:w="40" w:type="dxa"/>
              <w:left w:w="40" w:type="dxa"/>
              <w:bottom w:w="40" w:type="dxa"/>
              <w:right w:w="40" w:type="dxa"/>
            </w:tcMar>
            <w:vAlign w:val="bottom"/>
          </w:tcPr>
          <w:p w14:paraId="36DEC76A" w14:textId="77777777" w:rsidR="00BE7715" w:rsidRDefault="007712D4">
            <w:pPr>
              <w:widowControl w:val="0"/>
              <w:spacing w:line="240" w:lineRule="auto"/>
              <w:jc w:val="center"/>
            </w:pPr>
            <w:r>
              <w:rPr>
                <w:color w:val="0000FF"/>
              </w:rPr>
              <w:t>-0.473</w:t>
            </w:r>
          </w:p>
        </w:tc>
        <w:tc>
          <w:tcPr>
            <w:tcW w:w="1826" w:type="dxa"/>
            <w:tcBorders>
              <w:right w:val="single" w:sz="6" w:space="0" w:color="000000"/>
            </w:tcBorders>
            <w:tcMar>
              <w:top w:w="40" w:type="dxa"/>
              <w:left w:w="40" w:type="dxa"/>
              <w:bottom w:w="40" w:type="dxa"/>
              <w:right w:w="40" w:type="dxa"/>
            </w:tcMar>
            <w:vAlign w:val="bottom"/>
          </w:tcPr>
          <w:p w14:paraId="1B950A7F" w14:textId="77777777" w:rsidR="00BE7715" w:rsidRDefault="007712D4">
            <w:pPr>
              <w:widowControl w:val="0"/>
              <w:spacing w:line="240" w:lineRule="auto"/>
              <w:jc w:val="center"/>
            </w:pPr>
            <w:r>
              <w:rPr>
                <w:color w:val="0000FF"/>
              </w:rPr>
              <w:t>-0.421</w:t>
            </w:r>
          </w:p>
        </w:tc>
      </w:tr>
      <w:tr w:rsidR="00BE7715" w14:paraId="58809D7A" w14:textId="77777777">
        <w:trPr>
          <w:trHeight w:val="340"/>
        </w:trPr>
        <w:tc>
          <w:tcPr>
            <w:tcW w:w="2040" w:type="dxa"/>
            <w:tcBorders>
              <w:left w:val="single" w:sz="6" w:space="0" w:color="000000"/>
              <w:right w:val="single" w:sz="6" w:space="0" w:color="000000"/>
            </w:tcBorders>
            <w:tcMar>
              <w:top w:w="40" w:type="dxa"/>
              <w:left w:w="40" w:type="dxa"/>
              <w:bottom w:w="40" w:type="dxa"/>
              <w:right w:w="40" w:type="dxa"/>
            </w:tcMar>
            <w:vAlign w:val="bottom"/>
          </w:tcPr>
          <w:p w14:paraId="54386629" w14:textId="77777777" w:rsidR="00BE7715" w:rsidRDefault="007712D4">
            <w:pPr>
              <w:widowControl w:val="0"/>
              <w:spacing w:line="240" w:lineRule="auto"/>
              <w:jc w:val="center"/>
            </w:pPr>
            <w:r>
              <w:t>LOC107309939*</w:t>
            </w:r>
          </w:p>
        </w:tc>
        <w:tc>
          <w:tcPr>
            <w:tcW w:w="1826" w:type="dxa"/>
            <w:tcMar>
              <w:top w:w="40" w:type="dxa"/>
              <w:left w:w="40" w:type="dxa"/>
              <w:bottom w:w="40" w:type="dxa"/>
              <w:right w:w="40" w:type="dxa"/>
            </w:tcMar>
            <w:vAlign w:val="bottom"/>
          </w:tcPr>
          <w:p w14:paraId="12B410DC" w14:textId="77777777" w:rsidR="00BE7715" w:rsidRDefault="007712D4">
            <w:pPr>
              <w:widowControl w:val="0"/>
              <w:spacing w:line="240" w:lineRule="auto"/>
              <w:jc w:val="center"/>
            </w:pPr>
            <w:r>
              <w:rPr>
                <w:color w:val="FF0000"/>
              </w:rPr>
              <w:t>0.993</w:t>
            </w:r>
          </w:p>
        </w:tc>
        <w:tc>
          <w:tcPr>
            <w:tcW w:w="1826" w:type="dxa"/>
            <w:tcMar>
              <w:top w:w="40" w:type="dxa"/>
              <w:left w:w="40" w:type="dxa"/>
              <w:bottom w:w="40" w:type="dxa"/>
              <w:right w:w="40" w:type="dxa"/>
            </w:tcMar>
            <w:vAlign w:val="bottom"/>
          </w:tcPr>
          <w:p w14:paraId="20F772DC" w14:textId="77777777" w:rsidR="00BE7715" w:rsidRDefault="007712D4">
            <w:pPr>
              <w:widowControl w:val="0"/>
              <w:spacing w:line="240" w:lineRule="auto"/>
              <w:jc w:val="center"/>
            </w:pPr>
            <w:r>
              <w:rPr>
                <w:color w:val="FF0000"/>
              </w:rPr>
              <w:t>1.502</w:t>
            </w:r>
          </w:p>
        </w:tc>
        <w:tc>
          <w:tcPr>
            <w:tcW w:w="1826" w:type="dxa"/>
            <w:tcMar>
              <w:top w:w="40" w:type="dxa"/>
              <w:left w:w="40" w:type="dxa"/>
              <w:bottom w:w="40" w:type="dxa"/>
              <w:right w:w="40" w:type="dxa"/>
            </w:tcMar>
            <w:vAlign w:val="bottom"/>
          </w:tcPr>
          <w:p w14:paraId="4FFE1878" w14:textId="77777777" w:rsidR="00BE7715" w:rsidRDefault="007712D4">
            <w:pPr>
              <w:widowControl w:val="0"/>
              <w:spacing w:line="240" w:lineRule="auto"/>
              <w:jc w:val="center"/>
            </w:pPr>
            <w:r>
              <w:rPr>
                <w:color w:val="FF0000"/>
              </w:rPr>
              <w:t>0.267</w:t>
            </w:r>
          </w:p>
        </w:tc>
        <w:tc>
          <w:tcPr>
            <w:tcW w:w="1826" w:type="dxa"/>
            <w:tcBorders>
              <w:right w:val="single" w:sz="6" w:space="0" w:color="000000"/>
            </w:tcBorders>
            <w:tcMar>
              <w:top w:w="40" w:type="dxa"/>
              <w:left w:w="40" w:type="dxa"/>
              <w:bottom w:w="40" w:type="dxa"/>
              <w:right w:w="40" w:type="dxa"/>
            </w:tcMar>
            <w:vAlign w:val="bottom"/>
          </w:tcPr>
          <w:p w14:paraId="61FD966C" w14:textId="77777777" w:rsidR="00BE7715" w:rsidRDefault="007712D4">
            <w:pPr>
              <w:widowControl w:val="0"/>
              <w:spacing w:line="240" w:lineRule="auto"/>
              <w:jc w:val="center"/>
            </w:pPr>
            <w:r>
              <w:rPr>
                <w:color w:val="FF0000"/>
              </w:rPr>
              <w:t>3.179</w:t>
            </w:r>
          </w:p>
        </w:tc>
      </w:tr>
      <w:tr w:rsidR="00BE7715" w14:paraId="503B1748" w14:textId="77777777">
        <w:trPr>
          <w:trHeight w:val="340"/>
        </w:trPr>
        <w:tc>
          <w:tcPr>
            <w:tcW w:w="204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9262EE8" w14:textId="77777777" w:rsidR="00BE7715" w:rsidRDefault="007712D4">
            <w:pPr>
              <w:widowControl w:val="0"/>
              <w:spacing w:line="240" w:lineRule="auto"/>
              <w:jc w:val="center"/>
            </w:pPr>
            <w:r>
              <w:t>LOC107319648**</w:t>
            </w:r>
          </w:p>
        </w:tc>
        <w:tc>
          <w:tcPr>
            <w:tcW w:w="1826" w:type="dxa"/>
            <w:tcBorders>
              <w:bottom w:val="single" w:sz="6" w:space="0" w:color="000000"/>
            </w:tcBorders>
            <w:tcMar>
              <w:top w:w="40" w:type="dxa"/>
              <w:left w:w="40" w:type="dxa"/>
              <w:bottom w:w="40" w:type="dxa"/>
              <w:right w:w="40" w:type="dxa"/>
            </w:tcMar>
            <w:vAlign w:val="bottom"/>
          </w:tcPr>
          <w:p w14:paraId="28E24F1A" w14:textId="77777777" w:rsidR="00BE7715" w:rsidRDefault="007712D4">
            <w:pPr>
              <w:widowControl w:val="0"/>
              <w:spacing w:line="240" w:lineRule="auto"/>
              <w:jc w:val="center"/>
            </w:pPr>
            <w:r>
              <w:rPr>
                <w:color w:val="0000FF"/>
              </w:rPr>
              <w:t>-3.055</w:t>
            </w:r>
          </w:p>
        </w:tc>
        <w:tc>
          <w:tcPr>
            <w:tcW w:w="1826" w:type="dxa"/>
            <w:tcBorders>
              <w:bottom w:val="single" w:sz="6" w:space="0" w:color="000000"/>
            </w:tcBorders>
            <w:tcMar>
              <w:top w:w="40" w:type="dxa"/>
              <w:left w:w="40" w:type="dxa"/>
              <w:bottom w:w="40" w:type="dxa"/>
              <w:right w:w="40" w:type="dxa"/>
            </w:tcMar>
            <w:vAlign w:val="bottom"/>
          </w:tcPr>
          <w:p w14:paraId="0D01639A" w14:textId="77777777" w:rsidR="00BE7715" w:rsidRDefault="007712D4">
            <w:pPr>
              <w:widowControl w:val="0"/>
              <w:spacing w:line="240" w:lineRule="auto"/>
              <w:jc w:val="center"/>
            </w:pPr>
            <w:r>
              <w:rPr>
                <w:color w:val="0000FF"/>
              </w:rPr>
              <w:t>-1.079</w:t>
            </w:r>
          </w:p>
        </w:tc>
        <w:tc>
          <w:tcPr>
            <w:tcW w:w="1826" w:type="dxa"/>
            <w:tcBorders>
              <w:bottom w:val="single" w:sz="6" w:space="0" w:color="000000"/>
            </w:tcBorders>
            <w:tcMar>
              <w:top w:w="40" w:type="dxa"/>
              <w:left w:w="40" w:type="dxa"/>
              <w:bottom w:w="40" w:type="dxa"/>
              <w:right w:w="40" w:type="dxa"/>
            </w:tcMar>
            <w:vAlign w:val="bottom"/>
          </w:tcPr>
          <w:p w14:paraId="0956C58B" w14:textId="77777777" w:rsidR="00BE7715" w:rsidRDefault="007712D4">
            <w:pPr>
              <w:widowControl w:val="0"/>
              <w:spacing w:line="240" w:lineRule="auto"/>
              <w:jc w:val="center"/>
            </w:pPr>
            <w:r>
              <w:rPr>
                <w:color w:val="FF0000"/>
              </w:rPr>
              <w:t>1.300</w:t>
            </w:r>
          </w:p>
        </w:tc>
        <w:tc>
          <w:tcPr>
            <w:tcW w:w="1826" w:type="dxa"/>
            <w:tcBorders>
              <w:bottom w:val="single" w:sz="6" w:space="0" w:color="000000"/>
              <w:right w:val="single" w:sz="6" w:space="0" w:color="000000"/>
            </w:tcBorders>
            <w:tcMar>
              <w:top w:w="40" w:type="dxa"/>
              <w:left w:w="40" w:type="dxa"/>
              <w:bottom w:w="40" w:type="dxa"/>
              <w:right w:w="40" w:type="dxa"/>
            </w:tcMar>
            <w:vAlign w:val="bottom"/>
          </w:tcPr>
          <w:p w14:paraId="60E51A9E" w14:textId="77777777" w:rsidR="00BE7715" w:rsidRDefault="007712D4">
            <w:pPr>
              <w:widowControl w:val="0"/>
              <w:spacing w:line="240" w:lineRule="auto"/>
              <w:jc w:val="center"/>
            </w:pPr>
            <w:r>
              <w:rPr>
                <w:color w:val="FF0000"/>
              </w:rPr>
              <w:t>1.010</w:t>
            </w:r>
          </w:p>
        </w:tc>
      </w:tr>
    </w:tbl>
    <w:p w14:paraId="05F916FA" w14:textId="77777777" w:rsidR="00BE7715" w:rsidRDefault="007712D4">
      <w:pPr>
        <w:spacing w:line="360" w:lineRule="auto"/>
        <w:rPr>
          <w:sz w:val="18"/>
          <w:szCs w:val="18"/>
        </w:rPr>
      </w:pPr>
      <w:r>
        <w:rPr>
          <w:b/>
          <w:sz w:val="18"/>
          <w:szCs w:val="18"/>
        </w:rPr>
        <w:t xml:space="preserve">Table 3. </w:t>
      </w:r>
      <w:r>
        <w:rPr>
          <w:sz w:val="18"/>
          <w:szCs w:val="18"/>
        </w:rPr>
        <w:t>17 overlapping DEGs between ELS and adult JQ, and their log</w:t>
      </w:r>
      <w:r>
        <w:rPr>
          <w:sz w:val="18"/>
          <w:szCs w:val="18"/>
          <w:vertAlign w:val="subscript"/>
        </w:rPr>
        <w:t>2</w:t>
      </w:r>
      <w:r>
        <w:rPr>
          <w:sz w:val="18"/>
          <w:szCs w:val="18"/>
        </w:rPr>
        <w:t>FC values. The values for up-regulation and down-regulation are colored in red and blue, relatively. * and ** denote DEGs dysregulated in the same and opposite direction, respectively.</w:t>
      </w:r>
    </w:p>
    <w:p w14:paraId="3FF324ED" w14:textId="77777777" w:rsidR="00BE7715" w:rsidRDefault="00BE7715">
      <w:pPr>
        <w:spacing w:line="360" w:lineRule="auto"/>
        <w:rPr>
          <w:sz w:val="18"/>
          <w:szCs w:val="18"/>
        </w:rPr>
      </w:pPr>
    </w:p>
    <w:p w14:paraId="6DDC6319" w14:textId="77777777" w:rsidR="00BE7715" w:rsidRDefault="007712D4">
      <w:pPr>
        <w:spacing w:line="360" w:lineRule="auto"/>
      </w:pPr>
      <w:r>
        <w:t>Moreover, strong associations between the log</w:t>
      </w:r>
      <w:r>
        <w:rPr>
          <w:vertAlign w:val="subscript"/>
        </w:rPr>
        <w:t>2</w:t>
      </w:r>
      <w:r>
        <w:t>FC values of ELS and adult were found (Table 4). Overall, ELS captured both larger numbers and higher degrees of dysregulated genes compared to the adult, indicating that ELS is more susceptible to EE2 than adult in gene expression levels.</w:t>
      </w:r>
      <w:r>
        <w:br w:type="page"/>
      </w:r>
    </w:p>
    <w:p w14:paraId="3AD2AF77" w14:textId="77777777" w:rsidR="00BE7715" w:rsidRDefault="007712D4">
      <w:pPr>
        <w:widowControl w:val="0"/>
      </w:pPr>
      <w:r>
        <w:rPr>
          <w:noProof/>
          <w:lang w:val="en-US"/>
        </w:rPr>
        <w:lastRenderedPageBreak/>
        <w:drawing>
          <wp:anchor distT="114300" distB="114300" distL="114300" distR="114300" simplePos="0" relativeHeight="251658240" behindDoc="0" locked="0" layoutInCell="1" hidden="0" allowOverlap="1" wp14:anchorId="117EF07E" wp14:editId="4DDCD5E2">
            <wp:simplePos x="0" y="0"/>
            <wp:positionH relativeFrom="column">
              <wp:posOffset>-285750</wp:posOffset>
            </wp:positionH>
            <wp:positionV relativeFrom="paragraph">
              <wp:posOffset>111760</wp:posOffset>
            </wp:positionV>
            <wp:extent cx="3208655" cy="1962150"/>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2492"/>
                    <a:stretch>
                      <a:fillRect/>
                    </a:stretch>
                  </pic:blipFill>
                  <pic:spPr>
                    <a:xfrm>
                      <a:off x="0" y="0"/>
                      <a:ext cx="3208655" cy="1962150"/>
                    </a:xfrm>
                    <a:prstGeom prst="rect">
                      <a:avLst/>
                    </a:prstGeom>
                    <a:ln/>
                  </pic:spPr>
                </pic:pic>
              </a:graphicData>
            </a:graphic>
            <wp14:sizeRelH relativeFrom="margin">
              <wp14:pctWidth>0</wp14:pctWidth>
            </wp14:sizeRelH>
            <wp14:sizeRelV relativeFrom="margin">
              <wp14:pctHeight>0</wp14:pctHeight>
            </wp14:sizeRelV>
          </wp:anchor>
        </w:drawing>
      </w:r>
    </w:p>
    <w:tbl>
      <w:tblPr>
        <w:tblStyle w:val="a0"/>
        <w:tblpPr w:leftFromText="180" w:rightFromText="180" w:vertAnchor="text" w:tblpX="4820" w:tblpY="1"/>
        <w:tblOverlap w:val="never"/>
        <w:tblW w:w="4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36"/>
        <w:gridCol w:w="1528"/>
      </w:tblGrid>
      <w:tr w:rsidR="00BE7715" w14:paraId="18BE5094" w14:textId="77777777" w:rsidTr="007712D4">
        <w:trPr>
          <w:trHeight w:val="265"/>
        </w:trPr>
        <w:tc>
          <w:tcPr>
            <w:tcW w:w="2936" w:type="dxa"/>
            <w:tcMar>
              <w:top w:w="20" w:type="dxa"/>
              <w:left w:w="20" w:type="dxa"/>
              <w:bottom w:w="140" w:type="dxa"/>
              <w:right w:w="20" w:type="dxa"/>
            </w:tcMar>
            <w:vAlign w:val="bottom"/>
          </w:tcPr>
          <w:p w14:paraId="3FA24BF6" w14:textId="77777777" w:rsidR="00BE7715" w:rsidRDefault="007712D4" w:rsidP="007712D4">
            <w:pPr>
              <w:widowControl w:val="0"/>
              <w:spacing w:line="240" w:lineRule="auto"/>
              <w:jc w:val="center"/>
              <w:rPr>
                <w:b/>
              </w:rPr>
            </w:pPr>
            <w:r>
              <w:rPr>
                <w:b/>
              </w:rPr>
              <w:t>Parameters</w:t>
            </w:r>
          </w:p>
        </w:tc>
        <w:tc>
          <w:tcPr>
            <w:tcW w:w="1528" w:type="dxa"/>
            <w:tcMar>
              <w:top w:w="20" w:type="dxa"/>
              <w:left w:w="20" w:type="dxa"/>
              <w:bottom w:w="140" w:type="dxa"/>
              <w:right w:w="20" w:type="dxa"/>
            </w:tcMar>
            <w:vAlign w:val="bottom"/>
          </w:tcPr>
          <w:p w14:paraId="5048ED24" w14:textId="77777777" w:rsidR="00BE7715" w:rsidRDefault="007712D4" w:rsidP="007712D4">
            <w:pPr>
              <w:widowControl w:val="0"/>
              <w:spacing w:line="240" w:lineRule="auto"/>
              <w:jc w:val="center"/>
              <w:rPr>
                <w:b/>
              </w:rPr>
            </w:pPr>
            <w:r>
              <w:rPr>
                <w:b/>
              </w:rPr>
              <w:t>Correlation</w:t>
            </w:r>
          </w:p>
        </w:tc>
      </w:tr>
      <w:tr w:rsidR="00BE7715" w14:paraId="3E0ED752" w14:textId="77777777" w:rsidTr="007712D4">
        <w:trPr>
          <w:trHeight w:val="265"/>
        </w:trPr>
        <w:tc>
          <w:tcPr>
            <w:tcW w:w="2936" w:type="dxa"/>
            <w:tcMar>
              <w:top w:w="20" w:type="dxa"/>
              <w:left w:w="20" w:type="dxa"/>
              <w:bottom w:w="140" w:type="dxa"/>
              <w:right w:w="20" w:type="dxa"/>
            </w:tcMar>
            <w:vAlign w:val="bottom"/>
          </w:tcPr>
          <w:p w14:paraId="5825F0B7" w14:textId="77777777" w:rsidR="00BE7715" w:rsidRDefault="007712D4" w:rsidP="007712D4">
            <w:pPr>
              <w:widowControl w:val="0"/>
              <w:spacing w:line="240" w:lineRule="auto"/>
              <w:jc w:val="center"/>
            </w:pPr>
            <w:r>
              <w:t>log</w:t>
            </w:r>
            <w:r>
              <w:rPr>
                <w:vertAlign w:val="subscript"/>
              </w:rPr>
              <w:t>2</w:t>
            </w:r>
            <w:r>
              <w:t>FC (High vs Control)</w:t>
            </w:r>
          </w:p>
        </w:tc>
        <w:tc>
          <w:tcPr>
            <w:tcW w:w="1528" w:type="dxa"/>
            <w:tcMar>
              <w:top w:w="20" w:type="dxa"/>
              <w:left w:w="20" w:type="dxa"/>
              <w:bottom w:w="140" w:type="dxa"/>
              <w:right w:w="20" w:type="dxa"/>
            </w:tcMar>
            <w:vAlign w:val="bottom"/>
          </w:tcPr>
          <w:p w14:paraId="42908A1A" w14:textId="77777777" w:rsidR="00BE7715" w:rsidRDefault="007712D4" w:rsidP="007712D4">
            <w:pPr>
              <w:widowControl w:val="0"/>
              <w:spacing w:line="240" w:lineRule="auto"/>
              <w:jc w:val="center"/>
            </w:pPr>
            <w:r>
              <w:t>0.855 *</w:t>
            </w:r>
          </w:p>
        </w:tc>
      </w:tr>
      <w:tr w:rsidR="00BE7715" w14:paraId="10FDFF10" w14:textId="77777777" w:rsidTr="007712D4">
        <w:trPr>
          <w:trHeight w:val="265"/>
        </w:trPr>
        <w:tc>
          <w:tcPr>
            <w:tcW w:w="2936" w:type="dxa"/>
            <w:tcMar>
              <w:top w:w="20" w:type="dxa"/>
              <w:left w:w="20" w:type="dxa"/>
              <w:bottom w:w="140" w:type="dxa"/>
              <w:right w:w="20" w:type="dxa"/>
            </w:tcMar>
            <w:vAlign w:val="bottom"/>
          </w:tcPr>
          <w:p w14:paraId="5A673064" w14:textId="77777777" w:rsidR="00BE7715" w:rsidRDefault="007712D4" w:rsidP="007712D4">
            <w:pPr>
              <w:widowControl w:val="0"/>
              <w:spacing w:line="240" w:lineRule="auto"/>
              <w:jc w:val="center"/>
            </w:pPr>
            <w:r>
              <w:t>log</w:t>
            </w:r>
            <w:r>
              <w:rPr>
                <w:vertAlign w:val="subscript"/>
              </w:rPr>
              <w:t>2</w:t>
            </w:r>
            <w:r>
              <w:t>FC (Medium vs Control)</w:t>
            </w:r>
          </w:p>
        </w:tc>
        <w:tc>
          <w:tcPr>
            <w:tcW w:w="1528" w:type="dxa"/>
            <w:tcMar>
              <w:top w:w="20" w:type="dxa"/>
              <w:left w:w="20" w:type="dxa"/>
              <w:bottom w:w="140" w:type="dxa"/>
              <w:right w:w="20" w:type="dxa"/>
            </w:tcMar>
            <w:vAlign w:val="bottom"/>
          </w:tcPr>
          <w:p w14:paraId="43B850BB" w14:textId="77777777" w:rsidR="00BE7715" w:rsidRDefault="007712D4" w:rsidP="007712D4">
            <w:pPr>
              <w:widowControl w:val="0"/>
              <w:spacing w:line="240" w:lineRule="auto"/>
              <w:jc w:val="center"/>
            </w:pPr>
            <w:r>
              <w:t>0.617 *</w:t>
            </w:r>
          </w:p>
        </w:tc>
      </w:tr>
      <w:tr w:rsidR="00BE7715" w14:paraId="177783E9" w14:textId="77777777" w:rsidTr="007712D4">
        <w:trPr>
          <w:trHeight w:val="265"/>
        </w:trPr>
        <w:tc>
          <w:tcPr>
            <w:tcW w:w="2936" w:type="dxa"/>
            <w:tcMar>
              <w:top w:w="20" w:type="dxa"/>
              <w:left w:w="20" w:type="dxa"/>
              <w:bottom w:w="140" w:type="dxa"/>
              <w:right w:w="20" w:type="dxa"/>
            </w:tcMar>
            <w:vAlign w:val="bottom"/>
          </w:tcPr>
          <w:p w14:paraId="7B2EB637" w14:textId="77777777" w:rsidR="00BE7715" w:rsidRDefault="007712D4" w:rsidP="007712D4">
            <w:pPr>
              <w:widowControl w:val="0"/>
              <w:spacing w:line="240" w:lineRule="auto"/>
              <w:jc w:val="center"/>
            </w:pPr>
            <w:r>
              <w:t>logCPM</w:t>
            </w:r>
          </w:p>
        </w:tc>
        <w:tc>
          <w:tcPr>
            <w:tcW w:w="1528" w:type="dxa"/>
            <w:tcMar>
              <w:top w:w="20" w:type="dxa"/>
              <w:left w:w="20" w:type="dxa"/>
              <w:bottom w:w="140" w:type="dxa"/>
              <w:right w:w="20" w:type="dxa"/>
            </w:tcMar>
            <w:vAlign w:val="bottom"/>
          </w:tcPr>
          <w:p w14:paraId="4A115F08" w14:textId="77777777" w:rsidR="00BE7715" w:rsidRDefault="007712D4" w:rsidP="007712D4">
            <w:pPr>
              <w:widowControl w:val="0"/>
              <w:spacing w:line="240" w:lineRule="auto"/>
              <w:jc w:val="center"/>
            </w:pPr>
            <w:r>
              <w:t>0.615 *</w:t>
            </w:r>
          </w:p>
        </w:tc>
      </w:tr>
      <w:tr w:rsidR="00BE7715" w14:paraId="1923C24C" w14:textId="77777777" w:rsidTr="007712D4">
        <w:trPr>
          <w:trHeight w:val="265"/>
        </w:trPr>
        <w:tc>
          <w:tcPr>
            <w:tcW w:w="2936" w:type="dxa"/>
            <w:tcMar>
              <w:top w:w="20" w:type="dxa"/>
              <w:left w:w="20" w:type="dxa"/>
              <w:bottom w:w="140" w:type="dxa"/>
              <w:right w:w="20" w:type="dxa"/>
            </w:tcMar>
            <w:vAlign w:val="bottom"/>
          </w:tcPr>
          <w:p w14:paraId="5F0C387E" w14:textId="77777777" w:rsidR="00BE7715" w:rsidRDefault="007712D4" w:rsidP="007712D4">
            <w:pPr>
              <w:widowControl w:val="0"/>
              <w:spacing w:line="240" w:lineRule="auto"/>
              <w:jc w:val="center"/>
            </w:pPr>
            <w:r>
              <w:t>LR</w:t>
            </w:r>
          </w:p>
        </w:tc>
        <w:tc>
          <w:tcPr>
            <w:tcW w:w="1528" w:type="dxa"/>
            <w:tcMar>
              <w:top w:w="20" w:type="dxa"/>
              <w:left w:w="20" w:type="dxa"/>
              <w:bottom w:w="140" w:type="dxa"/>
              <w:right w:w="20" w:type="dxa"/>
            </w:tcMar>
            <w:vAlign w:val="bottom"/>
          </w:tcPr>
          <w:p w14:paraId="72E0121C" w14:textId="77777777" w:rsidR="00BE7715" w:rsidRDefault="007712D4" w:rsidP="007712D4">
            <w:pPr>
              <w:widowControl w:val="0"/>
              <w:spacing w:line="240" w:lineRule="auto"/>
              <w:jc w:val="center"/>
            </w:pPr>
            <w:r>
              <w:t>-0.237</w:t>
            </w:r>
          </w:p>
        </w:tc>
      </w:tr>
      <w:tr w:rsidR="00BE7715" w14:paraId="63447D46" w14:textId="77777777" w:rsidTr="007712D4">
        <w:trPr>
          <w:trHeight w:val="265"/>
        </w:trPr>
        <w:tc>
          <w:tcPr>
            <w:tcW w:w="2936" w:type="dxa"/>
            <w:tcMar>
              <w:top w:w="20" w:type="dxa"/>
              <w:left w:w="20" w:type="dxa"/>
              <w:bottom w:w="140" w:type="dxa"/>
              <w:right w:w="20" w:type="dxa"/>
            </w:tcMar>
            <w:vAlign w:val="bottom"/>
          </w:tcPr>
          <w:p w14:paraId="0BE1967C" w14:textId="77777777" w:rsidR="00BE7715" w:rsidRDefault="007712D4" w:rsidP="007712D4">
            <w:pPr>
              <w:widowControl w:val="0"/>
              <w:spacing w:line="240" w:lineRule="auto"/>
              <w:jc w:val="center"/>
            </w:pPr>
            <w:r>
              <w:t>p-value</w:t>
            </w:r>
          </w:p>
        </w:tc>
        <w:tc>
          <w:tcPr>
            <w:tcW w:w="1528" w:type="dxa"/>
            <w:tcMar>
              <w:top w:w="20" w:type="dxa"/>
              <w:left w:w="20" w:type="dxa"/>
              <w:bottom w:w="140" w:type="dxa"/>
              <w:right w:w="20" w:type="dxa"/>
            </w:tcMar>
            <w:vAlign w:val="bottom"/>
          </w:tcPr>
          <w:p w14:paraId="6856C15A" w14:textId="77777777" w:rsidR="00BE7715" w:rsidRDefault="007712D4" w:rsidP="007712D4">
            <w:pPr>
              <w:widowControl w:val="0"/>
              <w:spacing w:line="240" w:lineRule="auto"/>
              <w:jc w:val="center"/>
            </w:pPr>
            <w:r>
              <w:t>-0.139</w:t>
            </w:r>
          </w:p>
        </w:tc>
      </w:tr>
      <w:tr w:rsidR="00BE7715" w14:paraId="13723FA3" w14:textId="77777777" w:rsidTr="007712D4">
        <w:trPr>
          <w:trHeight w:val="265"/>
        </w:trPr>
        <w:tc>
          <w:tcPr>
            <w:tcW w:w="2936" w:type="dxa"/>
            <w:tcMar>
              <w:top w:w="20" w:type="dxa"/>
              <w:left w:w="20" w:type="dxa"/>
              <w:bottom w:w="140" w:type="dxa"/>
              <w:right w:w="20" w:type="dxa"/>
            </w:tcMar>
            <w:vAlign w:val="bottom"/>
          </w:tcPr>
          <w:p w14:paraId="5586CFA1" w14:textId="77777777" w:rsidR="00BE7715" w:rsidRDefault="007712D4" w:rsidP="007712D4">
            <w:pPr>
              <w:widowControl w:val="0"/>
              <w:spacing w:line="240" w:lineRule="auto"/>
              <w:jc w:val="center"/>
            </w:pPr>
            <w:r>
              <w:t>adjusted p-value</w:t>
            </w:r>
          </w:p>
        </w:tc>
        <w:tc>
          <w:tcPr>
            <w:tcW w:w="1528" w:type="dxa"/>
            <w:tcMar>
              <w:top w:w="20" w:type="dxa"/>
              <w:left w:w="20" w:type="dxa"/>
              <w:bottom w:w="140" w:type="dxa"/>
              <w:right w:w="20" w:type="dxa"/>
            </w:tcMar>
            <w:vAlign w:val="bottom"/>
          </w:tcPr>
          <w:p w14:paraId="2FD82E3A" w14:textId="77777777" w:rsidR="00BE7715" w:rsidRDefault="007712D4" w:rsidP="007712D4">
            <w:pPr>
              <w:widowControl w:val="0"/>
              <w:spacing w:line="240" w:lineRule="auto"/>
              <w:jc w:val="center"/>
            </w:pPr>
            <w:r>
              <w:t>-0.134</w:t>
            </w:r>
          </w:p>
        </w:tc>
      </w:tr>
    </w:tbl>
    <w:p w14:paraId="21001E84" w14:textId="77777777" w:rsidR="00BE7715" w:rsidRDefault="00BE7715">
      <w:pPr>
        <w:widowControl w:val="0"/>
        <w:rPr>
          <w:b/>
        </w:rPr>
        <w:sectPr w:rsidR="00BE7715">
          <w:pgSz w:w="12240" w:h="15840"/>
          <w:pgMar w:top="1417" w:right="1417" w:bottom="1417" w:left="1417" w:header="720" w:footer="720" w:gutter="0"/>
          <w:pgNumType w:start="1"/>
          <w:cols w:space="720"/>
        </w:sectPr>
      </w:pPr>
    </w:p>
    <w:p w14:paraId="1C9F80AD" w14:textId="77777777" w:rsidR="00BE7715" w:rsidRDefault="007712D4">
      <w:pPr>
        <w:widowControl w:val="0"/>
        <w:rPr>
          <w:color w:val="FF0000"/>
        </w:rPr>
      </w:pPr>
      <w:r>
        <w:rPr>
          <w:b/>
          <w:sz w:val="18"/>
          <w:szCs w:val="18"/>
        </w:rPr>
        <w:t>Figure 7.</w:t>
      </w:r>
      <w:r>
        <w:rPr>
          <w:sz w:val="18"/>
          <w:szCs w:val="18"/>
        </w:rPr>
        <w:t xml:space="preserve"> Heatmap of log</w:t>
      </w:r>
      <w:r>
        <w:rPr>
          <w:sz w:val="18"/>
          <w:szCs w:val="18"/>
          <w:vertAlign w:val="subscript"/>
        </w:rPr>
        <w:t>2</w:t>
      </w:r>
      <w:r>
        <w:rPr>
          <w:sz w:val="18"/>
          <w:szCs w:val="18"/>
        </w:rPr>
        <w:t>FC values for common DEGs.</w:t>
      </w:r>
      <w:r>
        <w:t xml:space="preserve"> </w:t>
      </w:r>
    </w:p>
    <w:p w14:paraId="2E1834B5" w14:textId="77777777" w:rsidR="00BE7715" w:rsidRDefault="00BE7715">
      <w:pPr>
        <w:widowControl w:val="0"/>
        <w:rPr>
          <w:color w:val="FF0000"/>
        </w:rPr>
      </w:pPr>
    </w:p>
    <w:p w14:paraId="71AABEA5" w14:textId="77777777" w:rsidR="00BE7715" w:rsidRDefault="007712D4">
      <w:pPr>
        <w:widowControl w:val="0"/>
        <w:sectPr w:rsidR="00BE7715">
          <w:type w:val="continuous"/>
          <w:pgSz w:w="12240" w:h="15840"/>
          <w:pgMar w:top="1417" w:right="1417" w:bottom="1417" w:left="1417" w:header="720" w:footer="720" w:gutter="0"/>
          <w:cols w:num="2" w:space="720" w:equalWidth="0">
            <w:col w:w="4560" w:space="283"/>
            <w:col w:w="4560" w:space="0"/>
          </w:cols>
        </w:sectPr>
      </w:pPr>
      <w:r>
        <w:rPr>
          <w:b/>
          <w:sz w:val="18"/>
          <w:szCs w:val="18"/>
        </w:rPr>
        <w:t>Table 4.</w:t>
      </w:r>
      <w:r>
        <w:rPr>
          <w:sz w:val="18"/>
          <w:szCs w:val="18"/>
        </w:rPr>
        <w:t xml:space="preserve"> Correlation test result on ELS and adult JQ. Parameters of common DEGs are compared</w:t>
      </w:r>
      <w:r>
        <w:t>.</w:t>
      </w:r>
    </w:p>
    <w:p w14:paraId="3E60B74D" w14:textId="117A4FDF" w:rsidR="00BE7715" w:rsidRDefault="00DA31E2">
      <w:pPr>
        <w:spacing w:line="360" w:lineRule="auto"/>
        <w:rPr>
          <w:b/>
        </w:rPr>
      </w:pPr>
      <w:r>
        <w:rPr>
          <w:b/>
        </w:rPr>
        <w:lastRenderedPageBreak/>
        <w:t>3.</w:t>
      </w:r>
      <w:r w:rsidR="007712D4">
        <w:rPr>
          <w:b/>
        </w:rPr>
        <w:t xml:space="preserve"> Common dysregulated pathways in ELS and adult JQ</w:t>
      </w:r>
    </w:p>
    <w:p w14:paraId="1F64EC73" w14:textId="77777777" w:rsidR="00BE7715" w:rsidRDefault="007712D4">
      <w:pPr>
        <w:spacing w:line="360" w:lineRule="auto"/>
      </w:pPr>
      <w:r>
        <w:t>Amongst total of 18 enriched pathways hit by ELS and adult JQ DEGs, only 2 pathways were in common: ErbB signalling pathway and PPAR signalling pathway (Table 1 and 2). Although the number of dysregulated pathways were the same, the number of genes’ hits for the common enriched pathways were higher in ELS than in adult. Moreover,</w:t>
      </w:r>
      <w:r>
        <w:rPr>
          <w:color w:val="FF0000"/>
        </w:rPr>
        <w:t xml:space="preserve"> </w:t>
      </w:r>
      <w:r>
        <w:t>in ErbB signalling pathway, more upstream genes were present in ELS. Last but not least, in PPAR signalling pathway where ELS and adult had the same upstream DEGs, the common gene FABP7 has higher FC in ELS.</w:t>
      </w:r>
    </w:p>
    <w:p w14:paraId="7DCFCBB2" w14:textId="77777777" w:rsidR="00BE7715" w:rsidRDefault="007712D4">
      <w:pPr>
        <w:spacing w:line="360" w:lineRule="auto"/>
      </w:pPr>
      <w:r>
        <w:t>We further explored the KEGG categories of the 10 different dysregulated pathways in both life stages. Surprisingly, the KEGG categories mostly overlapped in ELS and adult, with the common ones: circulatory system, endocrine system, metabolism of cofactors and vitamins, lipid metabolism and signal transduction. The only exception was the amino acid metabolism dysregulation, which only presented in adult with 3 hits out of 10 pathways. However, in ELS, 4 out of 10 pathways were related to lipid metabolism. From this observation, we came up with a new hypothesis that ELS and adult counter the EE2 toxic effects with different molecular mechanisms.</w:t>
      </w:r>
    </w:p>
    <w:p w14:paraId="27C6564A" w14:textId="77777777" w:rsidR="00BE7715" w:rsidRDefault="00BE7715">
      <w:pPr>
        <w:spacing w:line="360" w:lineRule="auto"/>
        <w:rPr>
          <w:b/>
        </w:rPr>
      </w:pPr>
    </w:p>
    <w:p w14:paraId="7EE91AA3" w14:textId="4947FEBD" w:rsidR="00BE7715" w:rsidRDefault="00DA31E2">
      <w:pPr>
        <w:spacing w:line="360" w:lineRule="auto"/>
      </w:pPr>
      <w:r>
        <w:rPr>
          <w:b/>
        </w:rPr>
        <w:t>4.</w:t>
      </w:r>
      <w:r w:rsidR="007712D4">
        <w:rPr>
          <w:b/>
        </w:rPr>
        <w:t xml:space="preserve"> Limitations and suggestions for future studies</w:t>
      </w:r>
    </w:p>
    <w:p w14:paraId="4FAFE38A" w14:textId="77777777" w:rsidR="00BE7715" w:rsidRDefault="007712D4">
      <w:pPr>
        <w:spacing w:line="360" w:lineRule="auto"/>
      </w:pPr>
      <w:r>
        <w:t>First, we assumed that lab-raised JQ could biologically represent the wild JQ response. However, it might not be true due to the fact that domestic JQ is likely to have different genetic background compared to the wild one</w:t>
      </w:r>
      <w:r>
        <w:rPr>
          <w:vertAlign w:val="superscript"/>
        </w:rPr>
        <w:t>[14]</w:t>
      </w:r>
      <w:r>
        <w:t xml:space="preserve">. In addition, </w:t>
      </w:r>
      <w:r>
        <w:rPr>
          <w:highlight w:val="white"/>
        </w:rPr>
        <w:t>Bely et al.</w:t>
      </w:r>
      <w:r>
        <w:rPr>
          <w:vertAlign w:val="superscript"/>
        </w:rPr>
        <w:t>[15]</w:t>
      </w:r>
      <w:r>
        <w:t xml:space="preserve"> suggested that endocrine system regulation is sensitive to environmental perturbations. Moreover, in the same study, variation in the diet between animal in the lab and in the wild could alter hormone levels in body, thus influencing gene expression level. Consequently, our result might not be able to capture the real biological effect of EE2 in terms of differential gene expression pattern in wild JQ. This gap </w:t>
      </w:r>
      <w:r>
        <w:lastRenderedPageBreak/>
        <w:t>might be wider for other wild avian species due to genetic, anatomical, physiological and biochemical differences. So, we suggest to conduct RNA sequencing on wild JQ’s or other wild birds’ eggs from relatively less polluted area in similar experimental scheme and do comparative analyses with our data. It will deepen the understanding of difference between wild and lab organisms.</w:t>
      </w:r>
    </w:p>
    <w:p w14:paraId="29B8F695" w14:textId="77777777" w:rsidR="00BE7715" w:rsidRDefault="007712D4">
      <w:pPr>
        <w:widowControl w:val="0"/>
        <w:spacing w:line="360" w:lineRule="auto"/>
      </w:pPr>
      <w:r>
        <w:t>Second, there were limited information on the JQ genes’ functions. For instance, only about 14% of DEGs for each of two life stages could be mapped to the KEGG pathways and many of the DEGs had no known functions online. More genes might be involved in the same pathways, but they had not been characterized yet. As a result, the adjusted p-value for our enrichment analysis was not significant. There are lots of space left for investigations to reveal JQ genes’ functions and systematic roles.</w:t>
      </w:r>
    </w:p>
    <w:p w14:paraId="37D8769D" w14:textId="77777777" w:rsidR="00BE7715" w:rsidRDefault="007712D4">
      <w:pPr>
        <w:widowControl w:val="0"/>
        <w:spacing w:line="360" w:lineRule="auto"/>
      </w:pPr>
      <w:r>
        <w:t>Third, we assumed that the dosage (LD20) and timing (mid-incubation in ELS) of exposure would capture the gene expression in response to EE2. We tried to overcome lack of information on relationship between dose and gene expression in JQ by including one more dose (1/10 of LD20), but there is still needs to try more doses and conduct dose-response modelling. In addition, since gene expression pattern changes dynamically during embryonic development, other periods in ELS than mid-incubation should be explored.</w:t>
      </w:r>
    </w:p>
    <w:p w14:paraId="064B3FA1" w14:textId="77777777" w:rsidR="00BE7715" w:rsidRDefault="007712D4">
      <w:pPr>
        <w:widowControl w:val="0"/>
        <w:spacing w:line="360" w:lineRule="auto"/>
      </w:pPr>
      <w:r>
        <w:t>Fourth, we cannot assure if all DEGs captured by RNA sequencing data are true DEGs. We want to validate the biologically relevant DEGs, for example the DEGs related to endocrine system regulation, with qPCR experiments. The qPCR would allow us to pinpoint the real differential gene expression effects and eliminate false positives.</w:t>
      </w:r>
    </w:p>
    <w:p w14:paraId="0FD4A7C2" w14:textId="77777777" w:rsidR="00BE7715" w:rsidRDefault="00BE7715">
      <w:pPr>
        <w:spacing w:line="360" w:lineRule="auto"/>
      </w:pPr>
    </w:p>
    <w:p w14:paraId="6C346DA7" w14:textId="77777777" w:rsidR="00BE7715" w:rsidRDefault="007712D4">
      <w:pPr>
        <w:spacing w:line="360" w:lineRule="auto"/>
      </w:pPr>
      <w:r>
        <w:rPr>
          <w:b/>
          <w:sz w:val="28"/>
          <w:szCs w:val="28"/>
        </w:rPr>
        <w:t>Conclusion</w:t>
      </w:r>
    </w:p>
    <w:p w14:paraId="325F9801" w14:textId="77777777" w:rsidR="00BE7715" w:rsidRDefault="007712D4">
      <w:pPr>
        <w:spacing w:line="360" w:lineRule="auto"/>
      </w:pPr>
      <w:r>
        <w:t>Upon the exposure to EE2, the log</w:t>
      </w:r>
      <w:r>
        <w:rPr>
          <w:vertAlign w:val="subscript"/>
        </w:rPr>
        <w:t>2</w:t>
      </w:r>
      <w:r>
        <w:t>FC values of two life stages are correlated, and enriched pathways are related to the similar biological functions. Thus, gene dysregulation patterns of ELS and adult JQ are biologically similar. However, compared to adult, ELS shows higher number of DEGs, higher degree of dysregulation, higher number of DEGs mapped to KEGG pathways and higher number or FC of upstream genes in the common pathways. From these results, we conclud</w:t>
      </w:r>
      <w:bookmarkStart w:id="0" w:name="_GoBack"/>
      <w:bookmarkEnd w:id="0"/>
      <w:r>
        <w:t>ed that ELS JQ is more susceptible to EE2 than adult JQ. It implies that ELS JQs can be a better ecotoxicological indicator than adult JQs.</w:t>
      </w:r>
    </w:p>
    <w:p w14:paraId="18572D6A" w14:textId="6DD7FD50" w:rsidR="00BE7715" w:rsidRDefault="004C19EC" w:rsidP="004C19EC">
      <w:pPr>
        <w:tabs>
          <w:tab w:val="left" w:pos="1251"/>
        </w:tabs>
        <w:spacing w:line="360" w:lineRule="auto"/>
      </w:pPr>
      <w:r>
        <w:tab/>
      </w:r>
    </w:p>
    <w:p w14:paraId="121DEB10" w14:textId="77777777" w:rsidR="004C19EC" w:rsidRDefault="004C19EC" w:rsidP="004C19EC">
      <w:pPr>
        <w:tabs>
          <w:tab w:val="left" w:pos="1251"/>
        </w:tabs>
        <w:spacing w:line="360" w:lineRule="auto"/>
      </w:pPr>
    </w:p>
    <w:p w14:paraId="20CF882D" w14:textId="77777777" w:rsidR="004C19EC" w:rsidRDefault="004C19EC" w:rsidP="004C19EC">
      <w:pPr>
        <w:tabs>
          <w:tab w:val="left" w:pos="1251"/>
        </w:tabs>
        <w:spacing w:line="360" w:lineRule="auto"/>
      </w:pPr>
    </w:p>
    <w:p w14:paraId="54A7E523" w14:textId="77777777" w:rsidR="004C19EC" w:rsidRDefault="004C19EC" w:rsidP="004C19EC">
      <w:pPr>
        <w:tabs>
          <w:tab w:val="left" w:pos="1251"/>
        </w:tabs>
        <w:spacing w:line="360" w:lineRule="auto"/>
      </w:pPr>
    </w:p>
    <w:p w14:paraId="6376072F" w14:textId="77777777" w:rsidR="00BE7715" w:rsidRDefault="007712D4">
      <w:pPr>
        <w:spacing w:line="360" w:lineRule="auto"/>
        <w:rPr>
          <w:b/>
          <w:sz w:val="28"/>
          <w:szCs w:val="28"/>
        </w:rPr>
      </w:pPr>
      <w:r>
        <w:rPr>
          <w:b/>
          <w:sz w:val="28"/>
          <w:szCs w:val="28"/>
        </w:rPr>
        <w:lastRenderedPageBreak/>
        <w:t>References</w:t>
      </w:r>
    </w:p>
    <w:p w14:paraId="41FE8172" w14:textId="77777777" w:rsidR="00BE7715" w:rsidRDefault="007712D4">
      <w:pPr>
        <w:numPr>
          <w:ilvl w:val="0"/>
          <w:numId w:val="16"/>
        </w:numPr>
        <w:spacing w:before="240" w:line="360" w:lineRule="auto"/>
        <w:rPr>
          <w:color w:val="222222"/>
        </w:rPr>
      </w:pPr>
      <w:r>
        <w:rPr>
          <w:color w:val="222222"/>
          <w:highlight w:val="white"/>
        </w:rPr>
        <w:t xml:space="preserve">Chen, Y., Li, M., Yuan, L., Xie, Y., Li, B., Xu, W., …, and Wang, R. (2017). Growth, blood health, antioxidant status and immune response in juvenile yellow catfish Pelteobagrus fulvidraco exposed to α-ethinylestradiol (EE2). </w:t>
      </w:r>
      <w:r>
        <w:rPr>
          <w:i/>
          <w:color w:val="222222"/>
        </w:rPr>
        <w:t>Fish &amp; shellfish immunology</w:t>
      </w:r>
      <w:r>
        <w:rPr>
          <w:color w:val="222222"/>
          <w:highlight w:val="white"/>
        </w:rPr>
        <w:t xml:space="preserve">, </w:t>
      </w:r>
      <w:r>
        <w:rPr>
          <w:i/>
          <w:color w:val="222222"/>
        </w:rPr>
        <w:t>69</w:t>
      </w:r>
      <w:r>
        <w:rPr>
          <w:color w:val="222222"/>
          <w:highlight w:val="white"/>
        </w:rPr>
        <w:t>, 1-5.</w:t>
      </w:r>
    </w:p>
    <w:p w14:paraId="5BB8D76B" w14:textId="77777777" w:rsidR="00BE7715" w:rsidRDefault="007712D4">
      <w:pPr>
        <w:numPr>
          <w:ilvl w:val="0"/>
          <w:numId w:val="16"/>
        </w:numPr>
        <w:spacing w:line="360" w:lineRule="auto"/>
        <w:jc w:val="both"/>
        <w:rPr>
          <w:color w:val="222222"/>
          <w:highlight w:val="white"/>
        </w:rPr>
      </w:pPr>
      <w:r>
        <w:rPr>
          <w:color w:val="222222"/>
          <w:highlight w:val="white"/>
        </w:rPr>
        <w:t xml:space="preserve">Jobling, S., Nolan, M., Tyler, C. R., Brighty, G., and Sumpter, J. P. (1998). Widespread sexual disruption in wild fish. </w:t>
      </w:r>
      <w:r>
        <w:rPr>
          <w:i/>
          <w:color w:val="222222"/>
        </w:rPr>
        <w:t>Environmental science &amp; technology</w:t>
      </w:r>
      <w:r>
        <w:rPr>
          <w:color w:val="222222"/>
          <w:highlight w:val="white"/>
        </w:rPr>
        <w:t xml:space="preserve">, </w:t>
      </w:r>
      <w:r>
        <w:rPr>
          <w:i/>
          <w:color w:val="222222"/>
        </w:rPr>
        <w:t>32</w:t>
      </w:r>
      <w:r>
        <w:rPr>
          <w:color w:val="222222"/>
          <w:highlight w:val="white"/>
        </w:rPr>
        <w:t>(17), 2498-2506.</w:t>
      </w:r>
    </w:p>
    <w:p w14:paraId="5D2CF804" w14:textId="77777777" w:rsidR="00BE7715" w:rsidRDefault="007712D4">
      <w:pPr>
        <w:numPr>
          <w:ilvl w:val="0"/>
          <w:numId w:val="16"/>
        </w:numPr>
        <w:spacing w:line="360" w:lineRule="auto"/>
        <w:jc w:val="both"/>
        <w:rPr>
          <w:color w:val="222222"/>
          <w:highlight w:val="white"/>
        </w:rPr>
      </w:pPr>
      <w:r>
        <w:rPr>
          <w:color w:val="222222"/>
          <w:highlight w:val="white"/>
        </w:rPr>
        <w:t xml:space="preserve">Länge, R., Hutchinson, T. H., Croudace, C. P., Siegmund, F., Schweinfurth, H., Hampe, P., …, and Sumpter, J. P. (2001). Effects of the synthetic estrogen 17α‐ethinylestradiol on the life‐cycle of the fathead minnow (Pimephales promelas). </w:t>
      </w:r>
      <w:r>
        <w:rPr>
          <w:i/>
          <w:color w:val="222222"/>
          <w:highlight w:val="white"/>
        </w:rPr>
        <w:t>Environmental Toxicology and Chemistry</w:t>
      </w:r>
      <w:r>
        <w:rPr>
          <w:color w:val="222222"/>
          <w:highlight w:val="white"/>
        </w:rPr>
        <w:t xml:space="preserve">, </w:t>
      </w:r>
      <w:r>
        <w:rPr>
          <w:i/>
          <w:color w:val="222222"/>
          <w:highlight w:val="white"/>
        </w:rPr>
        <w:t>20</w:t>
      </w:r>
      <w:r>
        <w:rPr>
          <w:color w:val="222222"/>
          <w:highlight w:val="white"/>
        </w:rPr>
        <w:t>(6), 1216-1227.</w:t>
      </w:r>
    </w:p>
    <w:p w14:paraId="21338A9F" w14:textId="77777777" w:rsidR="00BE7715" w:rsidRDefault="007712D4">
      <w:pPr>
        <w:numPr>
          <w:ilvl w:val="0"/>
          <w:numId w:val="16"/>
        </w:numPr>
        <w:spacing w:line="360" w:lineRule="auto"/>
        <w:jc w:val="both"/>
        <w:rPr>
          <w:color w:val="222222"/>
          <w:highlight w:val="white"/>
        </w:rPr>
      </w:pPr>
      <w:r>
        <w:rPr>
          <w:color w:val="222222"/>
          <w:highlight w:val="white"/>
        </w:rPr>
        <w:t xml:space="preserve">Mattsson, A. and Brunström, B. (2017). Effects of selective and combined activation of estrogen receptor α and β on reproductive organ development and sexual behaviour in Japanese quail (Coturnix japonica). </w:t>
      </w:r>
      <w:r>
        <w:rPr>
          <w:i/>
          <w:color w:val="222222"/>
          <w:highlight w:val="white"/>
        </w:rPr>
        <w:t>PloS one</w:t>
      </w:r>
      <w:r>
        <w:rPr>
          <w:color w:val="222222"/>
          <w:highlight w:val="white"/>
        </w:rPr>
        <w:t xml:space="preserve">, </w:t>
      </w:r>
      <w:r>
        <w:rPr>
          <w:i/>
          <w:color w:val="222222"/>
          <w:highlight w:val="white"/>
        </w:rPr>
        <w:t>12</w:t>
      </w:r>
      <w:r>
        <w:rPr>
          <w:color w:val="222222"/>
          <w:highlight w:val="white"/>
        </w:rPr>
        <w:t>(7), e0180548.</w:t>
      </w:r>
    </w:p>
    <w:p w14:paraId="5159AF15" w14:textId="77777777" w:rsidR="00BE7715" w:rsidRDefault="007712D4">
      <w:pPr>
        <w:numPr>
          <w:ilvl w:val="0"/>
          <w:numId w:val="16"/>
        </w:numPr>
        <w:spacing w:line="360" w:lineRule="auto"/>
        <w:jc w:val="both"/>
        <w:rPr>
          <w:color w:val="222222"/>
          <w:highlight w:val="white"/>
        </w:rPr>
      </w:pPr>
      <w:r>
        <w:t xml:space="preserve">Jaspers, V. L. (2015). Selecting the right bird model in experimental studies on endocrine disrupting chemicals. </w:t>
      </w:r>
      <w:r>
        <w:rPr>
          <w:i/>
        </w:rPr>
        <w:t>Frontiers in Environmental Science, 3</w:t>
      </w:r>
      <w:r>
        <w:t xml:space="preserve">, 35. </w:t>
      </w:r>
    </w:p>
    <w:p w14:paraId="789E90BE" w14:textId="77777777" w:rsidR="00BE7715" w:rsidRDefault="007712D4">
      <w:pPr>
        <w:numPr>
          <w:ilvl w:val="0"/>
          <w:numId w:val="16"/>
        </w:numPr>
        <w:spacing w:line="360" w:lineRule="auto"/>
        <w:jc w:val="both"/>
        <w:rPr>
          <w:color w:val="222222"/>
          <w:highlight w:val="white"/>
        </w:rPr>
      </w:pPr>
      <w:r>
        <w:rPr>
          <w:color w:val="222222"/>
          <w:highlight w:val="white"/>
        </w:rPr>
        <w:t xml:space="preserve">Mohammed, A. (2013). Why are early life stages of aquatic organisms more sensitive to toxicants than adults? </w:t>
      </w:r>
      <w:r>
        <w:rPr>
          <w:i/>
          <w:color w:val="222222"/>
          <w:highlight w:val="white"/>
        </w:rPr>
        <w:t>New insights into toxicity and drug testing</w:t>
      </w:r>
      <w:r>
        <w:rPr>
          <w:color w:val="222222"/>
          <w:highlight w:val="white"/>
        </w:rPr>
        <w:t>: InTech.</w:t>
      </w:r>
    </w:p>
    <w:p w14:paraId="7623BA3D" w14:textId="77777777" w:rsidR="00BE7715" w:rsidRDefault="007712D4">
      <w:pPr>
        <w:numPr>
          <w:ilvl w:val="0"/>
          <w:numId w:val="16"/>
        </w:numPr>
        <w:spacing w:line="360" w:lineRule="auto"/>
        <w:jc w:val="both"/>
        <w:rPr>
          <w:color w:val="222222"/>
          <w:highlight w:val="white"/>
        </w:rPr>
      </w:pPr>
      <w:r>
        <w:t xml:space="preserve">Jax, E., Wink, M., and Kraus, R. H. (2018). Avian transcriptomics: opportunities and challenges. </w:t>
      </w:r>
      <w:r>
        <w:rPr>
          <w:i/>
        </w:rPr>
        <w:t>Journal of ornithology</w:t>
      </w:r>
      <w:r>
        <w:t>, 1-31.</w:t>
      </w:r>
    </w:p>
    <w:p w14:paraId="53ACA1AE" w14:textId="77777777" w:rsidR="00BE7715" w:rsidRDefault="007712D4">
      <w:pPr>
        <w:numPr>
          <w:ilvl w:val="0"/>
          <w:numId w:val="16"/>
        </w:numPr>
        <w:spacing w:line="360" w:lineRule="auto"/>
        <w:jc w:val="both"/>
        <w:rPr>
          <w:color w:val="222222"/>
          <w:highlight w:val="white"/>
        </w:rPr>
      </w:pPr>
      <w:r>
        <w:t xml:space="preserve">Alexander-Dann, B., Pruteanu, L. L., Oerton, E., Sharma, N., Berindan-Neagoe, I., Módos, D., and Bender, A. (2018). Developments in toxicogenomics: understanding and predicting compound-induced toxicity from gene expression data. </w:t>
      </w:r>
      <w:r>
        <w:rPr>
          <w:i/>
        </w:rPr>
        <w:t>Molecular omics</w:t>
      </w:r>
      <w:r>
        <w:t>.</w:t>
      </w:r>
    </w:p>
    <w:p w14:paraId="20C3833A" w14:textId="77777777" w:rsidR="00BE7715" w:rsidRDefault="007712D4">
      <w:pPr>
        <w:numPr>
          <w:ilvl w:val="0"/>
          <w:numId w:val="16"/>
        </w:numPr>
        <w:spacing w:line="360" w:lineRule="auto"/>
        <w:jc w:val="both"/>
      </w:pPr>
      <w:r>
        <w:rPr>
          <w:color w:val="222222"/>
          <w:highlight w:val="white"/>
        </w:rPr>
        <w:t xml:space="preserve">Hanafy, A. M., Sasanami, T., and Mori, M. (2006). Effects of diethylstilbestrol and ethinylestradiol on gene transcription of very low‐density apolipoprotein II in the liver of Japanese quail, Coturnix japonica. </w:t>
      </w:r>
      <w:r>
        <w:rPr>
          <w:i/>
          <w:color w:val="222222"/>
          <w:highlight w:val="white"/>
        </w:rPr>
        <w:t>Environmental toxicology and chemistry</w:t>
      </w:r>
      <w:r>
        <w:rPr>
          <w:color w:val="222222"/>
          <w:highlight w:val="white"/>
        </w:rPr>
        <w:t xml:space="preserve">, </w:t>
      </w:r>
      <w:r>
        <w:rPr>
          <w:i/>
          <w:color w:val="222222"/>
          <w:highlight w:val="white"/>
        </w:rPr>
        <w:t>25</w:t>
      </w:r>
      <w:r>
        <w:rPr>
          <w:color w:val="222222"/>
          <w:highlight w:val="white"/>
        </w:rPr>
        <w:t>(5), 1354-1359.</w:t>
      </w:r>
    </w:p>
    <w:p w14:paraId="078E1AF2" w14:textId="77777777" w:rsidR="00BE7715" w:rsidRDefault="007712D4">
      <w:pPr>
        <w:numPr>
          <w:ilvl w:val="0"/>
          <w:numId w:val="16"/>
        </w:numPr>
        <w:spacing w:line="360" w:lineRule="auto"/>
        <w:jc w:val="both"/>
      </w:pPr>
      <w:r>
        <w:rPr>
          <w:color w:val="222222"/>
          <w:highlight w:val="white"/>
        </w:rPr>
        <w:t xml:space="preserve">Halldin, K., Berg, C., Brandt, I., and Brunström, B. (1999). Sexual behavior in Japanese quail as a test end point for endocrine disruption: effects of in ovo exposure to ethinylestradiol and diethylstilbestrol. </w:t>
      </w:r>
      <w:r>
        <w:rPr>
          <w:i/>
          <w:color w:val="222222"/>
          <w:highlight w:val="white"/>
        </w:rPr>
        <w:t>Environmental Health Perspectives</w:t>
      </w:r>
      <w:r>
        <w:rPr>
          <w:color w:val="222222"/>
          <w:highlight w:val="white"/>
        </w:rPr>
        <w:t xml:space="preserve">, </w:t>
      </w:r>
      <w:r>
        <w:rPr>
          <w:i/>
          <w:color w:val="222222"/>
          <w:highlight w:val="white"/>
        </w:rPr>
        <w:t>107</w:t>
      </w:r>
      <w:r>
        <w:rPr>
          <w:color w:val="222222"/>
          <w:highlight w:val="white"/>
        </w:rPr>
        <w:t>(11), 861-866.</w:t>
      </w:r>
    </w:p>
    <w:p w14:paraId="71AC6557" w14:textId="77777777" w:rsidR="00BE7715" w:rsidRDefault="007712D4">
      <w:pPr>
        <w:numPr>
          <w:ilvl w:val="0"/>
          <w:numId w:val="16"/>
        </w:numPr>
        <w:spacing w:line="360" w:lineRule="auto"/>
      </w:pPr>
      <w:r>
        <w:rPr>
          <w:color w:val="222222"/>
          <w:highlight w:val="white"/>
        </w:rPr>
        <w:t>Basu, N., Crump, D., Head, J., Hickey, G., Hogan, N., Maguire, S., ... &amp; Hecker, M. (2019). EcoToxChip: A next-generation toxicogenomics tool for chemical prioritization and environmental management. Environmental toxicology and chemistry, 38(2), 279.</w:t>
      </w:r>
    </w:p>
    <w:p w14:paraId="7DB8B9FB" w14:textId="77777777" w:rsidR="00BE7715" w:rsidRDefault="007712D4">
      <w:pPr>
        <w:numPr>
          <w:ilvl w:val="0"/>
          <w:numId w:val="16"/>
        </w:numPr>
        <w:spacing w:line="360" w:lineRule="auto"/>
        <w:jc w:val="both"/>
      </w:pPr>
      <w:r>
        <w:lastRenderedPageBreak/>
        <w:t xml:space="preserve">Robinson, M. D., McCarthy, D. J., &amp; Smyth, G. K. (2010). edgeR: a Bioconductor package for differential expression analysis of digital gene expression data. </w:t>
      </w:r>
      <w:r>
        <w:rPr>
          <w:i/>
        </w:rPr>
        <w:t>Bioinformatics, 26</w:t>
      </w:r>
      <w:r>
        <w:t>(1), 139-140.</w:t>
      </w:r>
    </w:p>
    <w:p w14:paraId="32C3CA4B" w14:textId="77777777" w:rsidR="00BE7715" w:rsidRDefault="007712D4">
      <w:pPr>
        <w:numPr>
          <w:ilvl w:val="0"/>
          <w:numId w:val="16"/>
        </w:numPr>
        <w:spacing w:line="360" w:lineRule="auto"/>
      </w:pPr>
      <w:r>
        <w:rPr>
          <w:color w:val="222222"/>
          <w:highlight w:val="white"/>
        </w:rPr>
        <w:t>Schurch, N. J., Schofield, P., Gierliński, M., Cole, C., Sherstnev, A., Singh, V., ... &amp; Blaxter, M. (2016). How many biological replicates are needed in an RNA-seq experiment and which differential expression tool should you use?. Rna, 22(6), 839-851.</w:t>
      </w:r>
    </w:p>
    <w:p w14:paraId="1C347FAE" w14:textId="77777777" w:rsidR="00BE7715" w:rsidRDefault="007712D4">
      <w:pPr>
        <w:numPr>
          <w:ilvl w:val="0"/>
          <w:numId w:val="16"/>
        </w:numPr>
        <w:spacing w:line="360" w:lineRule="auto"/>
        <w:jc w:val="both"/>
      </w:pPr>
      <w:r>
        <w:rPr>
          <w:color w:val="222222"/>
          <w:highlight w:val="white"/>
        </w:rPr>
        <w:t>Nunome, M., Nakano, M., Tadano, R., Kawahara-Miki, R., Kono, T., Takahashi, S., … Matsuda, Y. (20</w:t>
      </w:r>
      <w:r>
        <w:t>17). Genetic Diverg</w:t>
      </w:r>
      <w:r>
        <w:rPr>
          <w:color w:val="222222"/>
          <w:highlight w:val="white"/>
        </w:rPr>
        <w:t>ence in Domestic Japanese Quail Inferred from Mitochondrial DNA D-Loop and Microsatellite Markers. PloS one, 12(1), e0169978.</w:t>
      </w:r>
    </w:p>
    <w:p w14:paraId="25130749" w14:textId="77777777" w:rsidR="00BE7715" w:rsidRDefault="007712D4">
      <w:pPr>
        <w:numPr>
          <w:ilvl w:val="0"/>
          <w:numId w:val="16"/>
        </w:numPr>
        <w:spacing w:line="360" w:lineRule="auto"/>
        <w:jc w:val="both"/>
      </w:pPr>
      <w:r>
        <w:rPr>
          <w:color w:val="222222"/>
          <w:highlight w:val="white"/>
        </w:rPr>
        <w:t>Bely, A. E., &amp; Weisblat, D. A. (2006). Lessons from leeches: A call for DNA barcoding in the lab. Evolution and Development.</w:t>
      </w:r>
    </w:p>
    <w:p w14:paraId="660B4386" w14:textId="77777777" w:rsidR="00BE7715" w:rsidRDefault="00BE7715">
      <w:pPr>
        <w:spacing w:before="240" w:line="360" w:lineRule="auto"/>
        <w:jc w:val="both"/>
      </w:pPr>
    </w:p>
    <w:sectPr w:rsidR="00BE7715">
      <w:type w:val="continuous"/>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맑은 고딕">
    <w:charset w:val="81"/>
    <w:family w:val="auto"/>
    <w:pitch w:val="variable"/>
    <w:sig w:usb0="9000002F" w:usb1="29D77CFB" w:usb2="00000012" w:usb3="00000000" w:csb0="0008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38C"/>
    <w:multiLevelType w:val="multilevel"/>
    <w:tmpl w:val="451EE9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1D66EB6"/>
    <w:multiLevelType w:val="multilevel"/>
    <w:tmpl w:val="21261A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B856453"/>
    <w:multiLevelType w:val="multilevel"/>
    <w:tmpl w:val="3544D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BC0EE8"/>
    <w:multiLevelType w:val="multilevel"/>
    <w:tmpl w:val="0210946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6C17522"/>
    <w:multiLevelType w:val="multilevel"/>
    <w:tmpl w:val="BC64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E6D498E"/>
    <w:multiLevelType w:val="multilevel"/>
    <w:tmpl w:val="30DE0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8A3177E"/>
    <w:multiLevelType w:val="multilevel"/>
    <w:tmpl w:val="05C490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3DA516F1"/>
    <w:multiLevelType w:val="multilevel"/>
    <w:tmpl w:val="B86EE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4F152155"/>
    <w:multiLevelType w:val="multilevel"/>
    <w:tmpl w:val="F78ECB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542672B8"/>
    <w:multiLevelType w:val="multilevel"/>
    <w:tmpl w:val="A468A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6362A45"/>
    <w:multiLevelType w:val="multilevel"/>
    <w:tmpl w:val="AD4EF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7A52B39"/>
    <w:multiLevelType w:val="multilevel"/>
    <w:tmpl w:val="BA68D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DCB069E"/>
    <w:multiLevelType w:val="multilevel"/>
    <w:tmpl w:val="F6326B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63447C70"/>
    <w:multiLevelType w:val="multilevel"/>
    <w:tmpl w:val="74B49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4D05F01"/>
    <w:multiLevelType w:val="multilevel"/>
    <w:tmpl w:val="CABAC6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6B446A63"/>
    <w:multiLevelType w:val="multilevel"/>
    <w:tmpl w:val="457296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6E3E0677"/>
    <w:multiLevelType w:val="multilevel"/>
    <w:tmpl w:val="795899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7B22112B"/>
    <w:multiLevelType w:val="multilevel"/>
    <w:tmpl w:val="C4AEE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7C581921"/>
    <w:multiLevelType w:val="multilevel"/>
    <w:tmpl w:val="693A3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7E205EAA"/>
    <w:multiLevelType w:val="multilevel"/>
    <w:tmpl w:val="CF0ED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3"/>
  </w:num>
  <w:num w:numId="3">
    <w:abstractNumId w:val="6"/>
  </w:num>
  <w:num w:numId="4">
    <w:abstractNumId w:val="19"/>
  </w:num>
  <w:num w:numId="5">
    <w:abstractNumId w:val="10"/>
  </w:num>
  <w:num w:numId="6">
    <w:abstractNumId w:val="5"/>
  </w:num>
  <w:num w:numId="7">
    <w:abstractNumId w:val="16"/>
  </w:num>
  <w:num w:numId="8">
    <w:abstractNumId w:val="4"/>
  </w:num>
  <w:num w:numId="9">
    <w:abstractNumId w:val="11"/>
  </w:num>
  <w:num w:numId="10">
    <w:abstractNumId w:val="15"/>
  </w:num>
  <w:num w:numId="11">
    <w:abstractNumId w:val="14"/>
  </w:num>
  <w:num w:numId="12">
    <w:abstractNumId w:val="17"/>
  </w:num>
  <w:num w:numId="13">
    <w:abstractNumId w:val="7"/>
  </w:num>
  <w:num w:numId="14">
    <w:abstractNumId w:val="13"/>
  </w:num>
  <w:num w:numId="15">
    <w:abstractNumId w:val="8"/>
  </w:num>
  <w:num w:numId="16">
    <w:abstractNumId w:val="9"/>
  </w:num>
  <w:num w:numId="17">
    <w:abstractNumId w:val="2"/>
  </w:num>
  <w:num w:numId="18">
    <w:abstractNumId w:val="0"/>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715"/>
    <w:rsid w:val="004C19EC"/>
    <w:rsid w:val="007712D4"/>
    <w:rsid w:val="00BE7715"/>
    <w:rsid w:val="00DA31E2"/>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7E6FCA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7712D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12D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3011</Words>
  <Characters>17166</Characters>
  <Application>Microsoft Macintosh Word</Application>
  <DocSecurity>0</DocSecurity>
  <Lines>143</Lines>
  <Paragraphs>40</Paragraphs>
  <ScaleCrop>false</ScaleCrop>
  <LinksUpToDate>false</LinksUpToDate>
  <CharactersWithSpaces>20137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Jin Kweon</cp:lastModifiedBy>
  <cp:revision>4</cp:revision>
  <dcterms:created xsi:type="dcterms:W3CDTF">2019-04-18T23:21:00Z</dcterms:created>
  <dcterms:modified xsi:type="dcterms:W3CDTF">2019-04-18T23:39:00Z</dcterms:modified>
</cp:coreProperties>
</file>