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right="-810" w:firstLine="0"/>
        <w:jc w:val="center"/>
        <w:rPr>
          <w:sz w:val="36"/>
          <w:szCs w:val="36"/>
          <w:u w:val="single"/>
        </w:rPr>
      </w:pPr>
      <w:r w:rsidDel="00000000" w:rsidR="00000000" w:rsidRPr="00000000">
        <w:rPr>
          <w:sz w:val="36"/>
          <w:szCs w:val="36"/>
          <w:u w:val="single"/>
          <w:rtl w:val="0"/>
        </w:rPr>
        <w:t xml:space="preserve">BINF 531 Plan</w:t>
      </w:r>
    </w:p>
    <w:p w:rsidR="00000000" w:rsidDel="00000000" w:rsidP="00000000" w:rsidRDefault="00000000" w:rsidRPr="00000000" w14:paraId="00000002">
      <w:pPr>
        <w:ind w:left="-1080" w:right="-810" w:firstLine="0"/>
        <w:rPr>
          <w:b w:val="1"/>
          <w:sz w:val="36"/>
          <w:szCs w:val="36"/>
        </w:rPr>
      </w:pPr>
      <w:r w:rsidDel="00000000" w:rsidR="00000000" w:rsidRPr="00000000">
        <w:rPr>
          <w:b w:val="1"/>
          <w:sz w:val="36"/>
          <w:szCs w:val="36"/>
          <w:rtl w:val="0"/>
        </w:rPr>
        <w:t xml:space="preserve">1. Data (better to have groups - will help visualizations)</w:t>
      </w:r>
    </w:p>
    <w:p w:rsidR="00000000" w:rsidDel="00000000" w:rsidP="00000000" w:rsidRDefault="00000000" w:rsidRPr="00000000" w14:paraId="00000003">
      <w:pPr>
        <w:rPr/>
      </w:pPr>
      <w:r w:rsidDel="00000000" w:rsidR="00000000" w:rsidRPr="00000000">
        <w:rPr>
          <w:rtl w:val="0"/>
        </w:rPr>
        <w:t xml:space="preserve">The datasets are...</w:t>
        <w:br w:type="textWrapping"/>
        <w:t xml:space="preserve">Species: Japanese quail,</w:t>
        <w:br w:type="textWrapping"/>
        <w:t xml:space="preserve">Life stage: Early life stage (in ovo),</w:t>
        <w:br w:type="textWrapping"/>
        <w:t xml:space="preserve">Tissue: Left-lobe of liver,</w:t>
        <w:br w:type="textWrapping"/>
        <w:t xml:space="preserve">Type: RNA-seq gene expression data (raw, annotated, and clean data all available, even including results after differential expression analysis)</w:t>
        <w:br w:type="textWrapping"/>
        <w:t xml:space="preserve">Design: Exposure to each of 8 chemicals, 1 control shared by 2 chemicals (4 batches), 2 doses for a chemical</w:t>
      </w:r>
    </w:p>
    <w:p w:rsidR="00000000" w:rsidDel="00000000" w:rsidP="00000000" w:rsidRDefault="00000000" w:rsidRPr="00000000" w14:paraId="00000004">
      <w:pPr>
        <w:ind w:left="-1080" w:right="-810" w:firstLine="0"/>
        <w:rPr/>
      </w:pPr>
      <w:r w:rsidDel="00000000" w:rsidR="00000000" w:rsidRPr="00000000">
        <w:rPr>
          <w:rtl w:val="0"/>
        </w:rPr>
      </w:r>
    </w:p>
    <w:tbl>
      <w:tblPr>
        <w:tblStyle w:val="Table1"/>
        <w:tblW w:w="894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0"/>
        <w:gridCol w:w="2670"/>
        <w:gridCol w:w="2490"/>
        <w:tblGridChange w:id="0">
          <w:tblGrid>
            <w:gridCol w:w="3780"/>
            <w:gridCol w:w="2670"/>
            <w:gridCol w:w="2490"/>
          </w:tblGrid>
        </w:tblGridChange>
      </w:tblGrid>
      <w:tr>
        <w:trPr>
          <w:trHeight w:val="500" w:hRule="atLeast"/>
        </w:trPr>
        <w:tc>
          <w:tcPr>
            <w:tcBorders>
              <w:bottom w:color="000000" w:space="0" w:sz="16" w:val="single"/>
            </w:tcBorders>
            <w:tcMar>
              <w:top w:w="20.0" w:type="dxa"/>
              <w:left w:w="20.0" w:type="dxa"/>
              <w:bottom w:w="100.0" w:type="dxa"/>
              <w:right w:w="20.0" w:type="dxa"/>
            </w:tcMar>
            <w:vAlign w:val="bottom"/>
          </w:tcPr>
          <w:p w:rsidR="00000000" w:rsidDel="00000000" w:rsidP="00000000" w:rsidRDefault="00000000" w:rsidRPr="00000000" w14:paraId="00000005">
            <w:pPr>
              <w:ind w:left="-1080" w:right="-810" w:firstLine="0"/>
              <w:jc w:val="center"/>
              <w:rPr>
                <w:sz w:val="20"/>
                <w:szCs w:val="20"/>
              </w:rPr>
            </w:pPr>
            <w:r w:rsidDel="00000000" w:rsidR="00000000" w:rsidRPr="00000000">
              <w:rPr>
                <w:rFonts w:ascii="Calibri" w:cs="Calibri" w:eastAsia="Calibri" w:hAnsi="Calibri"/>
                <w:b w:val="1"/>
                <w:sz w:val="20"/>
                <w:szCs w:val="20"/>
                <w:rtl w:val="0"/>
              </w:rPr>
              <w:t xml:space="preserve">Chemical</w:t>
            </w:r>
            <w:r w:rsidDel="00000000" w:rsidR="00000000" w:rsidRPr="00000000">
              <w:rPr>
                <w:rtl w:val="0"/>
              </w:rPr>
            </w:r>
          </w:p>
        </w:tc>
        <w:tc>
          <w:tcPr>
            <w:tcBorders>
              <w:bottom w:color="000000" w:space="0" w:sz="16" w:val="single"/>
            </w:tcBorders>
            <w:tcMar>
              <w:top w:w="20.0" w:type="dxa"/>
              <w:left w:w="20.0" w:type="dxa"/>
              <w:bottom w:w="100.0" w:type="dxa"/>
              <w:right w:w="20.0" w:type="dxa"/>
            </w:tcMar>
            <w:vAlign w:val="bottom"/>
          </w:tcPr>
          <w:p w:rsidR="00000000" w:rsidDel="00000000" w:rsidP="00000000" w:rsidRDefault="00000000" w:rsidRPr="00000000" w14:paraId="00000006">
            <w:pPr>
              <w:ind w:left="-1080" w:right="-810" w:firstLine="0"/>
              <w:jc w:val="center"/>
              <w:rPr>
                <w:sz w:val="20"/>
                <w:szCs w:val="20"/>
              </w:rPr>
            </w:pPr>
            <w:r w:rsidDel="00000000" w:rsidR="00000000" w:rsidRPr="00000000">
              <w:rPr>
                <w:rFonts w:ascii="Calibri" w:cs="Calibri" w:eastAsia="Calibri" w:hAnsi="Calibri"/>
                <w:sz w:val="20"/>
                <w:szCs w:val="20"/>
                <w:rtl w:val="0"/>
              </w:rPr>
              <w:t xml:space="preserve"># ID</w:t>
            </w:r>
            <w:r w:rsidDel="00000000" w:rsidR="00000000" w:rsidRPr="00000000">
              <w:rPr>
                <w:rtl w:val="0"/>
              </w:rPr>
            </w:r>
          </w:p>
        </w:tc>
        <w:tc>
          <w:tcPr>
            <w:tcBorders>
              <w:bottom w:color="000000" w:space="0" w:sz="16" w:val="single"/>
            </w:tcBorders>
            <w:tcMar>
              <w:top w:w="20.0" w:type="dxa"/>
              <w:left w:w="20.0" w:type="dxa"/>
              <w:bottom w:w="100.0" w:type="dxa"/>
              <w:right w:w="20.0" w:type="dxa"/>
            </w:tcMar>
            <w:vAlign w:val="bottom"/>
          </w:tcPr>
          <w:p w:rsidR="00000000" w:rsidDel="00000000" w:rsidP="00000000" w:rsidRDefault="00000000" w:rsidRPr="00000000" w14:paraId="00000007">
            <w:pPr>
              <w:ind w:left="-1080" w:right="-810" w:firstLine="0"/>
              <w:jc w:val="center"/>
              <w:rPr>
                <w:sz w:val="20"/>
                <w:szCs w:val="20"/>
              </w:rPr>
            </w:pPr>
            <w:r w:rsidDel="00000000" w:rsidR="00000000" w:rsidRPr="00000000">
              <w:rPr>
                <w:rFonts w:ascii="Calibri" w:cs="Calibri" w:eastAsia="Calibri" w:hAnsi="Calibri"/>
                <w:sz w:val="20"/>
                <w:szCs w:val="20"/>
                <w:rtl w:val="0"/>
              </w:rPr>
              <w:t xml:space="preserve">Date Tissues Collected</w:t>
            </w:r>
            <w:r w:rsidDel="00000000" w:rsidR="00000000" w:rsidRPr="00000000">
              <w:rPr>
                <w:rtl w:val="0"/>
              </w:rPr>
            </w:r>
          </w:p>
        </w:tc>
      </w:tr>
      <w:tr>
        <w:trPr>
          <w:trHeight w:val="460" w:hRule="atLeast"/>
        </w:trPr>
        <w:tc>
          <w:tcPr>
            <w:tcMar>
              <w:top w:w="20.0" w:type="dxa"/>
              <w:left w:w="20.0" w:type="dxa"/>
              <w:bottom w:w="100.0" w:type="dxa"/>
              <w:right w:w="20.0" w:type="dxa"/>
            </w:tcMar>
            <w:vAlign w:val="bottom"/>
          </w:tcPr>
          <w:p w:rsidR="00000000" w:rsidDel="00000000" w:rsidP="00000000" w:rsidRDefault="00000000" w:rsidRPr="00000000" w14:paraId="00000008">
            <w:pPr>
              <w:ind w:left="-1080" w:right="-810" w:firstLine="0"/>
              <w:jc w:val="center"/>
              <w:rPr>
                <w:sz w:val="20"/>
                <w:szCs w:val="20"/>
              </w:rPr>
            </w:pPr>
            <w:r w:rsidDel="00000000" w:rsidR="00000000" w:rsidRPr="00000000">
              <w:rPr>
                <w:rFonts w:ascii="Calibri" w:cs="Calibri" w:eastAsia="Calibri" w:hAnsi="Calibri"/>
                <w:sz w:val="20"/>
                <w:szCs w:val="20"/>
                <w:rtl w:val="0"/>
              </w:rPr>
              <w:t xml:space="preserve">Ethinylestradiol (EE2)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09">
            <w:pPr>
              <w:ind w:left="-1080" w:right="-810" w:firstLine="0"/>
              <w:jc w:val="center"/>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shd w:fill="9bc2e6" w:val="clear"/>
            <w:tcMar>
              <w:top w:w="20.0" w:type="dxa"/>
              <w:left w:w="20.0" w:type="dxa"/>
              <w:bottom w:w="100.0" w:type="dxa"/>
              <w:right w:w="20.0" w:type="dxa"/>
            </w:tcMar>
            <w:vAlign w:val="bottom"/>
          </w:tcPr>
          <w:p w:rsidR="00000000" w:rsidDel="00000000" w:rsidP="00000000" w:rsidRDefault="00000000" w:rsidRPr="00000000" w14:paraId="0000000A">
            <w:pPr>
              <w:ind w:left="-1080" w:right="-810" w:firstLine="0"/>
              <w:jc w:val="center"/>
              <w:rPr>
                <w:sz w:val="20"/>
                <w:szCs w:val="20"/>
              </w:rPr>
            </w:pPr>
            <w:r w:rsidDel="00000000" w:rsidR="00000000" w:rsidRPr="00000000">
              <w:rPr>
                <w:rFonts w:ascii="Calibri" w:cs="Calibri" w:eastAsia="Calibri" w:hAnsi="Calibri"/>
                <w:sz w:val="20"/>
                <w:szCs w:val="20"/>
                <w:rtl w:val="0"/>
              </w:rPr>
              <w:t xml:space="preserve">March 2nd, 2017</w:t>
            </w:r>
            <w:r w:rsidDel="00000000" w:rsidR="00000000" w:rsidRPr="00000000">
              <w:rPr>
                <w:rtl w:val="0"/>
              </w:rPr>
            </w:r>
          </w:p>
        </w:tc>
      </w:tr>
      <w:tr>
        <w:trPr>
          <w:trHeight w:val="460" w:hRule="atLeast"/>
        </w:trPr>
        <w:tc>
          <w:tcPr>
            <w:tcMar>
              <w:top w:w="20.0" w:type="dxa"/>
              <w:left w:w="20.0" w:type="dxa"/>
              <w:bottom w:w="100.0" w:type="dxa"/>
              <w:right w:w="2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rFonts w:ascii="Calibri" w:cs="Calibri" w:eastAsia="Calibri" w:hAnsi="Calibri"/>
                <w:sz w:val="20"/>
                <w:szCs w:val="20"/>
                <w:rtl w:val="0"/>
              </w:rPr>
              <w:t xml:space="preserve">Benzo[a]pyrene (BaP)</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0C">
            <w:pPr>
              <w:ind w:left="-1080" w:right="-810" w:firstLine="0"/>
              <w:jc w:val="center"/>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shd w:fill="ff7e79" w:val="clear"/>
            <w:tcMar>
              <w:top w:w="20.0" w:type="dxa"/>
              <w:left w:w="20.0" w:type="dxa"/>
              <w:bottom w:w="100.0" w:type="dxa"/>
              <w:right w:w="20.0" w:type="dxa"/>
            </w:tcMar>
            <w:vAlign w:val="bottom"/>
          </w:tcPr>
          <w:p w:rsidR="00000000" w:rsidDel="00000000" w:rsidP="00000000" w:rsidRDefault="00000000" w:rsidRPr="00000000" w14:paraId="0000000D">
            <w:pPr>
              <w:ind w:left="-1080" w:right="-810" w:firstLine="0"/>
              <w:jc w:val="center"/>
              <w:rPr>
                <w:sz w:val="20"/>
                <w:szCs w:val="20"/>
              </w:rPr>
            </w:pPr>
            <w:r w:rsidDel="00000000" w:rsidR="00000000" w:rsidRPr="00000000">
              <w:rPr>
                <w:rFonts w:ascii="Calibri" w:cs="Calibri" w:eastAsia="Calibri" w:hAnsi="Calibri"/>
                <w:sz w:val="20"/>
                <w:szCs w:val="20"/>
                <w:rtl w:val="0"/>
              </w:rPr>
              <w:t xml:space="preserve">March 30th, 2017</w:t>
            </w:r>
            <w:r w:rsidDel="00000000" w:rsidR="00000000" w:rsidRPr="00000000">
              <w:rPr>
                <w:rtl w:val="0"/>
              </w:rPr>
            </w:r>
          </w:p>
        </w:tc>
      </w:tr>
      <w:tr>
        <w:trPr>
          <w:trHeight w:val="460" w:hRule="atLeast"/>
        </w:trPr>
        <w:tc>
          <w:tcPr>
            <w:tcMar>
              <w:top w:w="20.0" w:type="dxa"/>
              <w:left w:w="20.0" w:type="dxa"/>
              <w:bottom w:w="100.0" w:type="dxa"/>
              <w:right w:w="2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rFonts w:ascii="Calibri" w:cs="Calibri" w:eastAsia="Calibri" w:hAnsi="Calibri"/>
                <w:sz w:val="20"/>
                <w:szCs w:val="20"/>
                <w:rtl w:val="0"/>
              </w:rPr>
              <w:t xml:space="preserve">Lead (Pb)</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0F">
            <w:pPr>
              <w:ind w:left="-1080" w:right="-810" w:firstLine="0"/>
              <w:jc w:val="center"/>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shd w:fill="ff7e79" w:val="clear"/>
            <w:tcMar>
              <w:top w:w="20.0" w:type="dxa"/>
              <w:left w:w="20.0" w:type="dxa"/>
              <w:bottom w:w="100.0" w:type="dxa"/>
              <w:right w:w="20.0" w:type="dxa"/>
            </w:tcMar>
            <w:vAlign w:val="bottom"/>
          </w:tcPr>
          <w:p w:rsidR="00000000" w:rsidDel="00000000" w:rsidP="00000000" w:rsidRDefault="00000000" w:rsidRPr="00000000" w14:paraId="00000010">
            <w:pPr>
              <w:ind w:left="-1080" w:right="-810" w:firstLine="0"/>
              <w:jc w:val="center"/>
              <w:rPr>
                <w:sz w:val="20"/>
                <w:szCs w:val="20"/>
              </w:rPr>
            </w:pPr>
            <w:r w:rsidDel="00000000" w:rsidR="00000000" w:rsidRPr="00000000">
              <w:rPr>
                <w:rFonts w:ascii="Calibri" w:cs="Calibri" w:eastAsia="Calibri" w:hAnsi="Calibri"/>
                <w:sz w:val="20"/>
                <w:szCs w:val="20"/>
                <w:rtl w:val="0"/>
              </w:rPr>
              <w:t xml:space="preserve">March 30th, 2017</w:t>
            </w:r>
            <w:r w:rsidDel="00000000" w:rsidR="00000000" w:rsidRPr="00000000">
              <w:rPr>
                <w:rtl w:val="0"/>
              </w:rPr>
            </w:r>
          </w:p>
        </w:tc>
      </w:tr>
      <w:tr>
        <w:trPr>
          <w:trHeight w:val="460" w:hRule="atLeast"/>
        </w:trPr>
        <w:tc>
          <w:tcPr>
            <w:tcMar>
              <w:top w:w="20.0" w:type="dxa"/>
              <w:left w:w="20.0" w:type="dxa"/>
              <w:bottom w:w="100.0" w:type="dxa"/>
              <w:right w:w="2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rFonts w:ascii="Calibri" w:cs="Calibri" w:eastAsia="Calibri" w:hAnsi="Calibri"/>
                <w:sz w:val="20"/>
                <w:szCs w:val="20"/>
                <w:rtl w:val="0"/>
              </w:rPr>
              <w:t xml:space="preserve">Selenomethionine (SeMe)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2">
            <w:pPr>
              <w:ind w:left="-1080" w:right="-810" w:firstLine="0"/>
              <w:jc w:val="center"/>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shd w:fill="a9d08e" w:val="clear"/>
            <w:tcMar>
              <w:top w:w="20.0" w:type="dxa"/>
              <w:left w:w="20.0" w:type="dxa"/>
              <w:bottom w:w="100.0" w:type="dxa"/>
              <w:right w:w="20.0" w:type="dxa"/>
            </w:tcMar>
            <w:vAlign w:val="bottom"/>
          </w:tcPr>
          <w:p w:rsidR="00000000" w:rsidDel="00000000" w:rsidP="00000000" w:rsidRDefault="00000000" w:rsidRPr="00000000" w14:paraId="00000013">
            <w:pPr>
              <w:ind w:left="-1080" w:right="-810" w:firstLine="0"/>
              <w:jc w:val="center"/>
              <w:rPr>
                <w:sz w:val="20"/>
                <w:szCs w:val="20"/>
              </w:rPr>
            </w:pPr>
            <w:r w:rsidDel="00000000" w:rsidR="00000000" w:rsidRPr="00000000">
              <w:rPr>
                <w:rFonts w:ascii="Calibri" w:cs="Calibri" w:eastAsia="Calibri" w:hAnsi="Calibri"/>
                <w:sz w:val="20"/>
                <w:szCs w:val="20"/>
                <w:rtl w:val="0"/>
              </w:rPr>
              <w:t xml:space="preserve">June 9th, 2017</w:t>
            </w:r>
            <w:r w:rsidDel="00000000" w:rsidR="00000000" w:rsidRPr="00000000">
              <w:rPr>
                <w:rtl w:val="0"/>
              </w:rPr>
            </w:r>
          </w:p>
        </w:tc>
      </w:tr>
      <w:tr>
        <w:trPr>
          <w:trHeight w:val="460" w:hRule="atLeast"/>
        </w:trPr>
        <w:tc>
          <w:tcPr>
            <w:tcMar>
              <w:top w:w="20.0" w:type="dxa"/>
              <w:left w:w="20.0" w:type="dxa"/>
              <w:bottom w:w="100.0" w:type="dxa"/>
              <w:right w:w="2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rFonts w:ascii="Calibri" w:cs="Calibri" w:eastAsia="Calibri" w:hAnsi="Calibri"/>
                <w:sz w:val="20"/>
                <w:szCs w:val="20"/>
                <w:rtl w:val="0"/>
              </w:rPr>
              <w:t xml:space="preserve">Chlorpyrifos (CPF)</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5">
            <w:pPr>
              <w:ind w:left="-1080" w:right="-810" w:firstLine="0"/>
              <w:jc w:val="center"/>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shd w:fill="9bc2e6" w:val="clear"/>
            <w:tcMar>
              <w:top w:w="20.0" w:type="dxa"/>
              <w:left w:w="20.0" w:type="dxa"/>
              <w:bottom w:w="100.0" w:type="dxa"/>
              <w:right w:w="20.0" w:type="dxa"/>
            </w:tcMar>
            <w:vAlign w:val="bottom"/>
          </w:tcPr>
          <w:p w:rsidR="00000000" w:rsidDel="00000000" w:rsidP="00000000" w:rsidRDefault="00000000" w:rsidRPr="00000000" w14:paraId="00000016">
            <w:pPr>
              <w:ind w:left="-1080" w:right="-810" w:firstLine="0"/>
              <w:jc w:val="center"/>
              <w:rPr>
                <w:sz w:val="20"/>
                <w:szCs w:val="20"/>
              </w:rPr>
            </w:pPr>
            <w:r w:rsidDel="00000000" w:rsidR="00000000" w:rsidRPr="00000000">
              <w:rPr>
                <w:rFonts w:ascii="Calibri" w:cs="Calibri" w:eastAsia="Calibri" w:hAnsi="Calibri"/>
                <w:sz w:val="20"/>
                <w:szCs w:val="20"/>
                <w:rtl w:val="0"/>
              </w:rPr>
              <w:t xml:space="preserve">March 2nd, 2017</w:t>
            </w:r>
            <w:r w:rsidDel="00000000" w:rsidR="00000000" w:rsidRPr="00000000">
              <w:rPr>
                <w:rtl w:val="0"/>
              </w:rPr>
            </w:r>
          </w:p>
        </w:tc>
      </w:tr>
      <w:tr>
        <w:trPr>
          <w:trHeight w:val="460" w:hRule="atLeast"/>
        </w:trPr>
        <w:tc>
          <w:tcPr>
            <w:tcMar>
              <w:top w:w="20.0" w:type="dxa"/>
              <w:left w:w="20.0" w:type="dxa"/>
              <w:bottom w:w="100.0" w:type="dxa"/>
              <w:right w:w="2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rFonts w:ascii="Calibri" w:cs="Calibri" w:eastAsia="Calibri" w:hAnsi="Calibri"/>
                <w:sz w:val="20"/>
                <w:szCs w:val="20"/>
                <w:rtl w:val="0"/>
              </w:rPr>
              <w:t xml:space="preserve">Fluoxetine hydrochloride (FLX)</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8">
            <w:pPr>
              <w:ind w:left="-1080" w:right="-810" w:firstLine="0"/>
              <w:jc w:val="center"/>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shd w:fill="a9d08e" w:val="clear"/>
            <w:tcMar>
              <w:top w:w="20.0" w:type="dxa"/>
              <w:left w:w="20.0" w:type="dxa"/>
              <w:bottom w:w="100.0" w:type="dxa"/>
              <w:right w:w="20.0" w:type="dxa"/>
            </w:tcMar>
            <w:vAlign w:val="bottom"/>
          </w:tcPr>
          <w:p w:rsidR="00000000" w:rsidDel="00000000" w:rsidP="00000000" w:rsidRDefault="00000000" w:rsidRPr="00000000" w14:paraId="00000019">
            <w:pPr>
              <w:ind w:left="-1080" w:right="-810" w:firstLine="0"/>
              <w:jc w:val="center"/>
              <w:rPr>
                <w:sz w:val="20"/>
                <w:szCs w:val="20"/>
              </w:rPr>
            </w:pPr>
            <w:r w:rsidDel="00000000" w:rsidR="00000000" w:rsidRPr="00000000">
              <w:rPr>
                <w:rFonts w:ascii="Calibri" w:cs="Calibri" w:eastAsia="Calibri" w:hAnsi="Calibri"/>
                <w:sz w:val="20"/>
                <w:szCs w:val="20"/>
                <w:rtl w:val="0"/>
              </w:rPr>
              <w:t xml:space="preserve">June 9th, 2017</w:t>
            </w:r>
            <w:r w:rsidDel="00000000" w:rsidR="00000000" w:rsidRPr="00000000">
              <w:rPr>
                <w:rtl w:val="0"/>
              </w:rPr>
            </w:r>
          </w:p>
        </w:tc>
      </w:tr>
      <w:tr>
        <w:trPr>
          <w:trHeight w:val="460" w:hRule="atLeast"/>
        </w:trPr>
        <w:tc>
          <w:tcPr>
            <w:tcMar>
              <w:top w:w="20.0" w:type="dxa"/>
              <w:left w:w="20.0" w:type="dxa"/>
              <w:bottom w:w="100.0" w:type="dxa"/>
              <w:right w:w="2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rFonts w:ascii="Calibri" w:cs="Calibri" w:eastAsia="Calibri" w:hAnsi="Calibri"/>
                <w:sz w:val="20"/>
                <w:szCs w:val="20"/>
                <w:rtl w:val="0"/>
              </w:rPr>
              <w:t xml:space="preserve">Trenbolone (TB)</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B">
            <w:pPr>
              <w:ind w:left="-1080" w:right="-810" w:firstLine="0"/>
              <w:jc w:val="center"/>
              <w:rPr>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shd w:fill="ffe699" w:val="clear"/>
            <w:tcMar>
              <w:top w:w="20.0" w:type="dxa"/>
              <w:left w:w="20.0" w:type="dxa"/>
              <w:bottom w:w="100.0" w:type="dxa"/>
              <w:right w:w="20.0" w:type="dxa"/>
            </w:tcMar>
            <w:vAlign w:val="bottom"/>
          </w:tcPr>
          <w:p w:rsidR="00000000" w:rsidDel="00000000" w:rsidP="00000000" w:rsidRDefault="00000000" w:rsidRPr="00000000" w14:paraId="0000001C">
            <w:pPr>
              <w:ind w:left="-1080" w:right="-810" w:firstLine="0"/>
              <w:jc w:val="center"/>
              <w:rPr>
                <w:sz w:val="20"/>
                <w:szCs w:val="20"/>
              </w:rPr>
            </w:pPr>
            <w:r w:rsidDel="00000000" w:rsidR="00000000" w:rsidRPr="00000000">
              <w:rPr>
                <w:rFonts w:ascii="Calibri" w:cs="Calibri" w:eastAsia="Calibri" w:hAnsi="Calibri"/>
                <w:sz w:val="20"/>
                <w:szCs w:val="20"/>
                <w:rtl w:val="0"/>
              </w:rPr>
              <w:t xml:space="preserve">June 29th, 2017</w:t>
            </w:r>
            <w:r w:rsidDel="00000000" w:rsidR="00000000" w:rsidRPr="00000000">
              <w:rPr>
                <w:rtl w:val="0"/>
              </w:rPr>
            </w:r>
          </w:p>
        </w:tc>
      </w:tr>
      <w:tr>
        <w:trPr>
          <w:trHeight w:val="460" w:hRule="atLeast"/>
        </w:trPr>
        <w:tc>
          <w:tcPr>
            <w:tcMar>
              <w:top w:w="20.0" w:type="dxa"/>
              <w:left w:w="20.0" w:type="dxa"/>
              <w:bottom w:w="100.0" w:type="dxa"/>
              <w:right w:w="2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rFonts w:ascii="Calibri" w:cs="Calibri" w:eastAsia="Calibri" w:hAnsi="Calibri"/>
                <w:sz w:val="20"/>
                <w:szCs w:val="20"/>
                <w:rtl w:val="0"/>
              </w:rPr>
              <w:t xml:space="preserve">Hexabromocyclododecane (HBCD)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1E">
            <w:pPr>
              <w:ind w:left="-1080" w:right="-810" w:firstLine="0"/>
              <w:jc w:val="center"/>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shd w:fill="ffe699" w:val="clear"/>
            <w:tcMar>
              <w:top w:w="20.0" w:type="dxa"/>
              <w:left w:w="20.0" w:type="dxa"/>
              <w:bottom w:w="100.0" w:type="dxa"/>
              <w:right w:w="20.0" w:type="dxa"/>
            </w:tcMar>
            <w:vAlign w:val="bottom"/>
          </w:tcPr>
          <w:p w:rsidR="00000000" w:rsidDel="00000000" w:rsidP="00000000" w:rsidRDefault="00000000" w:rsidRPr="00000000" w14:paraId="0000001F">
            <w:pPr>
              <w:ind w:left="-1080" w:right="-810" w:firstLine="0"/>
              <w:jc w:val="center"/>
              <w:rPr>
                <w:sz w:val="20"/>
                <w:szCs w:val="20"/>
              </w:rPr>
            </w:pPr>
            <w:r w:rsidDel="00000000" w:rsidR="00000000" w:rsidRPr="00000000">
              <w:rPr>
                <w:rFonts w:ascii="Calibri" w:cs="Calibri" w:eastAsia="Calibri" w:hAnsi="Calibri"/>
                <w:sz w:val="20"/>
                <w:szCs w:val="20"/>
                <w:rtl w:val="0"/>
              </w:rPr>
              <w:t xml:space="preserve">June 29th, 2017</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t xml:space="preserve">2 chemicals were done at the same time and had one set for solvent control (DMSO).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18"/>
          <w:szCs w:val="18"/>
          <w:rtl w:val="0"/>
        </w:rPr>
        <w:t xml:space="preserve">Ethinylestradiol: birth control drug.</w:t>
        <w:br w:type="textWrapping"/>
        <w:t xml:space="preserve">EE has, albeit rarely (at the low dosages that are now used in COCs), been associated with cholestatic hepatotoxicity. Glucuronide metabolites of EE, via effects on the ABCB11 (BSEP) and MRP2 (ABCC2) proteins and consequent changes in bile flow and bile salt excretion, appear to be responsible for the cholestasis.[43] High concentrations of estradiol, via its metabolite estradiol glucuronide, are also implicated in cholestasis, for instance in cholestasis of pregnancy.[42] However, the incidence and severity of cholestatic hepatotoxicity appear to be much greater with EE than with estradiol, which is due to its 17α-ethynyl substitution and consequent reduced metabolism.[29]</w:t>
        <w:br w:type="textWrapping"/>
        <w:br w:type="textWrapping"/>
        <w:t xml:space="preserve">Benzo[a]pyrene: carcinogen. Its diol epoxide metabolites (more commonly known as BPDE) react and bind to DNA, resulting in mutations and eventually cancer. Souce: residential wood burning, charcoal barbecued food. Toxicity to nervous system, immune system, reproductive system.</w:t>
        <w:br w:type="textWrapping"/>
      </w:r>
    </w:p>
    <w:p w:rsidR="00000000" w:rsidDel="00000000" w:rsidP="00000000" w:rsidRDefault="00000000" w:rsidRPr="00000000" w14:paraId="00000023">
      <w:pPr>
        <w:rPr>
          <w:sz w:val="18"/>
          <w:szCs w:val="18"/>
        </w:rPr>
      </w:pPr>
      <w:r w:rsidDel="00000000" w:rsidR="00000000" w:rsidRPr="00000000">
        <w:rPr>
          <w:sz w:val="18"/>
          <w:szCs w:val="18"/>
          <w:rtl w:val="0"/>
        </w:rPr>
        <w:t xml:space="preserve">Lead is a toxin that accumulates in soft tissues and bones, it acts as a neurotoxin damaging the nervous system and interfering with the function of biological enzymes, causing neurological disorders, such as brain damage and behavioral problems. Souce: Lead exposure is a global issue since lead mining and smelting, and battery manufacturing/disposal/recycling, are common in many countries. Lead enters the body via inhalation, ingestion, or skin absorption.</w:t>
        <w:br w:type="textWrapping"/>
        <w:br w:type="textWrapping"/>
        <w:t xml:space="preserve">Selenomethionine's antioxidant activity arises from its ability to deplete reactive oxygen species. Selenomethionine is readily available as a dietary supplement.</w:t>
        <w:br w:type="textWrapping"/>
        <w:br w:type="textWrapping"/>
        <w:t xml:space="preserve">Chlorpyrifos (CPS)</w:t>
        <w:br w:type="textWrapping"/>
        <w:t xml:space="preserve">organophosphate pesticide used to kill a number of pests including insects and worms. Exposure surpassing recommended levels has been linked to neurological effects, persistent developmental disorders and autoimmune disorders. Acute poisoning leading to a range of neuromuscular symptoms. </w:t>
        <w:br w:type="textWrapping"/>
        <w:br w:type="textWrapping"/>
        <w:t xml:space="preserve">Fluoxetine is used to treat depression, panic attacks, obsessive compulsive disorder, a certain eating disorder (bulimia), and a severe form of premenstrual syndrome (premenstrual dysphoric disorder).</w:t>
        <w:br w:type="textWrapping"/>
        <w:br w:type="textWrapping"/>
        <w:t xml:space="preserve">Trenbolone as trenbolone acetate, improves muscle mass, feed efficiency, and mineral absorption in cattle.</w:t>
        <w:br w:type="textWrapping"/>
        <w:br w:type="textWrapping"/>
        <w:t xml:space="preserve">Hexabromocyclododecane is a brominated flame retardant. may have adverse developmental and reproductive health effects. </w:t>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rPr>
          <w:sz w:val="18"/>
          <w:szCs w:val="18"/>
        </w:rPr>
      </w:pPr>
      <w:r w:rsidDel="00000000" w:rsidR="00000000" w:rsidRPr="00000000">
        <w:rPr>
          <w:i w:val="1"/>
          <w:sz w:val="18"/>
          <w:szCs w:val="18"/>
          <w:rtl w:val="0"/>
        </w:rPr>
        <w:t xml:space="preserve">Japanese quail (Coturnix japonica) as a laboratory animal model: </w:t>
      </w:r>
      <w:r w:rsidDel="00000000" w:rsidR="00000000" w:rsidRPr="00000000">
        <w:rPr>
          <w:sz w:val="18"/>
          <w:szCs w:val="18"/>
          <w:rtl w:val="0"/>
        </w:rPr>
        <w:t xml:space="preserve">“ </w:t>
      </w:r>
      <w:r w:rsidDel="00000000" w:rsidR="00000000" w:rsidRPr="00000000">
        <w:rPr>
          <w:color w:val="222222"/>
          <w:sz w:val="18"/>
          <w:szCs w:val="18"/>
          <w:highlight w:val="white"/>
          <w:rtl w:val="0"/>
        </w:rPr>
        <w:t xml:space="preserve">For the past 50 years, the Japanese quail (Coturnix japonica) has been a popular animal model in numerous fields of research. The quail's 16-d developmental period and its easily accessible embryo make C. japonica a convenient model for studies of developmental biology. Because its lifespan is relatively short and its physiology is comparable to that of humans, the adult quail is useful for studies of aging and disease.”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br w:type="textWrapping"/>
      </w:r>
    </w:p>
    <w:p w:rsidR="00000000" w:rsidDel="00000000" w:rsidP="00000000" w:rsidRDefault="00000000" w:rsidRPr="00000000" w14:paraId="00000027">
      <w:pPr>
        <w:ind w:left="-1080" w:right="-810" w:firstLine="0"/>
        <w:rPr/>
      </w:pPr>
      <w:r w:rsidDel="00000000" w:rsidR="00000000" w:rsidRPr="00000000">
        <w:rPr>
          <w:rtl w:val="0"/>
        </w:rPr>
        <w:t xml:space="preserve"> </w:t>
      </w:r>
    </w:p>
    <w:p w:rsidR="00000000" w:rsidDel="00000000" w:rsidP="00000000" w:rsidRDefault="00000000" w:rsidRPr="00000000" w14:paraId="00000028">
      <w:pPr>
        <w:ind w:left="-1080" w:right="-810" w:firstLine="0"/>
        <w:rPr>
          <w:b w:val="1"/>
          <w:sz w:val="36"/>
          <w:szCs w:val="36"/>
        </w:rPr>
      </w:pPr>
      <w:r w:rsidDel="00000000" w:rsidR="00000000" w:rsidRPr="00000000">
        <w:rPr>
          <w:b w:val="1"/>
          <w:sz w:val="36"/>
          <w:szCs w:val="36"/>
          <w:rtl w:val="0"/>
        </w:rPr>
        <w:t xml:space="preserve">2. Work distributions</w:t>
      </w:r>
    </w:p>
    <w:p w:rsidR="00000000" w:rsidDel="00000000" w:rsidP="00000000" w:rsidRDefault="00000000" w:rsidRPr="00000000" w14:paraId="00000029">
      <w:pPr>
        <w:ind w:left="-1080" w:right="-810" w:firstLine="0"/>
        <w:rPr/>
      </w:pPr>
      <w:r w:rsidDel="00000000" w:rsidR="00000000" w:rsidRPr="00000000">
        <w:rPr>
          <w:rtl w:val="0"/>
        </w:rPr>
        <w:t xml:space="preserve"> </w:t>
      </w:r>
    </w:p>
    <w:p w:rsidR="00000000" w:rsidDel="00000000" w:rsidP="00000000" w:rsidRDefault="00000000" w:rsidRPr="00000000" w14:paraId="0000002A">
      <w:pPr>
        <w:ind w:left="-1080" w:right="-810" w:firstLine="0"/>
        <w:rPr/>
      </w:pPr>
      <w:r w:rsidDel="00000000" w:rsidR="00000000" w:rsidRPr="00000000">
        <w:rPr>
          <w:rtl w:val="0"/>
        </w:rPr>
        <w:t xml:space="preserve">project proposal (2-page?)</w:t>
      </w:r>
    </w:p>
    <w:p w:rsidR="00000000" w:rsidDel="00000000" w:rsidP="00000000" w:rsidRDefault="00000000" w:rsidRPr="00000000" w14:paraId="0000002B">
      <w:pPr>
        <w:ind w:left="-1080" w:right="-810" w:firstLine="0"/>
        <w:rPr/>
      </w:pPr>
      <w:r w:rsidDel="00000000" w:rsidR="00000000" w:rsidRPr="00000000">
        <w:rPr>
          <w:rtl w:val="0"/>
        </w:rPr>
        <w:t xml:space="preserve"> </w:t>
      </w:r>
    </w:p>
    <w:p w:rsidR="00000000" w:rsidDel="00000000" w:rsidP="00000000" w:rsidRDefault="00000000" w:rsidRPr="00000000" w14:paraId="0000002C">
      <w:pPr>
        <w:ind w:left="-1080" w:right="-810" w:firstLine="0"/>
        <w:rPr/>
      </w:pPr>
      <w:r w:rsidDel="00000000" w:rsidR="00000000" w:rsidRPr="00000000">
        <w:rPr>
          <w:rtl w:val="0"/>
        </w:rPr>
        <w:t xml:space="preserve">project presentation</w:t>
      </w:r>
    </w:p>
    <w:p w:rsidR="00000000" w:rsidDel="00000000" w:rsidP="00000000" w:rsidRDefault="00000000" w:rsidRPr="00000000" w14:paraId="0000002D">
      <w:pPr>
        <w:ind w:left="-1080" w:right="-810" w:firstLine="0"/>
        <w:rPr/>
      </w:pPr>
      <w:r w:rsidDel="00000000" w:rsidR="00000000" w:rsidRPr="00000000">
        <w:rPr>
          <w:rtl w:val="0"/>
        </w:rPr>
        <w:t xml:space="preserve"> </w:t>
      </w:r>
    </w:p>
    <w:p w:rsidR="00000000" w:rsidDel="00000000" w:rsidP="00000000" w:rsidRDefault="00000000" w:rsidRPr="00000000" w14:paraId="0000002E">
      <w:pPr>
        <w:ind w:left="-1080" w:right="-810" w:firstLine="0"/>
        <w:rPr/>
      </w:pPr>
      <w:r w:rsidDel="00000000" w:rsidR="00000000" w:rsidRPr="00000000">
        <w:rPr>
          <w:rtl w:val="0"/>
        </w:rPr>
        <w:t xml:space="preserve">analysis report (max 10-page)</w:t>
      </w:r>
    </w:p>
    <w:p w:rsidR="00000000" w:rsidDel="00000000" w:rsidP="00000000" w:rsidRDefault="00000000" w:rsidRPr="00000000" w14:paraId="0000002F">
      <w:pPr>
        <w:ind w:left="-1080" w:right="-810" w:firstLine="0"/>
        <w:rPr/>
      </w:pPr>
      <w:r w:rsidDel="00000000" w:rsidR="00000000" w:rsidRPr="00000000">
        <w:rPr>
          <w:rtl w:val="0"/>
        </w:rPr>
        <w:t xml:space="preserve"> </w:t>
      </w:r>
    </w:p>
    <w:p w:rsidR="00000000" w:rsidDel="00000000" w:rsidP="00000000" w:rsidRDefault="00000000" w:rsidRPr="00000000" w14:paraId="00000030">
      <w:pPr>
        <w:ind w:left="-1080" w:right="-810" w:firstLine="0"/>
        <w:rPr/>
      </w:pPr>
      <w:r w:rsidDel="00000000" w:rsidR="00000000" w:rsidRPr="00000000">
        <w:rPr>
          <w:b w:val="1"/>
          <w:sz w:val="36"/>
          <w:szCs w:val="36"/>
          <w:rtl w:val="0"/>
        </w:rPr>
        <w:t xml:space="preserve">3. What steps to take </w:t>
      </w:r>
      <w:r w:rsidDel="00000000" w:rsidR="00000000" w:rsidRPr="00000000">
        <w:rPr>
          <w:rtl w:val="0"/>
        </w:rPr>
        <w:t xml:space="preserve"> </w:t>
      </w:r>
    </w:p>
    <w:p w:rsidR="00000000" w:rsidDel="00000000" w:rsidP="00000000" w:rsidRDefault="00000000" w:rsidRPr="00000000" w14:paraId="00000031">
      <w:pPr>
        <w:ind w:left="-1080" w:right="-810" w:firstLine="0"/>
        <w:rPr/>
      </w:pPr>
      <w:r w:rsidDel="00000000" w:rsidR="00000000" w:rsidRPr="00000000">
        <w:rPr>
          <w:color w:val="ff0000"/>
          <w:sz w:val="28"/>
          <w:szCs w:val="28"/>
          <w:rtl w:val="0"/>
        </w:rPr>
        <w:t xml:space="preserve">Data understanding</w:t>
      </w:r>
      <w:r w:rsidDel="00000000" w:rsidR="00000000" w:rsidRPr="00000000">
        <w:rPr>
          <w:rtl w:val="0"/>
        </w:rPr>
        <w:t xml:space="preserve"> - </w:t>
      </w:r>
    </w:p>
    <w:p w:rsidR="00000000" w:rsidDel="00000000" w:rsidP="00000000" w:rsidRDefault="00000000" w:rsidRPr="00000000" w14:paraId="00000032">
      <w:pPr>
        <w:ind w:left="-1080" w:right="-810" w:firstLine="0"/>
        <w:rPr/>
      </w:pPr>
      <w:r w:rsidDel="00000000" w:rsidR="00000000" w:rsidRPr="00000000">
        <w:rPr>
          <w:rtl w:val="0"/>
        </w:rPr>
        <w:t xml:space="preserve">Dimension: original/raw dimension, cleaned dimension</w:t>
      </w:r>
    </w:p>
    <w:p w:rsidR="00000000" w:rsidDel="00000000" w:rsidP="00000000" w:rsidRDefault="00000000" w:rsidRPr="00000000" w14:paraId="00000033">
      <w:pPr>
        <w:ind w:left="-1080" w:right="-810" w:firstLine="0"/>
        <w:rPr/>
      </w:pPr>
      <w:r w:rsidDel="00000000" w:rsidR="00000000" w:rsidRPr="00000000">
        <w:rPr>
          <w:rtl w:val="0"/>
        </w:rPr>
      </w:r>
    </w:p>
    <w:p w:rsidR="00000000" w:rsidDel="00000000" w:rsidP="00000000" w:rsidRDefault="00000000" w:rsidRPr="00000000" w14:paraId="00000034">
      <w:pPr>
        <w:ind w:left="-1080" w:right="-810" w:firstLine="0"/>
        <w:rPr/>
      </w:pPr>
      <w:r w:rsidDel="00000000" w:rsidR="00000000" w:rsidRPr="00000000">
        <w:rPr>
          <w:rtl w:val="0"/>
        </w:rPr>
        <w:t xml:space="preserve">Sample filtering: duplicated rows (summing up) &amp; and then remove all the zero rows</w:t>
      </w:r>
    </w:p>
    <w:p w:rsidR="00000000" w:rsidDel="00000000" w:rsidP="00000000" w:rsidRDefault="00000000" w:rsidRPr="00000000" w14:paraId="00000035">
      <w:pPr>
        <w:ind w:left="-1080" w:right="-810" w:firstLine="0"/>
        <w:rPr/>
      </w:pPr>
      <w:r w:rsidDel="00000000" w:rsidR="00000000" w:rsidRPr="00000000">
        <w:rPr>
          <w:rtl w:val="0"/>
        </w:rPr>
      </w:r>
    </w:p>
    <w:p w:rsidR="00000000" w:rsidDel="00000000" w:rsidP="00000000" w:rsidRDefault="00000000" w:rsidRPr="00000000" w14:paraId="00000036">
      <w:pPr>
        <w:ind w:left="-1080" w:right="-810" w:firstLine="0"/>
        <w:rPr/>
      </w:pPr>
      <w:r w:rsidDel="00000000" w:rsidR="00000000" w:rsidRPr="00000000">
        <w:rPr>
          <w:rtl w:val="0"/>
        </w:rPr>
        <w:t xml:space="preserve">data backgrounds</w:t>
      </w:r>
    </w:p>
    <w:p w:rsidR="00000000" w:rsidDel="00000000" w:rsidP="00000000" w:rsidRDefault="00000000" w:rsidRPr="00000000" w14:paraId="00000037">
      <w:pPr>
        <w:ind w:left="-1080" w:right="-810" w:firstLine="0"/>
        <w:rPr/>
      </w:pPr>
      <w:r w:rsidDel="00000000" w:rsidR="00000000" w:rsidRPr="00000000">
        <w:rPr>
          <w:rtl w:val="0"/>
        </w:rPr>
      </w:r>
    </w:p>
    <w:p w:rsidR="00000000" w:rsidDel="00000000" w:rsidP="00000000" w:rsidRDefault="00000000" w:rsidRPr="00000000" w14:paraId="00000038">
      <w:pPr>
        <w:ind w:left="-1080" w:right="-810" w:firstLine="0"/>
        <w:rPr/>
      </w:pPr>
      <w:r w:rsidDel="00000000" w:rsidR="00000000" w:rsidRPr="00000000">
        <w:rPr>
          <w:rtl w:val="0"/>
        </w:rPr>
        <w:t xml:space="preserve">Data correlations - with pearson, spearman, etc</w:t>
      </w:r>
    </w:p>
    <w:p w:rsidR="00000000" w:rsidDel="00000000" w:rsidP="00000000" w:rsidRDefault="00000000" w:rsidRPr="00000000" w14:paraId="00000039">
      <w:pPr>
        <w:ind w:left="-1080" w:right="-810" w:firstLine="0"/>
        <w:rPr/>
      </w:pPr>
      <w:r w:rsidDel="00000000" w:rsidR="00000000" w:rsidRPr="00000000">
        <w:rPr>
          <w:rtl w:val="0"/>
        </w:rPr>
      </w:r>
    </w:p>
    <w:p w:rsidR="00000000" w:rsidDel="00000000" w:rsidP="00000000" w:rsidRDefault="00000000" w:rsidRPr="00000000" w14:paraId="0000003A">
      <w:pPr>
        <w:ind w:left="-1080" w:right="-810" w:firstLine="0"/>
        <w:rPr/>
      </w:pPr>
      <w:r w:rsidDel="00000000" w:rsidR="00000000" w:rsidRPr="00000000">
        <w:rPr>
          <w:rtl w:val="0"/>
        </w:rPr>
        <w:t xml:space="preserve">Data/variable filtering: Low variance, Low abundance</w:t>
      </w:r>
    </w:p>
    <w:p w:rsidR="00000000" w:rsidDel="00000000" w:rsidP="00000000" w:rsidRDefault="00000000" w:rsidRPr="00000000" w14:paraId="0000003B">
      <w:pPr>
        <w:ind w:left="-1080" w:right="-810" w:firstLine="0"/>
        <w:rPr/>
      </w:pPr>
      <w:r w:rsidDel="00000000" w:rsidR="00000000" w:rsidRPr="00000000">
        <w:rPr>
          <w:rtl w:val="0"/>
        </w:rPr>
      </w:r>
    </w:p>
    <w:p w:rsidR="00000000" w:rsidDel="00000000" w:rsidP="00000000" w:rsidRDefault="00000000" w:rsidRPr="00000000" w14:paraId="0000003C">
      <w:pPr>
        <w:ind w:left="-1080" w:right="-810" w:firstLine="0"/>
        <w:rPr/>
      </w:pPr>
      <w:r w:rsidDel="00000000" w:rsidR="00000000" w:rsidRPr="00000000">
        <w:rPr>
          <w:color w:val="ff0000"/>
          <w:sz w:val="28"/>
          <w:szCs w:val="28"/>
          <w:rtl w:val="0"/>
        </w:rPr>
        <w:t xml:space="preserve">Data cleaning</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D">
      <w:pPr>
        <w:ind w:left="-1080" w:right="-810" w:firstLine="0"/>
        <w:rPr/>
      </w:pPr>
      <w:r w:rsidDel="00000000" w:rsidR="00000000" w:rsidRPr="00000000">
        <w:rPr>
          <w:rtl w:val="0"/>
        </w:rPr>
        <w:t xml:space="preserve">Merging datasets - Correct batch effect (</w:t>
      </w:r>
      <w:hyperlink r:id="rId6">
        <w:r w:rsidDel="00000000" w:rsidR="00000000" w:rsidRPr="00000000">
          <w:rPr>
            <w:color w:val="1155cc"/>
            <w:u w:val="single"/>
            <w:rtl w:val="0"/>
          </w:rPr>
          <w:t xml:space="preserve">https://academic.oup.com/biostatistics/article/17/1/29/1744261</w:t>
        </w:r>
      </w:hyperlink>
      <w:r w:rsidDel="00000000" w:rsidR="00000000" w:rsidRPr="00000000">
        <w:rPr>
          <w:rtl w:val="0"/>
        </w:rPr>
        <w:t xml:space="preserve">)</w:t>
      </w:r>
    </w:p>
    <w:p w:rsidR="00000000" w:rsidDel="00000000" w:rsidP="00000000" w:rsidRDefault="00000000" w:rsidRPr="00000000" w14:paraId="0000003E">
      <w:pPr>
        <w:ind w:left="-1080" w:right="-810" w:firstLine="0"/>
        <w:rPr/>
      </w:pPr>
      <w:r w:rsidDel="00000000" w:rsidR="00000000" w:rsidRPr="00000000">
        <w:rPr>
          <w:rtl w:val="0"/>
        </w:rPr>
      </w:r>
    </w:p>
    <w:p w:rsidR="00000000" w:rsidDel="00000000" w:rsidP="00000000" w:rsidRDefault="00000000" w:rsidRPr="00000000" w14:paraId="0000003F">
      <w:pPr>
        <w:ind w:left="-1080" w:right="-810" w:firstLine="0"/>
        <w:rPr/>
      </w:pPr>
      <w:r w:rsidDel="00000000" w:rsidR="00000000" w:rsidRPr="00000000">
        <w:rPr>
          <w:rtl w:val="0"/>
        </w:rPr>
      </w:r>
    </w:p>
    <w:p w:rsidR="00000000" w:rsidDel="00000000" w:rsidP="00000000" w:rsidRDefault="00000000" w:rsidRPr="00000000" w14:paraId="00000040">
      <w:pPr>
        <w:ind w:left="-1080" w:right="-810" w:firstLine="0"/>
        <w:rPr/>
      </w:pPr>
      <w:r w:rsidDel="00000000" w:rsidR="00000000" w:rsidRPr="00000000">
        <w:rPr>
          <w:color w:val="ff0000"/>
          <w:sz w:val="28"/>
          <w:szCs w:val="28"/>
          <w:rtl w:val="0"/>
        </w:rPr>
        <w:t xml:space="preserve">Visualize data</w:t>
      </w:r>
      <w:r w:rsidDel="00000000" w:rsidR="00000000" w:rsidRPr="00000000">
        <w:rPr>
          <w:rtl w:val="0"/>
        </w:rPr>
        <w:t xml:space="preserve"> - </w:t>
      </w:r>
    </w:p>
    <w:p w:rsidR="00000000" w:rsidDel="00000000" w:rsidP="00000000" w:rsidRDefault="00000000" w:rsidRPr="00000000" w14:paraId="00000041">
      <w:pPr>
        <w:ind w:left="-1080" w:right="-810" w:firstLine="0"/>
        <w:rPr/>
      </w:pPr>
      <w:r w:rsidDel="00000000" w:rsidR="00000000" w:rsidRPr="00000000">
        <w:rPr>
          <w:rtl w:val="0"/>
        </w:rPr>
        <w:t xml:space="preserve">quality check, </w:t>
      </w:r>
    </w:p>
    <w:p w:rsidR="00000000" w:rsidDel="00000000" w:rsidP="00000000" w:rsidRDefault="00000000" w:rsidRPr="00000000" w14:paraId="00000042">
      <w:pPr>
        <w:ind w:left="-1080" w:right="-810" w:firstLine="0"/>
        <w:rPr/>
      </w:pPr>
      <w:r w:rsidDel="00000000" w:rsidR="00000000" w:rsidRPr="00000000">
        <w:rPr>
          <w:rtl w:val="0"/>
        </w:rPr>
        <w:t xml:space="preserve">outlier detections: box-plots, histogram </w:t>
      </w:r>
    </w:p>
    <w:p w:rsidR="00000000" w:rsidDel="00000000" w:rsidP="00000000" w:rsidRDefault="00000000" w:rsidRPr="00000000" w14:paraId="00000043">
      <w:pPr>
        <w:ind w:left="-1080" w:right="-810" w:firstLine="0"/>
        <w:rPr/>
      </w:pPr>
      <w:r w:rsidDel="00000000" w:rsidR="00000000" w:rsidRPr="00000000">
        <w:rPr>
          <w:rtl w:val="0"/>
        </w:rPr>
        <w:t xml:space="preserve">central tendency: mean, median, mode, IQR</w:t>
      </w:r>
    </w:p>
    <w:p w:rsidR="00000000" w:rsidDel="00000000" w:rsidP="00000000" w:rsidRDefault="00000000" w:rsidRPr="00000000" w14:paraId="00000044">
      <w:pPr>
        <w:ind w:left="-1080" w:right="-810" w:firstLine="0"/>
        <w:rPr/>
      </w:pPr>
      <w:r w:rsidDel="00000000" w:rsidR="00000000" w:rsidRPr="00000000">
        <w:rPr>
          <w:rtl w:val="0"/>
        </w:rPr>
        <w:t xml:space="preserve">distributions of the datasets </w:t>
      </w:r>
    </w:p>
    <w:p w:rsidR="00000000" w:rsidDel="00000000" w:rsidP="00000000" w:rsidRDefault="00000000" w:rsidRPr="00000000" w14:paraId="00000045">
      <w:pPr>
        <w:ind w:left="-1080" w:right="-810" w:firstLine="0"/>
        <w:rPr/>
      </w:pPr>
      <w:r w:rsidDel="00000000" w:rsidR="00000000" w:rsidRPr="00000000">
        <w:rPr>
          <w:rtl w:val="0"/>
        </w:rPr>
      </w:r>
    </w:p>
    <w:p w:rsidR="00000000" w:rsidDel="00000000" w:rsidP="00000000" w:rsidRDefault="00000000" w:rsidRPr="00000000" w14:paraId="00000046">
      <w:pPr>
        <w:ind w:left="-1080" w:right="-810" w:firstLine="0"/>
        <w:rPr/>
      </w:pPr>
      <w:r w:rsidDel="00000000" w:rsidR="00000000" w:rsidRPr="00000000">
        <w:rPr>
          <w:color w:val="ff0000"/>
          <w:sz w:val="28"/>
          <w:szCs w:val="28"/>
          <w:rtl w:val="0"/>
        </w:rPr>
        <w:t xml:space="preserve">Data manipulation</w:t>
      </w:r>
      <w:r w:rsidDel="00000000" w:rsidR="00000000" w:rsidRPr="00000000">
        <w:rPr>
          <w:rtl w:val="0"/>
        </w:rPr>
        <w:t xml:space="preserve"> - </w:t>
      </w:r>
    </w:p>
    <w:p w:rsidR="00000000" w:rsidDel="00000000" w:rsidP="00000000" w:rsidRDefault="00000000" w:rsidRPr="00000000" w14:paraId="00000047">
      <w:pPr>
        <w:ind w:left="-1080" w:right="-810" w:firstLine="0"/>
        <w:rPr/>
      </w:pPr>
      <w:r w:rsidDel="00000000" w:rsidR="00000000" w:rsidRPr="00000000">
        <w:rPr>
          <w:rtl w:val="0"/>
        </w:rPr>
        <w:t xml:space="preserve">Normalizations: log transformation, auto-scaling, min-max scaling, etc) </w:t>
      </w:r>
    </w:p>
    <w:p w:rsidR="00000000" w:rsidDel="00000000" w:rsidP="00000000" w:rsidRDefault="00000000" w:rsidRPr="00000000" w14:paraId="00000048">
      <w:pPr>
        <w:ind w:left="-1080" w:right="-810" w:firstLine="0"/>
        <w:rPr/>
      </w:pPr>
      <w:r w:rsidDel="00000000" w:rsidR="00000000" w:rsidRPr="00000000">
        <w:rPr>
          <w:rtl w:val="0"/>
        </w:rPr>
      </w:r>
    </w:p>
    <w:p w:rsidR="00000000" w:rsidDel="00000000" w:rsidP="00000000" w:rsidRDefault="00000000" w:rsidRPr="00000000" w14:paraId="00000049">
      <w:pPr>
        <w:ind w:left="-1080" w:right="-810" w:firstLine="0"/>
        <w:rPr/>
      </w:pPr>
      <w:r w:rsidDel="00000000" w:rsidR="00000000" w:rsidRPr="00000000">
        <w:rPr>
          <w:color w:val="ff0000"/>
          <w:sz w:val="28"/>
          <w:szCs w:val="28"/>
          <w:rtl w:val="0"/>
        </w:rPr>
        <w:t xml:space="preserve">Data analysis</w:t>
      </w:r>
      <w:r w:rsidDel="00000000" w:rsidR="00000000" w:rsidRPr="00000000">
        <w:rPr>
          <w:color w:val="ff0000"/>
          <w:rtl w:val="0"/>
        </w:rPr>
        <w:t xml:space="preserve"> </w:t>
      </w:r>
      <w:r w:rsidDel="00000000" w:rsidR="00000000" w:rsidRPr="00000000">
        <w:rPr>
          <w:rtl w:val="0"/>
        </w:rPr>
        <w:t xml:space="preserve">- </w:t>
      </w:r>
    </w:p>
    <w:p w:rsidR="00000000" w:rsidDel="00000000" w:rsidP="00000000" w:rsidRDefault="00000000" w:rsidRPr="00000000" w14:paraId="0000004A">
      <w:pPr>
        <w:ind w:left="-1080" w:right="-810" w:firstLine="0"/>
        <w:rPr/>
      </w:pPr>
      <w:r w:rsidDel="00000000" w:rsidR="00000000" w:rsidRPr="00000000">
        <w:rPr>
          <w:rtl w:val="0"/>
        </w:rPr>
        <w:t xml:space="preserve">Heatmap</w:t>
      </w:r>
    </w:p>
    <w:p w:rsidR="00000000" w:rsidDel="00000000" w:rsidP="00000000" w:rsidRDefault="00000000" w:rsidRPr="00000000" w14:paraId="0000004B">
      <w:pPr>
        <w:ind w:left="-1080" w:right="-810" w:firstLine="0"/>
        <w:rPr/>
      </w:pPr>
      <w:r w:rsidDel="00000000" w:rsidR="00000000" w:rsidRPr="00000000">
        <w:rPr>
          <w:rtl w:val="0"/>
        </w:rPr>
      </w:r>
    </w:p>
    <w:p w:rsidR="00000000" w:rsidDel="00000000" w:rsidP="00000000" w:rsidRDefault="00000000" w:rsidRPr="00000000" w14:paraId="0000004C">
      <w:pPr>
        <w:ind w:left="-1080" w:right="-810" w:firstLine="0"/>
        <w:rPr/>
      </w:pPr>
      <w:r w:rsidDel="00000000" w:rsidR="00000000" w:rsidRPr="00000000">
        <w:rPr>
          <w:rFonts w:ascii="Arial Unicode MS" w:cs="Arial Unicode MS" w:eastAsia="Arial Unicode MS" w:hAnsi="Arial Unicode MS"/>
          <w:rtl w:val="0"/>
        </w:rPr>
        <w:t xml:space="preserve">ANOVA (F-test → maybe we can do analysis based on groups of chemicals or dosage), </w:t>
      </w:r>
    </w:p>
    <w:p w:rsidR="00000000" w:rsidDel="00000000" w:rsidP="00000000" w:rsidRDefault="00000000" w:rsidRPr="00000000" w14:paraId="0000004D">
      <w:pPr>
        <w:ind w:left="-1080" w:right="-810" w:firstLine="0"/>
        <w:rPr/>
      </w:pPr>
      <w:r w:rsidDel="00000000" w:rsidR="00000000" w:rsidRPr="00000000">
        <w:rPr>
          <w:rtl w:val="0"/>
        </w:rPr>
      </w:r>
    </w:p>
    <w:p w:rsidR="00000000" w:rsidDel="00000000" w:rsidP="00000000" w:rsidRDefault="00000000" w:rsidRPr="00000000" w14:paraId="0000004E">
      <w:pPr>
        <w:ind w:left="-1080" w:right="-810" w:firstLine="0"/>
        <w:rPr/>
      </w:pPr>
      <w:r w:rsidDel="00000000" w:rsidR="00000000" w:rsidRPr="00000000">
        <w:rPr>
          <w:rtl w:val="0"/>
        </w:rPr>
        <w:t xml:space="preserve">Testings: parametric and non-parametric testings - permutations, multiple testing corrections (bonferroni, FDR, etc)</w:t>
      </w:r>
    </w:p>
    <w:p w:rsidR="00000000" w:rsidDel="00000000" w:rsidP="00000000" w:rsidRDefault="00000000" w:rsidRPr="00000000" w14:paraId="0000004F">
      <w:pPr>
        <w:ind w:left="-1080" w:right="-810" w:firstLine="0"/>
        <w:rPr/>
      </w:pPr>
      <w:r w:rsidDel="00000000" w:rsidR="00000000" w:rsidRPr="00000000">
        <w:rPr>
          <w:rtl w:val="0"/>
        </w:rPr>
      </w:r>
    </w:p>
    <w:p w:rsidR="00000000" w:rsidDel="00000000" w:rsidP="00000000" w:rsidRDefault="00000000" w:rsidRPr="00000000" w14:paraId="00000050">
      <w:pPr>
        <w:numPr>
          <w:ilvl w:val="0"/>
          <w:numId w:val="1"/>
        </w:numPr>
        <w:ind w:left="720" w:right="-810" w:hanging="360"/>
        <w:rPr>
          <w:b w:val="1"/>
        </w:rPr>
      </w:pPr>
      <w:r w:rsidDel="00000000" w:rsidR="00000000" w:rsidRPr="00000000">
        <w:rPr>
          <w:b w:val="1"/>
          <w:rtl w:val="0"/>
        </w:rPr>
        <w:t xml:space="preserve">Unsupervised</w:t>
      </w:r>
    </w:p>
    <w:p w:rsidR="00000000" w:rsidDel="00000000" w:rsidP="00000000" w:rsidRDefault="00000000" w:rsidRPr="00000000" w14:paraId="00000051">
      <w:pPr>
        <w:ind w:left="-1080" w:right="-810" w:firstLine="0"/>
        <w:rPr/>
      </w:pPr>
      <w:r w:rsidDel="00000000" w:rsidR="00000000" w:rsidRPr="00000000">
        <w:rPr>
          <w:rtl w:val="0"/>
        </w:rPr>
        <w:t xml:space="preserve">PCA (maybe try other dimension reduction methods and compare with PCA): scree-plots, loading plots, PC plots, quality of individual representation, contribution of individual to PCs, correlation circle, </w:t>
      </w:r>
    </w:p>
    <w:p w:rsidR="00000000" w:rsidDel="00000000" w:rsidP="00000000" w:rsidRDefault="00000000" w:rsidRPr="00000000" w14:paraId="00000052">
      <w:pPr>
        <w:ind w:left="-1080" w:right="-810" w:firstLine="0"/>
        <w:rPr/>
      </w:pPr>
      <w:r w:rsidDel="00000000" w:rsidR="00000000" w:rsidRPr="00000000">
        <w:rPr>
          <w:rtl w:val="0"/>
        </w:rPr>
      </w:r>
    </w:p>
    <w:p w:rsidR="00000000" w:rsidDel="00000000" w:rsidP="00000000" w:rsidRDefault="00000000" w:rsidRPr="00000000" w14:paraId="00000053">
      <w:pPr>
        <w:ind w:left="-1080" w:right="-810" w:firstLine="0"/>
        <w:rPr/>
      </w:pPr>
      <w:r w:rsidDel="00000000" w:rsidR="00000000" w:rsidRPr="00000000">
        <w:rPr>
          <w:rtl w:val="0"/>
        </w:rPr>
        <w:t xml:space="preserve">Clustering - 1. Distance: single, complete, average group    2. Clustering methods: hierarchical, k-means, model-based (maybe decision tree later?)</w:t>
      </w:r>
    </w:p>
    <w:p w:rsidR="00000000" w:rsidDel="00000000" w:rsidP="00000000" w:rsidRDefault="00000000" w:rsidRPr="00000000" w14:paraId="00000054">
      <w:pPr>
        <w:ind w:left="-1080" w:right="-810" w:firstLine="0"/>
        <w:rPr/>
      </w:pPr>
      <w:r w:rsidDel="00000000" w:rsidR="00000000" w:rsidRPr="00000000">
        <w:rPr>
          <w:rtl w:val="0"/>
        </w:rPr>
      </w:r>
    </w:p>
    <w:p w:rsidR="00000000" w:rsidDel="00000000" w:rsidP="00000000" w:rsidRDefault="00000000" w:rsidRPr="00000000" w14:paraId="00000055">
      <w:pPr>
        <w:numPr>
          <w:ilvl w:val="0"/>
          <w:numId w:val="1"/>
        </w:numPr>
        <w:ind w:left="720" w:right="-810" w:hanging="360"/>
        <w:rPr>
          <w:b w:val="1"/>
        </w:rPr>
      </w:pPr>
      <w:r w:rsidDel="00000000" w:rsidR="00000000" w:rsidRPr="00000000">
        <w:rPr>
          <w:b w:val="1"/>
          <w:rtl w:val="0"/>
        </w:rPr>
        <w:t xml:space="preserve">Supervised</w:t>
      </w:r>
    </w:p>
    <w:p w:rsidR="00000000" w:rsidDel="00000000" w:rsidP="00000000" w:rsidRDefault="00000000" w:rsidRPr="00000000" w14:paraId="00000056">
      <w:pPr>
        <w:ind w:left="-1080" w:right="-810" w:firstLine="0"/>
        <w:rPr/>
      </w:pPr>
      <w:r w:rsidDel="00000000" w:rsidR="00000000" w:rsidRPr="00000000">
        <w:rPr>
          <w:rtl w:val="0"/>
        </w:rPr>
        <w:t xml:space="preserve">*CV with MSE or RMSE</w:t>
      </w:r>
    </w:p>
    <w:p w:rsidR="00000000" w:rsidDel="00000000" w:rsidP="00000000" w:rsidRDefault="00000000" w:rsidRPr="00000000" w14:paraId="00000057">
      <w:pPr>
        <w:ind w:left="-1080" w:right="-810" w:firstLine="0"/>
        <w:rPr/>
      </w:pPr>
      <w:r w:rsidDel="00000000" w:rsidR="00000000" w:rsidRPr="00000000">
        <w:rPr>
          <w:rtl w:val="0"/>
        </w:rPr>
      </w:r>
    </w:p>
    <w:p w:rsidR="00000000" w:rsidDel="00000000" w:rsidP="00000000" w:rsidRDefault="00000000" w:rsidRPr="00000000" w14:paraId="00000058">
      <w:pPr>
        <w:ind w:left="-1080" w:right="-810" w:firstLine="0"/>
        <w:rPr/>
      </w:pPr>
      <w:r w:rsidDel="00000000" w:rsidR="00000000" w:rsidRPr="00000000">
        <w:rPr>
          <w:rtl w:val="0"/>
        </w:rPr>
        <w:t xml:space="preserve">Regression - PCR, PLS regression, linear,</w:t>
      </w:r>
    </w:p>
    <w:p w:rsidR="00000000" w:rsidDel="00000000" w:rsidP="00000000" w:rsidRDefault="00000000" w:rsidRPr="00000000" w14:paraId="00000059">
      <w:pPr>
        <w:ind w:left="-1080" w:right="-810" w:firstLine="0"/>
        <w:rPr/>
      </w:pPr>
      <w:r w:rsidDel="00000000" w:rsidR="00000000" w:rsidRPr="00000000">
        <w:rPr>
          <w:rtl w:val="0"/>
        </w:rPr>
      </w:r>
    </w:p>
    <w:p w:rsidR="00000000" w:rsidDel="00000000" w:rsidP="00000000" w:rsidRDefault="00000000" w:rsidRPr="00000000" w14:paraId="0000005A">
      <w:pPr>
        <w:ind w:left="-1080" w:right="-810" w:firstLine="0"/>
        <w:rPr/>
      </w:pPr>
      <w:r w:rsidDel="00000000" w:rsidR="00000000" w:rsidRPr="00000000">
        <w:rPr>
          <w:rtl w:val="0"/>
        </w:rPr>
        <w:t xml:space="preserve">Classification - PLS, model performance (AUC, ROC), KNN</w:t>
      </w:r>
    </w:p>
    <w:p w:rsidR="00000000" w:rsidDel="00000000" w:rsidP="00000000" w:rsidRDefault="00000000" w:rsidRPr="00000000" w14:paraId="0000005B">
      <w:pPr>
        <w:ind w:right="-810"/>
        <w:rPr/>
      </w:pPr>
      <w:r w:rsidDel="00000000" w:rsidR="00000000" w:rsidRPr="00000000">
        <w:rPr>
          <w:rtl w:val="0"/>
        </w:rPr>
      </w:r>
    </w:p>
    <w:p w:rsidR="00000000" w:rsidDel="00000000" w:rsidP="00000000" w:rsidRDefault="00000000" w:rsidRPr="00000000" w14:paraId="0000005C">
      <w:pPr>
        <w:ind w:left="-1080" w:right="-810" w:firstLine="0"/>
        <w:rPr/>
      </w:pPr>
      <w:r w:rsidDel="00000000" w:rsidR="00000000" w:rsidRPr="00000000">
        <w:rPr>
          <w:rtl w:val="0"/>
        </w:rPr>
      </w:r>
    </w:p>
    <w:p w:rsidR="00000000" w:rsidDel="00000000" w:rsidP="00000000" w:rsidRDefault="00000000" w:rsidRPr="00000000" w14:paraId="0000005D">
      <w:pPr>
        <w:ind w:left="-1080" w:right="-810" w:firstLine="0"/>
        <w:rPr/>
      </w:pPr>
      <w:r w:rsidDel="00000000" w:rsidR="00000000" w:rsidRPr="00000000">
        <w:rPr>
          <w:rtl w:val="0"/>
        </w:rPr>
      </w:r>
    </w:p>
    <w:p w:rsidR="00000000" w:rsidDel="00000000" w:rsidP="00000000" w:rsidRDefault="00000000" w:rsidRPr="00000000" w14:paraId="0000005E">
      <w:pPr>
        <w:ind w:left="-1080" w:right="-810" w:firstLine="0"/>
        <w:rPr>
          <w:color w:val="ff0000"/>
        </w:rPr>
      </w:pPr>
      <w:r w:rsidDel="00000000" w:rsidR="00000000" w:rsidRPr="00000000">
        <w:rPr>
          <w:color w:val="ff0000"/>
          <w:rtl w:val="0"/>
        </w:rPr>
        <w:t xml:space="preserve">Data output</w:t>
      </w:r>
    </w:p>
    <w:p w:rsidR="00000000" w:rsidDel="00000000" w:rsidP="00000000" w:rsidRDefault="00000000" w:rsidRPr="00000000" w14:paraId="0000005F">
      <w:pPr>
        <w:ind w:left="-1080" w:right="-810" w:firstLine="0"/>
        <w:rPr/>
      </w:pPr>
      <w:r w:rsidDel="00000000" w:rsidR="00000000" w:rsidRPr="00000000">
        <w:rPr>
          <w:rtl w:val="0"/>
        </w:rPr>
      </w:r>
    </w:p>
    <w:p w:rsidR="00000000" w:rsidDel="00000000" w:rsidP="00000000" w:rsidRDefault="00000000" w:rsidRPr="00000000" w14:paraId="00000060">
      <w:pPr>
        <w:ind w:left="-1080" w:right="-810" w:firstLine="0"/>
        <w:rPr>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ademic.oup.com/biostatistics/article/17/1/29/1744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