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1449C" w14:textId="77777777" w:rsidR="00D50F6A" w:rsidRDefault="0019201F">
      <w:pPr>
        <w:spacing w:line="360" w:lineRule="auto"/>
        <w:ind w:right="5"/>
        <w:jc w:val="center"/>
        <w:rPr>
          <w:b/>
        </w:rPr>
      </w:pPr>
      <w:r>
        <w:rPr>
          <w:rFonts w:ascii="Arial Unicode MS" w:eastAsia="Arial Unicode MS" w:hAnsi="Arial Unicode MS" w:cs="Arial Unicode MS"/>
          <w:b/>
          <w:sz w:val="32"/>
          <w:szCs w:val="32"/>
        </w:rPr>
        <w:t>The effects of 17⍺-ethinylestradiol on hepatic transcriptome of early-life stage and adult Japanese quail</w:t>
      </w:r>
    </w:p>
    <w:p w14:paraId="672209C8" w14:textId="77777777" w:rsidR="00D50F6A" w:rsidRDefault="0019201F">
      <w:pPr>
        <w:spacing w:before="100" w:line="360" w:lineRule="auto"/>
        <w:jc w:val="right"/>
        <w:rPr>
          <w:b/>
        </w:rPr>
      </w:pPr>
      <w:r>
        <w:rPr>
          <w:b/>
        </w:rPr>
        <w:t>Yeon Seon Jeon, Jin Kweon, Qian Li, Janice Ou</w:t>
      </w:r>
    </w:p>
    <w:p w14:paraId="1FDE3A44" w14:textId="77777777" w:rsidR="00D50F6A" w:rsidRDefault="0019201F">
      <w:pPr>
        <w:spacing w:before="200" w:after="60" w:line="360" w:lineRule="auto"/>
        <w:rPr>
          <w:highlight w:val="white"/>
        </w:rPr>
      </w:pPr>
      <w:r>
        <w:rPr>
          <w:b/>
          <w:sz w:val="28"/>
          <w:szCs w:val="28"/>
        </w:rPr>
        <w:t>Introduction</w:t>
      </w:r>
    </w:p>
    <w:p w14:paraId="2B6DF8CE" w14:textId="77777777" w:rsidR="00D50F6A" w:rsidRDefault="0019201F">
      <w:pPr>
        <w:spacing w:line="360" w:lineRule="auto"/>
      </w:pPr>
      <w:r>
        <w:rPr>
          <w:rFonts w:ascii="Arial Unicode MS" w:eastAsia="Arial Unicode MS" w:hAnsi="Arial Unicode MS" w:cs="Arial Unicode MS"/>
        </w:rPr>
        <w:t>17⍺-ethinylestradiol (EE2) is an endocrine disruptor widely found in the environment.</w:t>
      </w:r>
      <w:r>
        <w:t xml:space="preserve"> EE2 is known to cause feminization in fish</w:t>
      </w:r>
      <w:r>
        <w:rPr>
          <w:vertAlign w:val="superscript"/>
        </w:rPr>
        <w:t>[1-4]</w:t>
      </w:r>
      <w:r>
        <w:t xml:space="preserve"> and reproductive organ abnormalities in embryonic Japanese quail (JQ)</w:t>
      </w:r>
      <w:r>
        <w:rPr>
          <w:vertAlign w:val="superscript"/>
        </w:rPr>
        <w:t>[5]</w:t>
      </w:r>
      <w:r>
        <w:t>. JQ has been used frequently as a research model in toxicity studies</w:t>
      </w:r>
      <w:r>
        <w:rPr>
          <w:vertAlign w:val="superscript"/>
        </w:rPr>
        <w:t>[6]</w:t>
      </w:r>
      <w:r>
        <w:t>. However, there is only one standardized toxicity test protoco</w:t>
      </w:r>
      <w:r>
        <w:t>l for adult and none for early life stage (ELS) JQ. In the case of other species, researchers have used ELS under the premise that it is the most susceptible stage to toxicants</w:t>
      </w:r>
      <w:r>
        <w:rPr>
          <w:vertAlign w:val="superscript"/>
        </w:rPr>
        <w:t>[7]</w:t>
      </w:r>
      <w:r>
        <w:t>. Currently, there is little research on the gene expression alterations on J</w:t>
      </w:r>
      <w:r>
        <w:t>Q, either ELS or adult, upon the exposure to EE2. Moreover, avian RNA sequencing data has not been produced and analyzed in perspective of ecotoxicology</w:t>
      </w:r>
      <w:r>
        <w:rPr>
          <w:vertAlign w:val="superscript"/>
        </w:rPr>
        <w:t>[8]</w:t>
      </w:r>
      <w:r>
        <w:t xml:space="preserve"> though it has huge potential to be applied for predictive toxicology</w:t>
      </w:r>
      <w:r>
        <w:rPr>
          <w:vertAlign w:val="superscript"/>
        </w:rPr>
        <w:t>[9]</w:t>
      </w:r>
      <w:r>
        <w:t>.</w:t>
      </w:r>
    </w:p>
    <w:p w14:paraId="34EEAFDB" w14:textId="77777777" w:rsidR="00D50F6A" w:rsidRDefault="0019201F">
      <w:pPr>
        <w:spacing w:before="200" w:after="60" w:line="360" w:lineRule="auto"/>
      </w:pPr>
      <w:r>
        <w:rPr>
          <w:b/>
          <w:sz w:val="28"/>
          <w:szCs w:val="28"/>
        </w:rPr>
        <w:t>Purposes &amp; Expected Outcome</w:t>
      </w:r>
      <w:r>
        <w:rPr>
          <w:b/>
          <w:sz w:val="28"/>
          <w:szCs w:val="28"/>
        </w:rPr>
        <w:t>s</w:t>
      </w:r>
    </w:p>
    <w:p w14:paraId="43DD472A" w14:textId="77777777" w:rsidR="00D50F6A" w:rsidRDefault="0019201F">
      <w:pPr>
        <w:spacing w:line="360" w:lineRule="auto"/>
      </w:pPr>
      <w:r>
        <w:t>In our study, we aim to determine the transcriptomic responses of ELS and adult JQ to EE2 by analyzing the first RNA sequencing data in avian ecotoxicology. Acc</w:t>
      </w:r>
      <w:r>
        <w:rPr>
          <w:highlight w:val="white"/>
        </w:rPr>
        <w:t>ording to the previous studies</w:t>
      </w:r>
      <w:r>
        <w:rPr>
          <w:highlight w:val="white"/>
          <w:vertAlign w:val="superscript"/>
        </w:rPr>
        <w:t>[5,10-11]</w:t>
      </w:r>
      <w:r>
        <w:rPr>
          <w:highlight w:val="white"/>
        </w:rPr>
        <w:t xml:space="preserve">, we expect that genes such as </w:t>
      </w:r>
      <w:r>
        <w:t>apoVLDL, and the ones re</w:t>
      </w:r>
      <w:r>
        <w:t>sponsible for sex organ development and sexual behaviors will be detected as DEGs in both adult and ELS JQs. Furthermore, based on the comparison of ELS and adult life stages’ sensitivity to toxic chemicals in fishes and invertebrates</w:t>
      </w:r>
      <w:r>
        <w:rPr>
          <w:vertAlign w:val="superscript"/>
        </w:rPr>
        <w:t>[7]</w:t>
      </w:r>
      <w:r>
        <w:t>, we hypothesize th</w:t>
      </w:r>
      <w:r>
        <w:t>at comparing to adult, ELS JQ would be more susceptible to EE2 than adult, specifically ELS would have more DEGs and dysregulated pathways, and would show higher fold changes and more hits per enriched pathway as a sign for higher susceptibility to EE2.</w:t>
      </w:r>
    </w:p>
    <w:p w14:paraId="1AFFF199" w14:textId="77777777" w:rsidR="00D50F6A" w:rsidRDefault="0019201F">
      <w:pPr>
        <w:spacing w:before="200" w:after="60" w:line="360" w:lineRule="auto"/>
        <w:rPr>
          <w:b/>
          <w:sz w:val="28"/>
          <w:szCs w:val="28"/>
        </w:rPr>
      </w:pPr>
      <w:r>
        <w:rPr>
          <w:b/>
          <w:sz w:val="28"/>
          <w:szCs w:val="28"/>
        </w:rPr>
        <w:t>Ex</w:t>
      </w:r>
      <w:r>
        <w:rPr>
          <w:b/>
          <w:sz w:val="28"/>
          <w:szCs w:val="28"/>
        </w:rPr>
        <w:t>perimental Design &amp; Data Collection</w:t>
      </w:r>
    </w:p>
    <w:p w14:paraId="67E43E2A" w14:textId="77777777" w:rsidR="00D50F6A" w:rsidRDefault="0019201F">
      <w:pPr>
        <w:spacing w:line="360" w:lineRule="auto"/>
      </w:pPr>
      <w:r>
        <w:t>In this study, we take advantages of RNA sequencing data produced via EcoToxChip project</w:t>
      </w:r>
      <w:r>
        <w:rPr>
          <w:vertAlign w:val="superscript"/>
        </w:rPr>
        <w:t>[12]</w:t>
      </w:r>
      <w:r>
        <w:t>. RNAs were isolated from left-lobe livers of total 30 individuals (= 2 life stages X 3 dose groups X 5 replicates) and reverse-</w:t>
      </w:r>
      <w:r>
        <w:t xml:space="preserve">transcribed to cDNAs. </w:t>
      </w:r>
      <w:r>
        <w:rPr>
          <w:color w:val="1A1A1A"/>
          <w:highlight w:val="white"/>
        </w:rPr>
        <w:t xml:space="preserve">ELS and adult JQ cDNAs were sequenced by Illumina HiSeq 4000 PE100 and </w:t>
      </w:r>
      <w:r>
        <w:rPr>
          <w:color w:val="1A1A1A"/>
        </w:rPr>
        <w:t xml:space="preserve">Illumina NovaSeq 6000 S4 PE100, respectively. </w:t>
      </w:r>
      <w:r>
        <w:t xml:space="preserve">The </w:t>
      </w:r>
      <w:r>
        <w:lastRenderedPageBreak/>
        <w:t>abundance of transcripts was quantified on Galaxy using Kallisto workflow. Details of exposure experiments for em</w:t>
      </w:r>
      <w:r>
        <w:t>bryonic and adult JQs are described below.</w:t>
      </w:r>
    </w:p>
    <w:p w14:paraId="3A31CB51" w14:textId="77777777" w:rsidR="00D50F6A" w:rsidRDefault="0019201F">
      <w:pPr>
        <w:spacing w:line="360" w:lineRule="auto"/>
      </w:pPr>
      <w:r>
        <w:rPr>
          <w:b/>
          <w:u w:val="single"/>
        </w:rPr>
        <w:t>ELS:</w:t>
      </w:r>
      <w:r>
        <w:rPr>
          <w:b/>
        </w:rPr>
        <w:t xml:space="preserve"> </w:t>
      </w:r>
      <w:r>
        <w:t xml:space="preserve">EE2 was dissolved in dimethyl sulfoxide (DMSO) to be 50 mg/mL and the dosing solution was injected into the air cell of JQ eggs at two concentrations (High: 33.3 µg/g/egg; Medium: 3.33 µg/g egg). The control </w:t>
      </w:r>
      <w:r>
        <w:t>group was similarly injected with dimethyl sulfoxide (DMSO). Eggs were incubated for 9 days</w:t>
      </w:r>
      <w:r>
        <w:rPr>
          <w:color w:val="9900FF"/>
        </w:rPr>
        <w:t xml:space="preserve">. </w:t>
      </w:r>
    </w:p>
    <w:p w14:paraId="2351B825" w14:textId="77777777" w:rsidR="00D50F6A" w:rsidRDefault="0019201F">
      <w:pPr>
        <w:spacing w:line="360" w:lineRule="auto"/>
        <w:rPr>
          <w:color w:val="9900FF"/>
        </w:rPr>
      </w:pPr>
      <w:r>
        <w:rPr>
          <w:b/>
          <w:u w:val="single"/>
        </w:rPr>
        <w:t>Adult stage:</w:t>
      </w:r>
      <w:r>
        <w:rPr>
          <w:b/>
        </w:rPr>
        <w:t xml:space="preserve"> </w:t>
      </w:r>
      <w:r>
        <w:t>Following US EPA guideline OCSPP 850.2100, Six- to ten-week old adult JQs were dosed with EE2 (High: 5 mg/kg; Medium: 0.5 mg/kg) and sampled 4 days a</w:t>
      </w:r>
      <w:r>
        <w:t>fter dosing.</w:t>
      </w:r>
    </w:p>
    <w:p w14:paraId="1112357E" w14:textId="77777777" w:rsidR="00D50F6A" w:rsidRDefault="0019201F">
      <w:pPr>
        <w:spacing w:before="200" w:after="60" w:line="360" w:lineRule="auto"/>
        <w:rPr>
          <w:b/>
          <w:sz w:val="28"/>
          <w:szCs w:val="28"/>
        </w:rPr>
      </w:pPr>
      <w:r>
        <w:rPr>
          <w:b/>
          <w:sz w:val="28"/>
          <w:szCs w:val="28"/>
        </w:rPr>
        <w:t>Data Analysis Approaches</w:t>
      </w:r>
    </w:p>
    <w:p w14:paraId="029AD248" w14:textId="77777777" w:rsidR="00D50F6A" w:rsidRDefault="0019201F">
      <w:pPr>
        <w:spacing w:line="360" w:lineRule="auto"/>
      </w:pPr>
      <w:r>
        <w:rPr>
          <w:highlight w:val="white"/>
        </w:rPr>
        <w:t>T</w:t>
      </w:r>
      <w:r>
        <w:t>he gene expression values with the same gene names will be summed up for each sample. Then, genes with low abundance and low variance will be filtered out. Secondly, seven different normalizations including auto-scali</w:t>
      </w:r>
      <w:r>
        <w:t xml:space="preserve">ng, trimmed mean of M-values normalization and generalized log transformation will be attempted. After confirming there is no missing value, we will examine the normalization results with box plot, density plot, histogram, heatmap, mean-standard deviation </w:t>
      </w:r>
      <w:r>
        <w:t>plot, some tables of statistical values (dimensions, mean, median, mode, IQR, etc), scatter plot, standard deviation plot, ‘mean - median’ plot, kurtosis plot, skewness plot and quantile-quantile plot.</w:t>
      </w:r>
    </w:p>
    <w:p w14:paraId="0881CDC8" w14:textId="77777777" w:rsidR="00D50F6A" w:rsidRDefault="0019201F">
      <w:pPr>
        <w:spacing w:line="360" w:lineRule="auto"/>
      </w:pPr>
      <w:r>
        <w:t>Differential expression analysis will be conducted usi</w:t>
      </w:r>
      <w:r>
        <w:t>ng edgeR package. Calculated parameters (logFC, logCPM, LR, p-value, and adjusted p-value) will be used to draw MA plots, volcano plots and heatmaps. Fold change and adjusted p-value will be used to select DEGs. Dysregulated pathways will be identified for</w:t>
      </w:r>
      <w:r>
        <w:t xml:space="preserve"> each life stage using overrepresentation analysis embedded in ‘Networkanalyst.ca.’ Correlation test will be conducted on the parameters of common DEGs between ELS and adult. T-test and Mann-Whitney U-test (with multiple testing corrections) will be conduc</w:t>
      </w:r>
      <w:r>
        <w:t>ted to identify the differences between ELS and adult (both sample and feature-wise).</w:t>
      </w:r>
    </w:p>
    <w:p w14:paraId="76C018EB" w14:textId="77777777" w:rsidR="00D50F6A" w:rsidRDefault="0019201F">
      <w:pPr>
        <w:spacing w:line="360" w:lineRule="auto"/>
      </w:pPr>
      <w:r>
        <w:t xml:space="preserve">For unsupervised machine learnings, both (sI)PCA and clustering algorithms are applied to further investigate EE2 effects on both ELS’ and adults’ datasets. Hierarchical clustering, K-means clustering and model-based clustering with different linkages are </w:t>
      </w:r>
      <w:r>
        <w:t>going to be attempted.</w:t>
      </w:r>
      <w:r>
        <w:br w:type="page"/>
      </w:r>
    </w:p>
    <w:p w14:paraId="4288E719" w14:textId="77777777" w:rsidR="00D50F6A" w:rsidRDefault="0019201F">
      <w:pPr>
        <w:spacing w:before="200" w:after="60" w:line="360" w:lineRule="auto"/>
      </w:pPr>
      <w:r>
        <w:rPr>
          <w:b/>
          <w:sz w:val="28"/>
          <w:szCs w:val="28"/>
        </w:rPr>
        <w:lastRenderedPageBreak/>
        <w:t>References</w:t>
      </w:r>
    </w:p>
    <w:p w14:paraId="19167ED4" w14:textId="77777777" w:rsidR="00D50F6A" w:rsidRDefault="0019201F">
      <w:pPr>
        <w:numPr>
          <w:ilvl w:val="0"/>
          <w:numId w:val="1"/>
        </w:numPr>
        <w:spacing w:before="240" w:line="360" w:lineRule="auto"/>
        <w:jc w:val="both"/>
        <w:rPr>
          <w:color w:val="222222"/>
        </w:rPr>
      </w:pPr>
      <w:r>
        <w:rPr>
          <w:color w:val="222222"/>
          <w:highlight w:val="white"/>
        </w:rPr>
        <w:t>Chen, Y., Li, M., Yuan, L., Xie, Y., Li, B., Xu, W., …, and Wang, R. (2017). Growth, blood health, antioxidant status and immune response in juvenile yellow catfish Pelteobagrus fulvidraco exposed to α-ethinylestradiol (E</w:t>
      </w:r>
      <w:r>
        <w:rPr>
          <w:color w:val="222222"/>
          <w:highlight w:val="white"/>
        </w:rPr>
        <w:t xml:space="preserve">E2). </w:t>
      </w:r>
      <w:r>
        <w:rPr>
          <w:i/>
          <w:color w:val="222222"/>
        </w:rPr>
        <w:t>Fish &amp; shellfish immunology</w:t>
      </w:r>
      <w:r>
        <w:rPr>
          <w:color w:val="222222"/>
          <w:highlight w:val="white"/>
        </w:rPr>
        <w:t xml:space="preserve">, </w:t>
      </w:r>
      <w:r>
        <w:rPr>
          <w:i/>
          <w:color w:val="222222"/>
        </w:rPr>
        <w:t>69</w:t>
      </w:r>
      <w:r>
        <w:rPr>
          <w:color w:val="222222"/>
          <w:highlight w:val="white"/>
        </w:rPr>
        <w:t>, 1-5.</w:t>
      </w:r>
    </w:p>
    <w:p w14:paraId="0F0C4F34" w14:textId="77777777" w:rsidR="00D50F6A" w:rsidRDefault="0019201F">
      <w:pPr>
        <w:numPr>
          <w:ilvl w:val="0"/>
          <w:numId w:val="1"/>
        </w:numPr>
        <w:spacing w:line="360" w:lineRule="auto"/>
        <w:jc w:val="both"/>
        <w:rPr>
          <w:color w:val="222222"/>
          <w:highlight w:val="white"/>
        </w:rPr>
      </w:pPr>
      <w:r>
        <w:rPr>
          <w:color w:val="222222"/>
          <w:highlight w:val="white"/>
        </w:rPr>
        <w:t xml:space="preserve">Jobling, S., Nolan, M., Tyler, C. R., Brighty, G., and Sumpter, J. P. (1998). Widespread sexual disruption in wild fish. </w:t>
      </w:r>
      <w:r>
        <w:rPr>
          <w:i/>
          <w:color w:val="222222"/>
        </w:rPr>
        <w:t>Environmental science &amp; technology</w:t>
      </w:r>
      <w:r>
        <w:rPr>
          <w:color w:val="222222"/>
          <w:highlight w:val="white"/>
        </w:rPr>
        <w:t xml:space="preserve">, </w:t>
      </w:r>
      <w:r>
        <w:rPr>
          <w:i/>
          <w:color w:val="222222"/>
        </w:rPr>
        <w:t>32</w:t>
      </w:r>
      <w:r>
        <w:rPr>
          <w:color w:val="222222"/>
          <w:highlight w:val="white"/>
        </w:rPr>
        <w:t>(17), 2498-2506.</w:t>
      </w:r>
    </w:p>
    <w:p w14:paraId="66473C9B" w14:textId="77777777" w:rsidR="00D50F6A" w:rsidRDefault="0019201F">
      <w:pPr>
        <w:numPr>
          <w:ilvl w:val="0"/>
          <w:numId w:val="1"/>
        </w:numPr>
        <w:spacing w:line="360" w:lineRule="auto"/>
        <w:jc w:val="both"/>
        <w:rPr>
          <w:color w:val="222222"/>
          <w:highlight w:val="white"/>
        </w:rPr>
      </w:pPr>
      <w:r>
        <w:rPr>
          <w:color w:val="333333"/>
          <w:highlight w:val="white"/>
        </w:rPr>
        <w:t>Kidd, K. A., Blanchfield, P. J., Mill</w:t>
      </w:r>
      <w:r>
        <w:rPr>
          <w:color w:val="333333"/>
          <w:highlight w:val="white"/>
        </w:rPr>
        <w:t xml:space="preserve">s, K. H., Palace, V. P., Evans, R. E., Lazorchak, J. M., &amp; Flick, R. W. (2007). Collapse of a fish population after exposure to a synthetic estrogen. </w:t>
      </w:r>
      <w:r>
        <w:rPr>
          <w:i/>
          <w:color w:val="333333"/>
        </w:rPr>
        <w:t>Proceedings of the National Academy of Sciences,104</w:t>
      </w:r>
      <w:r>
        <w:rPr>
          <w:color w:val="333333"/>
          <w:highlight w:val="white"/>
        </w:rPr>
        <w:t>(21), 8897-8901. doi:10.1073/pnas.0609568104</w:t>
      </w:r>
    </w:p>
    <w:p w14:paraId="55ECE16C" w14:textId="77777777" w:rsidR="00D50F6A" w:rsidRDefault="0019201F">
      <w:pPr>
        <w:numPr>
          <w:ilvl w:val="0"/>
          <w:numId w:val="1"/>
        </w:numPr>
        <w:spacing w:line="360" w:lineRule="auto"/>
        <w:jc w:val="both"/>
        <w:rPr>
          <w:color w:val="333333"/>
          <w:highlight w:val="white"/>
        </w:rPr>
      </w:pPr>
      <w:r>
        <w:rPr>
          <w:color w:val="222222"/>
          <w:highlight w:val="white"/>
        </w:rPr>
        <w:t>Länge, R.,</w:t>
      </w:r>
      <w:r>
        <w:rPr>
          <w:color w:val="222222"/>
          <w:highlight w:val="white"/>
        </w:rPr>
        <w:t xml:space="preserve"> Hutchinson, T. H., Croudace, C. P., Siegmund, F., Schweinfurth, H., Hampe, P., …, and Sumpter, J. P. (2001). Effects of the synthetic estrogen 17α‐ethinylestradiol on the life‐cycle of the fathead minnow (Pimephales promelas). </w:t>
      </w:r>
      <w:r>
        <w:rPr>
          <w:i/>
          <w:color w:val="222222"/>
          <w:highlight w:val="white"/>
        </w:rPr>
        <w:t>Environmental Toxicology and</w:t>
      </w:r>
      <w:r>
        <w:rPr>
          <w:i/>
          <w:color w:val="222222"/>
          <w:highlight w:val="white"/>
        </w:rPr>
        <w:t xml:space="preserve"> Chemistry</w:t>
      </w:r>
      <w:r>
        <w:rPr>
          <w:color w:val="222222"/>
          <w:highlight w:val="white"/>
        </w:rPr>
        <w:t xml:space="preserve">, </w:t>
      </w:r>
      <w:r>
        <w:rPr>
          <w:i/>
          <w:color w:val="222222"/>
          <w:highlight w:val="white"/>
        </w:rPr>
        <w:t>20</w:t>
      </w:r>
      <w:r>
        <w:rPr>
          <w:color w:val="222222"/>
          <w:highlight w:val="white"/>
        </w:rPr>
        <w:t>(6), 1216-1227.</w:t>
      </w:r>
    </w:p>
    <w:p w14:paraId="7B90C146" w14:textId="77777777" w:rsidR="00D50F6A" w:rsidRDefault="0019201F">
      <w:pPr>
        <w:numPr>
          <w:ilvl w:val="0"/>
          <w:numId w:val="1"/>
        </w:numPr>
        <w:spacing w:line="360" w:lineRule="auto"/>
        <w:jc w:val="both"/>
        <w:rPr>
          <w:color w:val="333333"/>
          <w:highlight w:val="white"/>
        </w:rPr>
      </w:pPr>
      <w:r>
        <w:rPr>
          <w:color w:val="222222"/>
          <w:highlight w:val="white"/>
        </w:rPr>
        <w:t xml:space="preserve">Mattsson, A. and Brunström, B. (2017). Effects of selective and combined activation of estrogen receptor α and β on reproductive organ development and sexual behaviour in Japanese quail (Coturnix japonica). </w:t>
      </w:r>
      <w:r>
        <w:rPr>
          <w:i/>
          <w:color w:val="222222"/>
          <w:highlight w:val="white"/>
        </w:rPr>
        <w:t>PloS one</w:t>
      </w:r>
      <w:r>
        <w:rPr>
          <w:color w:val="222222"/>
          <w:highlight w:val="white"/>
        </w:rPr>
        <w:t xml:space="preserve">, </w:t>
      </w:r>
      <w:r>
        <w:rPr>
          <w:i/>
          <w:color w:val="222222"/>
          <w:highlight w:val="white"/>
        </w:rPr>
        <w:t>12</w:t>
      </w:r>
      <w:r>
        <w:rPr>
          <w:color w:val="222222"/>
          <w:highlight w:val="white"/>
        </w:rPr>
        <w:t>(7), e0</w:t>
      </w:r>
      <w:r>
        <w:rPr>
          <w:color w:val="222222"/>
          <w:highlight w:val="white"/>
        </w:rPr>
        <w:t>180548.</w:t>
      </w:r>
    </w:p>
    <w:p w14:paraId="7B53A0D9" w14:textId="77777777" w:rsidR="00D50F6A" w:rsidRDefault="0019201F">
      <w:pPr>
        <w:numPr>
          <w:ilvl w:val="0"/>
          <w:numId w:val="1"/>
        </w:numPr>
        <w:spacing w:line="360" w:lineRule="auto"/>
        <w:jc w:val="both"/>
        <w:rPr>
          <w:color w:val="222222"/>
          <w:highlight w:val="white"/>
        </w:rPr>
      </w:pPr>
      <w:r>
        <w:t xml:space="preserve">Jaspers, V. L. (2015). Selecting the right bird model in experimental studies on endocrine disrupting chemicals. </w:t>
      </w:r>
      <w:r>
        <w:rPr>
          <w:i/>
        </w:rPr>
        <w:t>Frontiers in Environmental Science, 3</w:t>
      </w:r>
      <w:r>
        <w:t xml:space="preserve">, 35. </w:t>
      </w:r>
    </w:p>
    <w:p w14:paraId="524E9FF0" w14:textId="77777777" w:rsidR="00D50F6A" w:rsidRDefault="0019201F">
      <w:pPr>
        <w:numPr>
          <w:ilvl w:val="0"/>
          <w:numId w:val="1"/>
        </w:numPr>
        <w:spacing w:line="360" w:lineRule="auto"/>
        <w:jc w:val="both"/>
      </w:pPr>
      <w:r>
        <w:rPr>
          <w:color w:val="222222"/>
          <w:highlight w:val="white"/>
        </w:rPr>
        <w:t>Mohammed, A. (2013). Why are early life stages of aquatic organisms more sensitive to toxic</w:t>
      </w:r>
      <w:r>
        <w:rPr>
          <w:color w:val="222222"/>
          <w:highlight w:val="white"/>
        </w:rPr>
        <w:t xml:space="preserve">ants than adults? </w:t>
      </w:r>
      <w:r>
        <w:rPr>
          <w:i/>
          <w:color w:val="222222"/>
          <w:highlight w:val="white"/>
        </w:rPr>
        <w:t>New insights into toxicity and drug testing</w:t>
      </w:r>
      <w:r>
        <w:rPr>
          <w:color w:val="222222"/>
          <w:highlight w:val="white"/>
        </w:rPr>
        <w:t>: InTech.</w:t>
      </w:r>
    </w:p>
    <w:p w14:paraId="2D5AA4D0" w14:textId="77777777" w:rsidR="00D50F6A" w:rsidRDefault="0019201F">
      <w:pPr>
        <w:numPr>
          <w:ilvl w:val="0"/>
          <w:numId w:val="1"/>
        </w:numPr>
        <w:spacing w:line="360" w:lineRule="auto"/>
        <w:jc w:val="both"/>
      </w:pPr>
      <w:r>
        <w:t xml:space="preserve">Jax, E., Wink, M., and Kraus, R. H. (2018). Avian transcriptomics: opportunities and challenges. </w:t>
      </w:r>
      <w:r>
        <w:rPr>
          <w:i/>
        </w:rPr>
        <w:t>Journal of ornithology</w:t>
      </w:r>
      <w:r>
        <w:t>, 1-31.</w:t>
      </w:r>
    </w:p>
    <w:p w14:paraId="09718540" w14:textId="77777777" w:rsidR="00D50F6A" w:rsidRDefault="0019201F">
      <w:pPr>
        <w:numPr>
          <w:ilvl w:val="0"/>
          <w:numId w:val="1"/>
        </w:numPr>
        <w:spacing w:line="360" w:lineRule="auto"/>
        <w:jc w:val="both"/>
      </w:pPr>
      <w:r>
        <w:t>Alexander-Dann, B., Pruteanu, L. L., Oerton, E., Sharma, N., Berindan-Neagoe, I., Módos, D., and Bender, A. (2018). Developments in toxicogenomics: understanding and predicting compound-induced toxicity from gene expression data. Molecular omics.</w:t>
      </w:r>
    </w:p>
    <w:p w14:paraId="631198E0" w14:textId="77777777" w:rsidR="00D50F6A" w:rsidRDefault="0019201F">
      <w:pPr>
        <w:numPr>
          <w:ilvl w:val="0"/>
          <w:numId w:val="1"/>
        </w:numPr>
        <w:spacing w:line="360" w:lineRule="auto"/>
        <w:jc w:val="both"/>
      </w:pPr>
      <w:r>
        <w:rPr>
          <w:color w:val="222222"/>
          <w:highlight w:val="white"/>
        </w:rPr>
        <w:t>Hanafy, A</w:t>
      </w:r>
      <w:r>
        <w:rPr>
          <w:color w:val="222222"/>
          <w:highlight w:val="white"/>
        </w:rPr>
        <w:t xml:space="preserve">. M., Sasanami, T., and Mori, M. (2006). Effects of diethylstilbestrol and ethinylestradiol on gene transcription of very low‐density apolipoprotein II in the liver of Japanese quail, Coturnix japonica. </w:t>
      </w:r>
      <w:r>
        <w:rPr>
          <w:i/>
          <w:color w:val="222222"/>
          <w:highlight w:val="white"/>
        </w:rPr>
        <w:t>Environmental toxicology and chemistry</w:t>
      </w:r>
      <w:r>
        <w:rPr>
          <w:color w:val="222222"/>
          <w:highlight w:val="white"/>
        </w:rPr>
        <w:t xml:space="preserve">, </w:t>
      </w:r>
      <w:r>
        <w:rPr>
          <w:i/>
          <w:color w:val="222222"/>
          <w:highlight w:val="white"/>
        </w:rPr>
        <w:t>25</w:t>
      </w:r>
      <w:r>
        <w:rPr>
          <w:color w:val="222222"/>
          <w:highlight w:val="white"/>
        </w:rPr>
        <w:t>(5), 1354-1</w:t>
      </w:r>
      <w:r>
        <w:rPr>
          <w:color w:val="222222"/>
          <w:highlight w:val="white"/>
        </w:rPr>
        <w:t>359.</w:t>
      </w:r>
    </w:p>
    <w:p w14:paraId="3522C528" w14:textId="77777777" w:rsidR="00D50F6A" w:rsidRDefault="0019201F">
      <w:pPr>
        <w:numPr>
          <w:ilvl w:val="0"/>
          <w:numId w:val="1"/>
        </w:numPr>
        <w:spacing w:line="360" w:lineRule="auto"/>
        <w:jc w:val="both"/>
      </w:pPr>
      <w:r>
        <w:rPr>
          <w:color w:val="222222"/>
          <w:highlight w:val="white"/>
        </w:rPr>
        <w:t xml:space="preserve">Halldin, K., Berg, C., Brandt, I., and Brunström, B. (1999). Sexual behavior in Japanese quail as a test end point for endocrine disruption: effects of in ovo exposure to </w:t>
      </w:r>
      <w:r>
        <w:rPr>
          <w:color w:val="222222"/>
          <w:highlight w:val="white"/>
        </w:rPr>
        <w:lastRenderedPageBreak/>
        <w:t xml:space="preserve">ethinylestradiol and diethylstilbestrol. </w:t>
      </w:r>
      <w:r>
        <w:rPr>
          <w:i/>
          <w:color w:val="222222"/>
          <w:highlight w:val="white"/>
        </w:rPr>
        <w:t>Environmental Health Perspectives</w:t>
      </w:r>
      <w:r>
        <w:rPr>
          <w:color w:val="222222"/>
          <w:highlight w:val="white"/>
        </w:rPr>
        <w:t xml:space="preserve">, </w:t>
      </w:r>
      <w:r>
        <w:rPr>
          <w:i/>
          <w:color w:val="222222"/>
          <w:highlight w:val="white"/>
        </w:rPr>
        <w:t>107</w:t>
      </w:r>
      <w:r>
        <w:rPr>
          <w:color w:val="222222"/>
          <w:highlight w:val="white"/>
        </w:rPr>
        <w:t>(</w:t>
      </w:r>
      <w:r>
        <w:rPr>
          <w:color w:val="222222"/>
          <w:highlight w:val="white"/>
        </w:rPr>
        <w:t>11), 861-866.</w:t>
      </w:r>
    </w:p>
    <w:p w14:paraId="11F26C12" w14:textId="77777777" w:rsidR="00D50F6A" w:rsidRDefault="0019201F">
      <w:pPr>
        <w:numPr>
          <w:ilvl w:val="0"/>
          <w:numId w:val="1"/>
        </w:numPr>
        <w:spacing w:line="360" w:lineRule="auto"/>
        <w:jc w:val="both"/>
        <w:rPr>
          <w:color w:val="222222"/>
          <w:highlight w:val="white"/>
        </w:rPr>
      </w:pPr>
      <w:r>
        <w:t xml:space="preserve">Basu, N., Crump, D., Head, J., Hickey, G., Hogan, N., Maguire, S., …, and Hecker, M. (2019). EcoToxChip: A next-generation toxicogenomicstool for chemical prioritization and environmental management. </w:t>
      </w:r>
      <w:r>
        <w:rPr>
          <w:i/>
        </w:rPr>
        <w:t>Environmental toxicology and chemistry</w:t>
      </w:r>
      <w:r>
        <w:t xml:space="preserve">, </w:t>
      </w:r>
      <w:r>
        <w:rPr>
          <w:i/>
        </w:rPr>
        <w:t>38</w:t>
      </w:r>
      <w:r>
        <w:t>(2), 279.</w:t>
      </w:r>
    </w:p>
    <w:p w14:paraId="1C28AE88" w14:textId="77777777" w:rsidR="00D50F6A" w:rsidRDefault="00D50F6A">
      <w:pPr>
        <w:spacing w:before="240" w:line="360" w:lineRule="auto"/>
        <w:ind w:left="720"/>
        <w:jc w:val="both"/>
        <w:rPr>
          <w:color w:val="222222"/>
          <w:highlight w:val="white"/>
        </w:rPr>
      </w:pPr>
    </w:p>
    <w:p w14:paraId="5FBC4F87" w14:textId="77777777" w:rsidR="00D50F6A" w:rsidRDefault="00D50F6A">
      <w:pPr>
        <w:spacing w:before="240" w:after="240" w:line="360" w:lineRule="auto"/>
        <w:rPr>
          <w:b/>
          <w:color w:val="FF0000"/>
          <w:sz w:val="28"/>
          <w:szCs w:val="28"/>
        </w:rPr>
      </w:pPr>
      <w:bookmarkStart w:id="0" w:name="_GoBack"/>
      <w:bookmarkEnd w:id="0"/>
    </w:p>
    <w:sectPr w:rsidR="00D50F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29AE"/>
    <w:multiLevelType w:val="multilevel"/>
    <w:tmpl w:val="7E38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CA5B29"/>
    <w:multiLevelType w:val="multilevel"/>
    <w:tmpl w:val="0A769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F6A"/>
    <w:rsid w:val="0019201F"/>
    <w:rsid w:val="00D50F6A"/>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641D1B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1074</Words>
  <Characters>6128</Characters>
  <Application>Microsoft Macintosh Word</Application>
  <DocSecurity>0</DocSecurity>
  <Lines>51</Lines>
  <Paragraphs>14</Paragraphs>
  <ScaleCrop>false</ScaleCrop>
  <LinksUpToDate>false</LinksUpToDate>
  <CharactersWithSpaces>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Jin Kweon</cp:lastModifiedBy>
  <cp:revision>2</cp:revision>
  <dcterms:created xsi:type="dcterms:W3CDTF">2019-04-18T23:31:00Z</dcterms:created>
  <dcterms:modified xsi:type="dcterms:W3CDTF">2019-04-18T23:32:00Z</dcterms:modified>
</cp:coreProperties>
</file>