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2101A" w14:textId="77777777" w:rsidR="009B4FC9" w:rsidRPr="009070C2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ptos" w:eastAsia="Malgun Gothic" w:hAnsi="Aptos"/>
          <w:b/>
          <w:bCs/>
          <w:szCs w:val="24"/>
        </w:rPr>
      </w:pPr>
      <w:r w:rsidRPr="009070C2">
        <w:rPr>
          <w:rFonts w:ascii="Aptos" w:eastAsia="Malgun Gothic" w:hAnsi="Aptos"/>
          <w:b/>
          <w:bCs/>
          <w:szCs w:val="24"/>
        </w:rPr>
        <w:t>STUART WEITZMAN SCHOOL OF DESIGN</w:t>
      </w:r>
    </w:p>
    <w:p w14:paraId="45109880" w14:textId="77777777" w:rsidR="009B4FC9" w:rsidRPr="009070C2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ptos" w:eastAsia="Malgun Gothic" w:hAnsi="Aptos"/>
          <w:b/>
          <w:bCs/>
          <w:szCs w:val="24"/>
        </w:rPr>
      </w:pPr>
      <w:r w:rsidRPr="009070C2">
        <w:rPr>
          <w:rFonts w:ascii="Aptos" w:eastAsia="Malgun Gothic" w:hAnsi="Aptos"/>
          <w:b/>
          <w:bCs/>
          <w:szCs w:val="24"/>
        </w:rPr>
        <w:t>UNIVERSITY OF PENNSYLVANIA</w:t>
      </w:r>
    </w:p>
    <w:p w14:paraId="28B74549" w14:textId="77777777" w:rsidR="009B4FC9" w:rsidRPr="009070C2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ascii="Aptos" w:eastAsia="Malgun Gothic" w:hAnsi="Aptos"/>
          <w:sz w:val="21"/>
          <w:szCs w:val="21"/>
        </w:rPr>
      </w:pPr>
      <w:r w:rsidRPr="009070C2">
        <w:rPr>
          <w:rFonts w:ascii="Aptos" w:eastAsia="Malgun Gothic" w:hAnsi="Aptos"/>
          <w:sz w:val="21"/>
          <w:szCs w:val="21"/>
        </w:rPr>
        <w:t>210 South 34th Street, Philadelphia, PA 19104</w:t>
      </w:r>
    </w:p>
    <w:p w14:paraId="19E9D2BF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rFonts w:eastAsia="Malgun Gothic"/>
          <w:szCs w:val="24"/>
        </w:rPr>
      </w:pPr>
    </w:p>
    <w:p w14:paraId="3A4698F8" w14:textId="0CA48A4C" w:rsidR="009B4FC9" w:rsidRPr="00186365" w:rsidRDefault="007A28AF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right"/>
        <w:rPr>
          <w:rFonts w:eastAsia="Malgun Gothic"/>
          <w:szCs w:val="24"/>
        </w:rPr>
      </w:pPr>
      <w:r w:rsidRPr="00186365">
        <w:rPr>
          <w:rFonts w:eastAsia="Malgun Gothic"/>
          <w:szCs w:val="24"/>
        </w:rPr>
        <w:t>February 14</w:t>
      </w:r>
      <w:r w:rsidR="009B4FC9" w:rsidRPr="00186365">
        <w:rPr>
          <w:rFonts w:eastAsia="Malgun Gothic"/>
          <w:szCs w:val="24"/>
        </w:rPr>
        <w:t>, 202</w:t>
      </w:r>
      <w:r w:rsidRPr="00186365">
        <w:rPr>
          <w:rFonts w:eastAsia="Malgun Gothic"/>
          <w:szCs w:val="24"/>
        </w:rPr>
        <w:t>5</w:t>
      </w:r>
    </w:p>
    <w:p w14:paraId="416722AF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</w:p>
    <w:p w14:paraId="2CAA5D15" w14:textId="6827FF3B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  <w:r w:rsidRPr="00186365">
        <w:rPr>
          <w:rFonts w:eastAsia="Malgun Gothic"/>
          <w:szCs w:val="24"/>
        </w:rPr>
        <w:t xml:space="preserve">MEMORANDUM FOR </w:t>
      </w:r>
      <w:r w:rsidR="007A28AF" w:rsidRPr="00186365">
        <w:rPr>
          <w:rFonts w:eastAsia="Malgun Gothic"/>
          <w:szCs w:val="24"/>
        </w:rPr>
        <w:t xml:space="preserve">THE </w:t>
      </w:r>
      <w:r w:rsidRPr="00186365">
        <w:rPr>
          <w:rFonts w:eastAsia="Malgun Gothic"/>
          <w:szCs w:val="24"/>
        </w:rPr>
        <w:t xml:space="preserve">MAYOR OF THE CITY OF </w:t>
      </w:r>
      <w:r w:rsidR="00D309DA" w:rsidRPr="00186365">
        <w:rPr>
          <w:rFonts w:eastAsia="Malgun Gothic"/>
          <w:szCs w:val="24"/>
        </w:rPr>
        <w:t>LONDON</w:t>
      </w:r>
    </w:p>
    <w:p w14:paraId="1EC1A960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</w:p>
    <w:p w14:paraId="068B8AF1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  <w:r w:rsidRPr="00186365">
        <w:rPr>
          <w:rFonts w:eastAsia="Malgun Gothic"/>
          <w:szCs w:val="24"/>
        </w:rPr>
        <w:t xml:space="preserve">Jun, </w:t>
      </w:r>
      <w:proofErr w:type="spellStart"/>
      <w:r w:rsidRPr="00186365">
        <w:rPr>
          <w:rFonts w:eastAsia="Malgun Gothic"/>
          <w:szCs w:val="24"/>
        </w:rPr>
        <w:t>Youngsang</w:t>
      </w:r>
      <w:proofErr w:type="spellEnd"/>
    </w:p>
    <w:p w14:paraId="325DE278" w14:textId="7F0CD678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  <w:r w:rsidRPr="00186365">
        <w:rPr>
          <w:rFonts w:eastAsia="Malgun Gothic"/>
          <w:szCs w:val="24"/>
        </w:rPr>
        <w:t>Master</w:t>
      </w:r>
      <w:r w:rsidR="007A28AF" w:rsidRPr="00186365">
        <w:rPr>
          <w:rFonts w:eastAsia="Malgun Gothic"/>
          <w:szCs w:val="24"/>
        </w:rPr>
        <w:t>’s Student</w:t>
      </w:r>
      <w:r w:rsidRPr="00186365">
        <w:rPr>
          <w:rFonts w:eastAsia="Malgun Gothic"/>
          <w:szCs w:val="24"/>
        </w:rPr>
        <w:t xml:space="preserve"> </w:t>
      </w:r>
      <w:r w:rsidR="007A28AF" w:rsidRPr="00186365">
        <w:rPr>
          <w:rFonts w:eastAsia="Malgun Gothic"/>
          <w:szCs w:val="24"/>
        </w:rPr>
        <w:t>in</w:t>
      </w:r>
      <w:r w:rsidRPr="00186365">
        <w:rPr>
          <w:rFonts w:eastAsia="Malgun Gothic"/>
          <w:szCs w:val="24"/>
        </w:rPr>
        <w:t xml:space="preserve"> Urban Spatial Analytics</w:t>
      </w:r>
    </w:p>
    <w:p w14:paraId="56C5E1CB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</w:p>
    <w:p w14:paraId="00741E8A" w14:textId="62BD835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  <w:r w:rsidRPr="00186365">
        <w:rPr>
          <w:rFonts w:eastAsia="Malgun Gothic"/>
          <w:szCs w:val="24"/>
        </w:rPr>
        <w:t xml:space="preserve">SUBJECT: Recommendation of </w:t>
      </w:r>
      <w:r w:rsidR="00D309DA" w:rsidRPr="00186365">
        <w:rPr>
          <w:rFonts w:eastAsia="Malgun Gothic"/>
          <w:szCs w:val="24"/>
        </w:rPr>
        <w:t>Congestion Charging in West</w:t>
      </w:r>
      <w:r w:rsidR="006E076C" w:rsidRPr="00186365">
        <w:rPr>
          <w:rFonts w:eastAsia="Malgun Gothic"/>
          <w:szCs w:val="24"/>
        </w:rPr>
        <w:t>ern Zone</w:t>
      </w:r>
    </w:p>
    <w:p w14:paraId="58E0153D" w14:textId="77777777" w:rsidR="00995BB7" w:rsidRPr="00186365" w:rsidRDefault="00995BB7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  <w:lang w:eastAsia="ko-KR"/>
        </w:rPr>
      </w:pPr>
    </w:p>
    <w:p w14:paraId="5E238EF5" w14:textId="4112D5E6" w:rsidR="00406CCE" w:rsidRPr="00186365" w:rsidRDefault="00406CCE" w:rsidP="0089143C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 w:hint="eastAsia"/>
          <w:szCs w:val="24"/>
          <w:lang w:eastAsia="ko-KR"/>
        </w:rPr>
      </w:pPr>
      <w:r w:rsidRPr="00186365">
        <w:rPr>
          <w:rFonts w:eastAsia="Malgun Gothic"/>
          <w:szCs w:val="24"/>
          <w:lang w:eastAsia="ko-KR"/>
        </w:rPr>
        <w:t xml:space="preserve">This </w:t>
      </w:r>
      <w:r w:rsidR="00162553" w:rsidRPr="00186365">
        <w:rPr>
          <w:rFonts w:eastAsia="Malgun Gothic"/>
          <w:szCs w:val="24"/>
          <w:lang w:eastAsia="ko-KR"/>
        </w:rPr>
        <w:t>memorandum</w:t>
      </w:r>
      <w:r w:rsidRPr="00186365">
        <w:rPr>
          <w:rFonts w:eastAsia="Malgun Gothic"/>
          <w:szCs w:val="24"/>
          <w:lang w:eastAsia="ko-KR"/>
        </w:rPr>
        <w:t xml:space="preserve"> recommends a careful approach to extending </w:t>
      </w:r>
      <w:r w:rsidR="006E076C" w:rsidRPr="00186365">
        <w:rPr>
          <w:rFonts w:eastAsia="Malgun Gothic"/>
          <w:szCs w:val="24"/>
          <w:lang w:eastAsia="ko-KR"/>
        </w:rPr>
        <w:t xml:space="preserve">westward </w:t>
      </w:r>
      <w:r w:rsidRPr="00186365">
        <w:rPr>
          <w:rFonts w:eastAsia="Malgun Gothic"/>
          <w:szCs w:val="24"/>
          <w:lang w:eastAsia="ko-KR"/>
        </w:rPr>
        <w:t xml:space="preserve">congestion charging from Central London, </w:t>
      </w:r>
      <w:r w:rsidRPr="00186365">
        <w:rPr>
          <w:rFonts w:eastAsia="Malgun Gothic"/>
          <w:szCs w:val="24"/>
          <w:lang w:eastAsia="ko-KR"/>
        </w:rPr>
        <w:t>considering</w:t>
      </w:r>
      <w:r w:rsidRPr="00186365">
        <w:rPr>
          <w:rFonts w:eastAsia="Malgun Gothic"/>
          <w:szCs w:val="24"/>
          <w:lang w:eastAsia="ko-KR"/>
        </w:rPr>
        <w:t xml:space="preserve"> the following: First, given the high proportion of residents</w:t>
      </w:r>
      <w:r w:rsidRPr="00186365">
        <w:rPr>
          <w:rFonts w:eastAsia="Malgun Gothic"/>
          <w:szCs w:val="24"/>
          <w:lang w:eastAsia="ko-KR"/>
        </w:rPr>
        <w:t xml:space="preserve"> in </w:t>
      </w:r>
      <w:r w:rsidR="004B2BC2">
        <w:rPr>
          <w:rFonts w:eastAsia="Malgun Gothic"/>
          <w:szCs w:val="24"/>
          <w:lang w:eastAsia="ko-KR"/>
        </w:rPr>
        <w:t>w</w:t>
      </w:r>
      <w:r w:rsidR="006E076C" w:rsidRPr="00186365">
        <w:rPr>
          <w:rFonts w:eastAsia="Malgun Gothic"/>
          <w:szCs w:val="24"/>
          <w:lang w:eastAsia="ko-KR"/>
        </w:rPr>
        <w:t xml:space="preserve">estern </w:t>
      </w:r>
      <w:r w:rsidR="00FA4948" w:rsidRPr="00186365">
        <w:rPr>
          <w:rFonts w:eastAsia="Malgun Gothic"/>
          <w:szCs w:val="24"/>
          <w:lang w:eastAsia="ko-KR"/>
        </w:rPr>
        <w:t>z</w:t>
      </w:r>
      <w:r w:rsidR="006E076C" w:rsidRPr="00186365">
        <w:rPr>
          <w:rFonts w:eastAsia="Malgun Gothic"/>
          <w:szCs w:val="24"/>
          <w:lang w:eastAsia="ko-KR"/>
        </w:rPr>
        <w:t>one</w:t>
      </w:r>
      <w:r w:rsidRPr="00186365">
        <w:rPr>
          <w:rFonts w:eastAsia="Malgun Gothic"/>
          <w:szCs w:val="24"/>
          <w:lang w:eastAsia="ko-KR"/>
        </w:rPr>
        <w:t>, explore ways to integrate the congestion charging policy with existing systems so that it does not feel like an additional regulatory burden</w:t>
      </w:r>
      <w:r w:rsidRPr="00186365">
        <w:rPr>
          <w:rFonts w:eastAsia="Malgun Gothic"/>
          <w:szCs w:val="24"/>
          <w:lang w:eastAsia="ko-KR"/>
        </w:rPr>
        <w:t xml:space="preserve"> to people</w:t>
      </w:r>
      <w:r w:rsidRPr="00186365">
        <w:rPr>
          <w:rFonts w:eastAsia="Malgun Gothic"/>
          <w:szCs w:val="24"/>
          <w:lang w:eastAsia="ko-KR"/>
        </w:rPr>
        <w:t>. Second, introduce a two-zone system to effectively reduce traffic volume, but establish clear criteria</w:t>
      </w:r>
      <w:r w:rsidR="00116C9C">
        <w:rPr>
          <w:rFonts w:eastAsia="Malgun Gothic"/>
          <w:szCs w:val="24"/>
          <w:lang w:eastAsia="ko-KR"/>
        </w:rPr>
        <w:t xml:space="preserve"> </w:t>
      </w:r>
      <w:r w:rsidRPr="00186365">
        <w:rPr>
          <w:rFonts w:eastAsia="Malgun Gothic"/>
          <w:szCs w:val="24"/>
          <w:lang w:eastAsia="ko-KR"/>
        </w:rPr>
        <w:t xml:space="preserve">to avoid confusion. Third, </w:t>
      </w:r>
      <w:r w:rsidR="004B2BC2">
        <w:rPr>
          <w:rFonts w:eastAsia="Malgun Gothic"/>
          <w:szCs w:val="24"/>
          <w:lang w:eastAsia="ko-KR"/>
        </w:rPr>
        <w:t>c</w:t>
      </w:r>
      <w:r w:rsidRPr="00186365">
        <w:rPr>
          <w:rFonts w:eastAsia="Malgun Gothic"/>
          <w:szCs w:val="24"/>
          <w:lang w:eastAsia="ko-KR"/>
        </w:rPr>
        <w:t xml:space="preserve">entral and </w:t>
      </w:r>
      <w:r w:rsidR="004B2BC2">
        <w:rPr>
          <w:rFonts w:eastAsia="Malgun Gothic"/>
          <w:szCs w:val="24"/>
          <w:lang w:eastAsia="ko-KR"/>
        </w:rPr>
        <w:t>w</w:t>
      </w:r>
      <w:r w:rsidR="00FA4948" w:rsidRPr="00186365">
        <w:rPr>
          <w:rFonts w:eastAsia="Malgun Gothic"/>
          <w:szCs w:val="24"/>
          <w:lang w:eastAsia="ko-KR"/>
        </w:rPr>
        <w:t>estern zones</w:t>
      </w:r>
      <w:r w:rsidRPr="00186365">
        <w:rPr>
          <w:rFonts w:eastAsia="Malgun Gothic"/>
          <w:szCs w:val="24"/>
          <w:lang w:eastAsia="ko-KR"/>
        </w:rPr>
        <w:t xml:space="preserve"> have different key industries, which should be considered when implementing congestion charging.</w:t>
      </w:r>
    </w:p>
    <w:p w14:paraId="49B5D8AC" w14:textId="77777777" w:rsidR="00995BB7" w:rsidRPr="00186365" w:rsidRDefault="00995BB7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  <w:lang w:eastAsia="ko-KR"/>
        </w:rPr>
      </w:pPr>
    </w:p>
    <w:p w14:paraId="5F559BDD" w14:textId="26313B1F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  <w:r w:rsidRPr="00186365">
        <w:rPr>
          <w:rFonts w:eastAsia="Malgun Gothic"/>
          <w:szCs w:val="24"/>
        </w:rPr>
        <w:t>1. Background</w:t>
      </w:r>
    </w:p>
    <w:p w14:paraId="72495FA8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720"/>
        <w:jc w:val="both"/>
        <w:rPr>
          <w:rFonts w:eastAsia="Malgun Gothic"/>
          <w:szCs w:val="24"/>
        </w:rPr>
      </w:pPr>
    </w:p>
    <w:p w14:paraId="17450AAB" w14:textId="1A8D651E" w:rsidR="00FA4948" w:rsidRPr="00186365" w:rsidRDefault="00B06A51" w:rsidP="004B2BC2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/>
          <w:szCs w:val="24"/>
          <w:lang w:eastAsia="ko-KR"/>
        </w:rPr>
      </w:pPr>
      <w:r w:rsidRPr="00186365">
        <w:rPr>
          <w:rFonts w:eastAsia="Malgun Gothic"/>
          <w:szCs w:val="24"/>
          <w:lang w:eastAsia="ko-KR"/>
        </w:rPr>
        <w:t xml:space="preserve">A western extension </w:t>
      </w:r>
      <w:r w:rsidR="003B6D5E" w:rsidRPr="00186365">
        <w:rPr>
          <w:rFonts w:eastAsia="Malgun Gothic"/>
          <w:szCs w:val="24"/>
          <w:lang w:eastAsia="ko-KR"/>
        </w:rPr>
        <w:t>refers</w:t>
      </w:r>
      <w:r w:rsidR="003B6D5E" w:rsidRPr="00186365">
        <w:rPr>
          <w:rFonts w:eastAsia="Malgun Gothic" w:cs="Batang"/>
          <w:szCs w:val="24"/>
          <w:lang w:eastAsia="ko-KR"/>
        </w:rPr>
        <w:t xml:space="preserve"> to</w:t>
      </w:r>
      <w:r w:rsidRPr="00186365">
        <w:rPr>
          <w:rFonts w:eastAsia="Malgun Gothic" w:cs="Batang" w:hint="eastAsia"/>
          <w:szCs w:val="24"/>
          <w:lang w:eastAsia="ko-KR"/>
        </w:rPr>
        <w:t xml:space="preserve"> </w:t>
      </w:r>
      <w:r w:rsidR="0061462F">
        <w:rPr>
          <w:rFonts w:eastAsia="Malgun Gothic" w:cs="Batang"/>
          <w:szCs w:val="24"/>
          <w:lang w:eastAsia="ko-KR"/>
        </w:rPr>
        <w:t>“</w:t>
      </w:r>
      <w:r w:rsidRPr="00186365">
        <w:rPr>
          <w:rFonts w:eastAsia="Malgun Gothic"/>
          <w:szCs w:val="24"/>
          <w:lang w:eastAsia="ko-KR"/>
        </w:rPr>
        <w:t>bring</w:t>
      </w:r>
      <w:r w:rsidR="003B6D5E" w:rsidRPr="00186365">
        <w:rPr>
          <w:rFonts w:eastAsia="Malgun Gothic"/>
          <w:szCs w:val="24"/>
          <w:lang w:eastAsia="ko-KR"/>
        </w:rPr>
        <w:t>ing</w:t>
      </w:r>
      <w:r w:rsidR="00FA4948" w:rsidRPr="00186365">
        <w:rPr>
          <w:rFonts w:eastAsia="Malgun Gothic"/>
          <w:szCs w:val="24"/>
          <w:lang w:eastAsia="ko-KR"/>
        </w:rPr>
        <w:t xml:space="preserve"> a</w:t>
      </w:r>
      <w:r w:rsidR="00FA4948" w:rsidRPr="00186365">
        <w:rPr>
          <w:rFonts w:eastAsia="Malgun Gothic"/>
          <w:szCs w:val="24"/>
          <w:lang w:eastAsia="ko-KR"/>
        </w:rPr>
        <w:t>ll of the city of Westminster and almost all of the royal borough of Kensington and Chelsea</w:t>
      </w:r>
      <w:r w:rsidR="0089143C" w:rsidRPr="00186365">
        <w:rPr>
          <w:rFonts w:eastAsia="Malgun Gothic"/>
          <w:szCs w:val="24"/>
          <w:lang w:eastAsia="ko-KR"/>
        </w:rPr>
        <w:t xml:space="preserve"> </w:t>
      </w:r>
      <w:r w:rsidRPr="00186365">
        <w:rPr>
          <w:rFonts w:eastAsia="Malgun Gothic"/>
          <w:szCs w:val="24"/>
          <w:lang w:eastAsia="ko-KR"/>
        </w:rPr>
        <w:t>into the charging zone</w:t>
      </w:r>
      <w:r w:rsidR="008E6134">
        <w:rPr>
          <w:rFonts w:eastAsia="Malgun Gothic"/>
          <w:szCs w:val="24"/>
          <w:lang w:eastAsia="ko-KR"/>
        </w:rPr>
        <w:t xml:space="preserve"> (</w:t>
      </w:r>
      <w:r w:rsidR="008E6134">
        <w:rPr>
          <w:rFonts w:eastAsia="Malgun Gothic"/>
          <w:szCs w:val="24"/>
        </w:rPr>
        <w:t>Gómez-Ibáñez</w:t>
      </w:r>
      <w:r w:rsidR="008E6134">
        <w:rPr>
          <w:rFonts w:eastAsia="Malgun Gothic"/>
          <w:szCs w:val="24"/>
          <w:lang w:eastAsia="ko-KR"/>
        </w:rPr>
        <w:t>, 2005)</w:t>
      </w:r>
      <w:r w:rsidR="0061462F">
        <w:rPr>
          <w:rFonts w:eastAsia="Malgun Gothic"/>
          <w:szCs w:val="24"/>
          <w:lang w:eastAsia="ko-KR"/>
        </w:rPr>
        <w:t>”</w:t>
      </w:r>
      <w:r w:rsidRPr="00186365">
        <w:rPr>
          <w:rFonts w:eastAsia="Malgun Gothic" w:cs="Batang" w:hint="eastAsia"/>
          <w:szCs w:val="24"/>
          <w:lang w:eastAsia="ko-KR"/>
        </w:rPr>
        <w:t xml:space="preserve">. </w:t>
      </w:r>
      <w:r w:rsidR="00EA2627" w:rsidRPr="00186365">
        <w:rPr>
          <w:rFonts w:eastAsia="Malgun Gothic"/>
          <w:szCs w:val="24"/>
        </w:rPr>
        <w:t>In 200</w:t>
      </w:r>
      <w:r w:rsidR="002073C7">
        <w:rPr>
          <w:rFonts w:eastAsia="Malgun Gothic"/>
          <w:szCs w:val="24"/>
        </w:rPr>
        <w:t>3</w:t>
      </w:r>
      <w:r w:rsidR="00EA2627" w:rsidRPr="00186365">
        <w:rPr>
          <w:rFonts w:eastAsia="Malgun Gothic"/>
          <w:szCs w:val="24"/>
        </w:rPr>
        <w:t xml:space="preserve">, </w:t>
      </w:r>
      <w:r w:rsidR="00EA2627" w:rsidRPr="00186365">
        <w:rPr>
          <w:rFonts w:eastAsia="Malgun Gothic" w:cs="Batang"/>
          <w:szCs w:val="24"/>
          <w:lang w:eastAsia="ko-KR"/>
        </w:rPr>
        <w:t>as the introduction of</w:t>
      </w:r>
      <w:r w:rsidR="00EA2627" w:rsidRPr="00186365">
        <w:rPr>
          <w:rFonts w:eastAsia="Malgun Gothic" w:cs="Batang" w:hint="eastAsia"/>
          <w:szCs w:val="24"/>
          <w:lang w:eastAsia="ko-KR"/>
        </w:rPr>
        <w:t xml:space="preserve"> </w:t>
      </w:r>
      <w:r w:rsidR="00EA2627" w:rsidRPr="00186365">
        <w:rPr>
          <w:rFonts w:eastAsia="Malgun Gothic" w:cs="Batang"/>
          <w:szCs w:val="24"/>
          <w:lang w:eastAsia="ko-KR"/>
        </w:rPr>
        <w:t>congestion charging in Central London (</w:t>
      </w:r>
      <w:r w:rsidR="0061462F">
        <w:rPr>
          <w:rFonts w:eastAsia="Malgun Gothic" w:cs="Batang"/>
          <w:szCs w:val="24"/>
          <w:lang w:eastAsia="ko-KR"/>
        </w:rPr>
        <w:t>also known as</w:t>
      </w:r>
      <w:r w:rsidR="00EA2627" w:rsidRPr="00186365">
        <w:rPr>
          <w:rFonts w:eastAsia="Malgun Gothic" w:cs="Batang"/>
          <w:szCs w:val="24"/>
          <w:lang w:eastAsia="ko-KR"/>
        </w:rPr>
        <w:t xml:space="preserve"> the original scheme),</w:t>
      </w:r>
      <w:r w:rsidR="00EA2627" w:rsidRPr="00186365">
        <w:rPr>
          <w:rFonts w:eastAsia="Malgun Gothic" w:cs="Batang" w:hint="eastAsia"/>
          <w:szCs w:val="24"/>
          <w:lang w:eastAsia="ko-KR"/>
        </w:rPr>
        <w:t xml:space="preserve"> </w:t>
      </w:r>
      <w:r w:rsidR="00EA2627" w:rsidRPr="00186365">
        <w:rPr>
          <w:rFonts w:eastAsia="Malgun Gothic" w:cs="Batang"/>
          <w:szCs w:val="24"/>
          <w:lang w:eastAsia="ko-KR"/>
        </w:rPr>
        <w:t>“Cars entering Central London during charging hours had declined by 33</w:t>
      </w:r>
      <w:r w:rsidR="002073C7">
        <w:rPr>
          <w:rFonts w:eastAsia="Malgun Gothic" w:cs="Batang"/>
          <w:szCs w:val="24"/>
          <w:lang w:eastAsia="ko-KR"/>
        </w:rPr>
        <w:t xml:space="preserve"> percent</w:t>
      </w:r>
      <w:r w:rsidR="00EA2627" w:rsidRPr="00186365">
        <w:rPr>
          <w:rFonts w:eastAsia="Malgun Gothic" w:cs="Batang"/>
          <w:szCs w:val="24"/>
          <w:lang w:eastAsia="ko-KR"/>
        </w:rPr>
        <w:t xml:space="preserve"> and delivery vans and trucks by 11</w:t>
      </w:r>
      <w:r w:rsidR="002073C7">
        <w:rPr>
          <w:rFonts w:eastAsia="Malgun Gothic" w:cs="Batang"/>
          <w:szCs w:val="24"/>
          <w:lang w:eastAsia="ko-KR"/>
        </w:rPr>
        <w:t xml:space="preserve"> percent</w:t>
      </w:r>
      <w:r w:rsidR="00EA2627" w:rsidRPr="00186365">
        <w:rPr>
          <w:rFonts w:eastAsia="Malgun Gothic" w:cs="Batang"/>
          <w:szCs w:val="24"/>
          <w:lang w:eastAsia="ko-KR"/>
        </w:rPr>
        <w:t>, while exempt vehicles (taxis, buses, and motorcycles) had increased by 11 to 23</w:t>
      </w:r>
      <w:r w:rsidR="002073C7">
        <w:rPr>
          <w:rFonts w:eastAsia="Malgun Gothic" w:cs="Batang"/>
          <w:szCs w:val="24"/>
          <w:lang w:eastAsia="ko-KR"/>
        </w:rPr>
        <w:t xml:space="preserve"> percent</w:t>
      </w:r>
      <w:r w:rsidR="008E6134">
        <w:rPr>
          <w:rFonts w:eastAsia="Malgun Gothic" w:cs="Batang"/>
          <w:szCs w:val="24"/>
          <w:lang w:eastAsia="ko-KR"/>
        </w:rPr>
        <w:t xml:space="preserve"> </w:t>
      </w:r>
      <w:r w:rsidR="008E6134">
        <w:rPr>
          <w:rFonts w:eastAsia="Malgun Gothic"/>
          <w:szCs w:val="24"/>
          <w:lang w:eastAsia="ko-KR"/>
        </w:rPr>
        <w:t>(</w:t>
      </w:r>
      <w:r w:rsidR="008E6134">
        <w:rPr>
          <w:rFonts w:eastAsia="Malgun Gothic"/>
          <w:szCs w:val="24"/>
        </w:rPr>
        <w:t>Gómez-Ibáñez</w:t>
      </w:r>
      <w:r w:rsidR="008E6134">
        <w:rPr>
          <w:rFonts w:eastAsia="Malgun Gothic"/>
          <w:szCs w:val="24"/>
          <w:lang w:eastAsia="ko-KR"/>
        </w:rPr>
        <w:t>, 2005)</w:t>
      </w:r>
      <w:r w:rsidR="00EA2627" w:rsidRPr="00186365">
        <w:rPr>
          <w:rFonts w:eastAsia="Malgun Gothic" w:cs="Batang"/>
          <w:szCs w:val="24"/>
          <w:lang w:eastAsia="ko-KR"/>
        </w:rPr>
        <w:t>.”</w:t>
      </w:r>
      <w:r w:rsidR="008E6134" w:rsidRPr="008E6134">
        <w:rPr>
          <w:rFonts w:eastAsia="Malgun Gothic"/>
          <w:szCs w:val="24"/>
          <w:lang w:eastAsia="ko-KR"/>
        </w:rPr>
        <w:t xml:space="preserve"> </w:t>
      </w:r>
      <w:r w:rsidR="00116C9C" w:rsidRPr="00186365">
        <w:rPr>
          <w:rFonts w:eastAsia="Malgun Gothic"/>
          <w:szCs w:val="24"/>
          <w:lang w:eastAsia="ko-KR"/>
        </w:rPr>
        <w:t xml:space="preserve">Public opposition to congestion charging </w:t>
      </w:r>
      <w:r w:rsidR="00116C9C">
        <w:rPr>
          <w:rFonts w:eastAsia="Malgun Gothic"/>
          <w:szCs w:val="24"/>
          <w:lang w:eastAsia="ko-KR"/>
        </w:rPr>
        <w:t xml:space="preserve">also </w:t>
      </w:r>
      <w:r w:rsidR="00116C9C" w:rsidRPr="00186365">
        <w:rPr>
          <w:rFonts w:eastAsia="Malgun Gothic"/>
          <w:szCs w:val="24"/>
          <w:lang w:eastAsia="ko-KR"/>
        </w:rPr>
        <w:t>decreased from 41 percent before implementation to 28 percent after implementation</w:t>
      </w:r>
      <w:r w:rsidR="008E6134">
        <w:rPr>
          <w:rFonts w:eastAsia="Malgun Gothic"/>
          <w:szCs w:val="24"/>
          <w:lang w:eastAsia="ko-KR"/>
        </w:rPr>
        <w:t xml:space="preserve"> </w:t>
      </w:r>
      <w:r w:rsidR="008E6134">
        <w:rPr>
          <w:rFonts w:eastAsia="Malgun Gothic"/>
          <w:szCs w:val="24"/>
          <w:lang w:eastAsia="ko-KR"/>
        </w:rPr>
        <w:t>(</w:t>
      </w:r>
      <w:r w:rsidR="008E6134">
        <w:rPr>
          <w:rFonts w:eastAsia="Malgun Gothic"/>
          <w:szCs w:val="24"/>
        </w:rPr>
        <w:t>Gómez-Ibáñez</w:t>
      </w:r>
      <w:r w:rsidR="008E6134">
        <w:rPr>
          <w:rFonts w:eastAsia="Malgun Gothic"/>
          <w:szCs w:val="24"/>
          <w:lang w:eastAsia="ko-KR"/>
        </w:rPr>
        <w:t>, 2005)</w:t>
      </w:r>
      <w:r w:rsidR="00116C9C" w:rsidRPr="00186365">
        <w:rPr>
          <w:rFonts w:eastAsia="Malgun Gothic"/>
          <w:szCs w:val="24"/>
          <w:lang w:eastAsia="ko-KR"/>
        </w:rPr>
        <w:t>.</w:t>
      </w:r>
    </w:p>
    <w:p w14:paraId="5F5CAFC7" w14:textId="77777777" w:rsidR="004B2BC2" w:rsidRDefault="004B2BC2" w:rsidP="004B2BC2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/>
          <w:szCs w:val="24"/>
          <w:lang w:eastAsia="ko-KR"/>
        </w:rPr>
      </w:pPr>
    </w:p>
    <w:p w14:paraId="11E0EAC6" w14:textId="6A6E0918" w:rsidR="00116C9C" w:rsidRPr="00186365" w:rsidRDefault="00FA4948" w:rsidP="004B2BC2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/>
          <w:szCs w:val="24"/>
          <w:lang w:eastAsia="ko-KR"/>
        </w:rPr>
      </w:pPr>
      <w:r w:rsidRPr="00186365">
        <w:rPr>
          <w:rFonts w:eastAsia="Malgun Gothic"/>
          <w:szCs w:val="24"/>
          <w:lang w:eastAsia="ko-KR"/>
        </w:rPr>
        <w:t xml:space="preserve">Meanwhile, the </w:t>
      </w:r>
      <w:r w:rsidR="004B2BC2">
        <w:rPr>
          <w:rFonts w:eastAsia="Malgun Gothic"/>
          <w:szCs w:val="24"/>
          <w:lang w:eastAsia="ko-KR"/>
        </w:rPr>
        <w:t>w</w:t>
      </w:r>
      <w:r w:rsidRPr="00186365">
        <w:rPr>
          <w:rFonts w:eastAsia="Malgun Gothic"/>
          <w:szCs w:val="24"/>
          <w:lang w:eastAsia="ko-KR"/>
        </w:rPr>
        <w:t xml:space="preserve">estern zone </w:t>
      </w:r>
      <w:r w:rsidRPr="00186365">
        <w:rPr>
          <w:rFonts w:eastAsia="Malgun Gothic"/>
          <w:szCs w:val="24"/>
          <w:lang w:eastAsia="ko-KR"/>
        </w:rPr>
        <w:t xml:space="preserve">experienced higher levels of traffic congestion throughout the working day compared to areas to the north, south, and east of the </w:t>
      </w:r>
      <w:r w:rsidR="004B2BC2">
        <w:rPr>
          <w:rFonts w:eastAsia="Malgun Gothic"/>
          <w:szCs w:val="24"/>
          <w:lang w:eastAsia="ko-KR"/>
        </w:rPr>
        <w:t>c</w:t>
      </w:r>
      <w:r w:rsidRPr="00186365">
        <w:rPr>
          <w:rFonts w:eastAsia="Malgun Gothic"/>
          <w:szCs w:val="24"/>
          <w:lang w:eastAsia="ko-KR"/>
        </w:rPr>
        <w:t>entral</w:t>
      </w:r>
      <w:r w:rsidRPr="00186365">
        <w:rPr>
          <w:rFonts w:eastAsia="Malgun Gothic"/>
          <w:szCs w:val="24"/>
          <w:lang w:eastAsia="ko-KR"/>
        </w:rPr>
        <w:t xml:space="preserve"> zone</w:t>
      </w:r>
      <w:r w:rsidRPr="00186365">
        <w:rPr>
          <w:rStyle w:val="FootnoteReference"/>
          <w:rFonts w:eastAsia="Malgun Gothic"/>
          <w:szCs w:val="24"/>
          <w:lang w:eastAsia="ko-KR"/>
        </w:rPr>
        <w:footnoteReference w:id="1"/>
      </w:r>
      <w:r w:rsidRPr="00186365">
        <w:rPr>
          <w:rFonts w:eastAsia="Malgun Gothic"/>
          <w:szCs w:val="24"/>
          <w:lang w:eastAsia="ko-KR"/>
        </w:rPr>
        <w:t>. While other areas also experienced heavy traffic congestion, this was more predominant at peak times</w:t>
      </w:r>
      <w:r w:rsidR="002073C7">
        <w:rPr>
          <w:rFonts w:eastAsia="Malgun Gothic"/>
          <w:szCs w:val="24"/>
          <w:lang w:eastAsia="ko-KR"/>
        </w:rPr>
        <w:t xml:space="preserve"> </w:t>
      </w:r>
      <w:r w:rsidR="002073C7">
        <w:rPr>
          <w:rFonts w:eastAsia="Malgun Gothic" w:cs="Batang"/>
          <w:lang w:eastAsia="ko-KR"/>
        </w:rPr>
        <w:t>(Transport for London, 2007)</w:t>
      </w:r>
      <w:r w:rsidRPr="00186365">
        <w:rPr>
          <w:rFonts w:eastAsia="Malgun Gothic"/>
          <w:szCs w:val="24"/>
          <w:lang w:eastAsia="ko-KR"/>
        </w:rPr>
        <w:t xml:space="preserve">. </w:t>
      </w:r>
      <w:r w:rsidR="00B06A51" w:rsidRPr="00186365">
        <w:rPr>
          <w:rFonts w:eastAsia="Malgun Gothic"/>
          <w:szCs w:val="24"/>
          <w:lang w:eastAsia="ko-KR"/>
        </w:rPr>
        <w:t>T</w:t>
      </w:r>
      <w:r w:rsidR="002073C7">
        <w:rPr>
          <w:rFonts w:eastAsia="Malgun Gothic"/>
          <w:szCs w:val="24"/>
          <w:lang w:eastAsia="ko-KR"/>
        </w:rPr>
        <w:t xml:space="preserve">ransport </w:t>
      </w:r>
      <w:r w:rsidR="00B06A51" w:rsidRPr="00186365">
        <w:rPr>
          <w:rFonts w:eastAsia="Malgun Gothic"/>
          <w:szCs w:val="24"/>
          <w:lang w:eastAsia="ko-KR"/>
        </w:rPr>
        <w:t>f</w:t>
      </w:r>
      <w:r w:rsidR="002073C7">
        <w:rPr>
          <w:rFonts w:eastAsia="Malgun Gothic"/>
          <w:szCs w:val="24"/>
          <w:lang w:eastAsia="ko-KR"/>
        </w:rPr>
        <w:t xml:space="preserve">or </w:t>
      </w:r>
      <w:r w:rsidR="00B06A51" w:rsidRPr="00186365">
        <w:rPr>
          <w:rFonts w:eastAsia="Malgun Gothic"/>
          <w:szCs w:val="24"/>
          <w:lang w:eastAsia="ko-KR"/>
        </w:rPr>
        <w:t>L</w:t>
      </w:r>
      <w:r w:rsidR="002073C7">
        <w:rPr>
          <w:rFonts w:eastAsia="Malgun Gothic"/>
          <w:szCs w:val="24"/>
          <w:lang w:eastAsia="ko-KR"/>
        </w:rPr>
        <w:t>ondon</w:t>
      </w:r>
      <w:r w:rsidR="00B06A51" w:rsidRPr="00186365">
        <w:rPr>
          <w:rFonts w:eastAsia="Malgun Gothic"/>
          <w:szCs w:val="24"/>
          <w:lang w:eastAsia="ko-KR"/>
        </w:rPr>
        <w:t xml:space="preserve"> projected that a £5 charge would reduce traffic entering the extension by 5 to 10 percent and congestion by 10 to 20 percent</w:t>
      </w:r>
      <w:r w:rsidR="008E6134">
        <w:rPr>
          <w:rFonts w:eastAsia="Malgun Gothic"/>
          <w:szCs w:val="24"/>
          <w:lang w:eastAsia="ko-KR"/>
        </w:rPr>
        <w:t xml:space="preserve"> </w:t>
      </w:r>
      <w:r w:rsidR="008E6134">
        <w:rPr>
          <w:rFonts w:eastAsia="Malgun Gothic"/>
          <w:szCs w:val="24"/>
          <w:lang w:eastAsia="ko-KR"/>
        </w:rPr>
        <w:t>(</w:t>
      </w:r>
      <w:r w:rsidR="008E6134">
        <w:rPr>
          <w:rFonts w:eastAsia="Malgun Gothic"/>
          <w:szCs w:val="24"/>
        </w:rPr>
        <w:t>Gómez-Ibáñez</w:t>
      </w:r>
      <w:r w:rsidR="008E6134">
        <w:rPr>
          <w:rFonts w:eastAsia="Malgun Gothic"/>
          <w:szCs w:val="24"/>
          <w:lang w:eastAsia="ko-KR"/>
        </w:rPr>
        <w:t>, 2005)</w:t>
      </w:r>
      <w:r w:rsidR="00B06A51" w:rsidRPr="00186365">
        <w:rPr>
          <w:rFonts w:eastAsia="Malgun Gothic"/>
          <w:szCs w:val="24"/>
          <w:lang w:eastAsia="ko-KR"/>
        </w:rPr>
        <w:t>.</w:t>
      </w:r>
      <w:r w:rsidR="00B06A51" w:rsidRPr="00186365">
        <w:rPr>
          <w:rFonts w:eastAsia="Malgun Gothic" w:hint="eastAsia"/>
          <w:szCs w:val="24"/>
          <w:lang w:eastAsia="ko-KR"/>
        </w:rPr>
        <w:t xml:space="preserve"> </w:t>
      </w:r>
    </w:p>
    <w:p w14:paraId="2CB3F14B" w14:textId="77777777" w:rsidR="004B2BC2" w:rsidRDefault="004B2BC2" w:rsidP="0089143C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 w:cs="Batang"/>
          <w:szCs w:val="24"/>
          <w:lang w:eastAsia="ko-KR"/>
        </w:rPr>
      </w:pPr>
    </w:p>
    <w:p w14:paraId="3005E0DF" w14:textId="6DE1BC00" w:rsidR="00B06A51" w:rsidRPr="00186365" w:rsidRDefault="00850415" w:rsidP="0089143C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/>
          <w:szCs w:val="24"/>
          <w:lang w:eastAsia="ko-KR"/>
        </w:rPr>
      </w:pPr>
      <w:r w:rsidRPr="00186365">
        <w:rPr>
          <w:rFonts w:eastAsia="Malgun Gothic" w:cs="Batang"/>
          <w:szCs w:val="24"/>
          <w:lang w:eastAsia="ko-KR"/>
        </w:rPr>
        <w:t xml:space="preserve">However, there are socio-demographic differences between </w:t>
      </w:r>
      <w:r w:rsidR="004B2BC2">
        <w:rPr>
          <w:rFonts w:eastAsia="Malgun Gothic" w:cs="Batang"/>
          <w:szCs w:val="24"/>
          <w:lang w:eastAsia="ko-KR"/>
        </w:rPr>
        <w:t>c</w:t>
      </w:r>
      <w:r w:rsidRPr="00186365">
        <w:rPr>
          <w:rFonts w:eastAsia="Malgun Gothic" w:cs="Batang"/>
          <w:szCs w:val="24"/>
          <w:lang w:eastAsia="ko-KR"/>
        </w:rPr>
        <w:t xml:space="preserve">entral and </w:t>
      </w:r>
      <w:r w:rsidR="004B2BC2">
        <w:rPr>
          <w:rFonts w:eastAsia="Malgun Gothic" w:cs="Batang"/>
          <w:szCs w:val="24"/>
          <w:lang w:eastAsia="ko-KR"/>
        </w:rPr>
        <w:t>w</w:t>
      </w:r>
      <w:r w:rsidRPr="00186365">
        <w:rPr>
          <w:rFonts w:eastAsia="Malgun Gothic" w:cs="Batang"/>
          <w:szCs w:val="24"/>
          <w:lang w:eastAsia="ko-KR"/>
        </w:rPr>
        <w:t>est</w:t>
      </w:r>
      <w:r w:rsidR="00FA4948" w:rsidRPr="00186365">
        <w:rPr>
          <w:rFonts w:eastAsia="Malgun Gothic" w:cs="Batang"/>
          <w:szCs w:val="24"/>
          <w:lang w:eastAsia="ko-KR"/>
        </w:rPr>
        <w:t>ern zones</w:t>
      </w:r>
      <w:r w:rsidRPr="00186365">
        <w:rPr>
          <w:rFonts w:eastAsia="Malgun Gothic" w:cs="Batang"/>
          <w:szCs w:val="24"/>
          <w:lang w:eastAsia="ko-KR"/>
        </w:rPr>
        <w:t>, and since the level of confusion and effectiveness may differ depending on whether the two</w:t>
      </w:r>
      <w:r w:rsidRPr="00186365">
        <w:rPr>
          <w:rFonts w:eastAsia="Malgun Gothic" w:cs="Batang"/>
          <w:szCs w:val="24"/>
          <w:lang w:eastAsia="ko-KR"/>
        </w:rPr>
        <w:t xml:space="preserve">-zone system </w:t>
      </w:r>
      <w:r w:rsidRPr="00186365">
        <w:rPr>
          <w:rFonts w:eastAsia="Malgun Gothic" w:cs="Batang"/>
          <w:szCs w:val="24"/>
          <w:lang w:eastAsia="ko-KR"/>
        </w:rPr>
        <w:t>operate</w:t>
      </w:r>
      <w:r w:rsidRPr="00186365">
        <w:rPr>
          <w:rFonts w:eastAsia="Malgun Gothic" w:cs="Batang"/>
          <w:szCs w:val="24"/>
          <w:lang w:eastAsia="ko-KR"/>
        </w:rPr>
        <w:t>s</w:t>
      </w:r>
      <w:r w:rsidRPr="00186365">
        <w:rPr>
          <w:rFonts w:eastAsia="Malgun Gothic" w:cs="Batang"/>
          <w:szCs w:val="24"/>
          <w:lang w:eastAsia="ko-KR"/>
        </w:rPr>
        <w:t xml:space="preserve"> simultaneously</w:t>
      </w:r>
      <w:r w:rsidRPr="00186365">
        <w:rPr>
          <w:rFonts w:eastAsia="Malgun Gothic" w:cs="Batang"/>
          <w:szCs w:val="24"/>
          <w:lang w:eastAsia="ko-KR"/>
        </w:rPr>
        <w:t xml:space="preserve"> or one integrated zone system</w:t>
      </w:r>
      <w:r w:rsidRPr="00186365">
        <w:rPr>
          <w:rFonts w:eastAsia="Malgun Gothic" w:cs="Batang"/>
          <w:szCs w:val="24"/>
          <w:lang w:eastAsia="ko-KR"/>
        </w:rPr>
        <w:t xml:space="preserve">, these must be carefully </w:t>
      </w:r>
      <w:r w:rsidRPr="00186365">
        <w:rPr>
          <w:rFonts w:eastAsia="Malgun Gothic" w:cs="Batang"/>
          <w:szCs w:val="24"/>
          <w:lang w:eastAsia="ko-KR"/>
        </w:rPr>
        <w:t>reviewed</w:t>
      </w:r>
      <w:r w:rsidRPr="00186365">
        <w:rPr>
          <w:rFonts w:eastAsia="Malgun Gothic" w:cs="Batang"/>
          <w:szCs w:val="24"/>
          <w:lang w:eastAsia="ko-KR"/>
        </w:rPr>
        <w:t xml:space="preserve"> to successfully implement the west</w:t>
      </w:r>
      <w:r w:rsidRPr="00186365">
        <w:rPr>
          <w:rFonts w:eastAsia="Malgun Gothic" w:cs="Batang"/>
          <w:szCs w:val="24"/>
          <w:lang w:eastAsia="ko-KR"/>
        </w:rPr>
        <w:t>ern</w:t>
      </w:r>
      <w:r w:rsidRPr="00186365">
        <w:rPr>
          <w:rFonts w:eastAsia="Malgun Gothic" w:cs="Batang"/>
          <w:szCs w:val="24"/>
          <w:lang w:eastAsia="ko-KR"/>
        </w:rPr>
        <w:t xml:space="preserve"> expansion plan and maximize its </w:t>
      </w:r>
      <w:r w:rsidRPr="00186365">
        <w:rPr>
          <w:rFonts w:eastAsia="Malgun Gothic" w:cs="Batang"/>
          <w:szCs w:val="24"/>
          <w:lang w:eastAsia="ko-KR"/>
        </w:rPr>
        <w:t>intention</w:t>
      </w:r>
      <w:r w:rsidRPr="00186365">
        <w:rPr>
          <w:rFonts w:eastAsia="Malgun Gothic" w:cs="Batang"/>
          <w:szCs w:val="24"/>
          <w:lang w:eastAsia="ko-KR"/>
        </w:rPr>
        <w:t>.</w:t>
      </w:r>
    </w:p>
    <w:p w14:paraId="69CD50B5" w14:textId="79F7CAA8" w:rsidR="00127BA0" w:rsidRPr="00127BA0" w:rsidRDefault="00127BA0" w:rsidP="00127BA0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/>
          <w:szCs w:val="24"/>
          <w:lang w:eastAsia="ko-KR"/>
        </w:rPr>
      </w:pPr>
      <w:r>
        <w:rPr>
          <w:rFonts w:eastAsia="Malgun Gothic"/>
          <w:szCs w:val="24"/>
          <w:lang w:eastAsia="ko-KR"/>
        </w:rPr>
        <w:br w:type="page"/>
      </w:r>
    </w:p>
    <w:p w14:paraId="13F128EA" w14:textId="790256EA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  <w:lang w:eastAsia="ko-KR"/>
        </w:rPr>
      </w:pPr>
      <w:r w:rsidRPr="00186365">
        <w:rPr>
          <w:rFonts w:eastAsia="Malgun Gothic"/>
          <w:szCs w:val="24"/>
          <w:lang w:eastAsia="ko-KR"/>
        </w:rPr>
        <w:lastRenderedPageBreak/>
        <w:t xml:space="preserve">2. </w:t>
      </w:r>
      <w:r w:rsidR="007912B0" w:rsidRPr="00186365">
        <w:rPr>
          <w:rFonts w:eastAsia="Malgun Gothic"/>
          <w:szCs w:val="24"/>
          <w:lang w:eastAsia="ko-KR"/>
        </w:rPr>
        <w:t>Recommendations</w:t>
      </w:r>
    </w:p>
    <w:p w14:paraId="25BB5B19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720"/>
        <w:jc w:val="both"/>
        <w:rPr>
          <w:rFonts w:eastAsia="Malgun Gothic"/>
          <w:szCs w:val="24"/>
          <w:lang w:eastAsia="ko-KR"/>
        </w:rPr>
      </w:pPr>
    </w:p>
    <w:p w14:paraId="1FA28981" w14:textId="44641B96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 w:hint="eastAsia"/>
          <w:szCs w:val="24"/>
          <w:lang w:eastAsia="ko-KR"/>
        </w:rPr>
      </w:pPr>
      <w:r w:rsidRPr="00186365">
        <w:rPr>
          <w:rFonts w:eastAsia="Malgun Gothic"/>
          <w:szCs w:val="24"/>
          <w:lang w:eastAsia="ko-KR"/>
        </w:rPr>
        <w:t xml:space="preserve">a. </w:t>
      </w:r>
      <w:r w:rsidR="00687235" w:rsidRPr="00186365">
        <w:rPr>
          <w:rFonts w:eastAsia="Malgun Gothic" w:cs="Batang"/>
          <w:szCs w:val="24"/>
          <w:lang w:eastAsia="ko-KR"/>
        </w:rPr>
        <w:t xml:space="preserve">Integrated </w:t>
      </w:r>
      <w:r w:rsidR="0089088C">
        <w:rPr>
          <w:rFonts w:eastAsia="Malgun Gothic" w:cs="Batang"/>
          <w:szCs w:val="24"/>
          <w:lang w:eastAsia="ko-KR"/>
        </w:rPr>
        <w:t>R</w:t>
      </w:r>
      <w:r w:rsidR="00687235" w:rsidRPr="00186365">
        <w:rPr>
          <w:rFonts w:eastAsia="Malgun Gothic" w:cs="Batang"/>
          <w:szCs w:val="24"/>
          <w:lang w:eastAsia="ko-KR"/>
        </w:rPr>
        <w:t xml:space="preserve">eview with </w:t>
      </w:r>
      <w:r w:rsidR="0089088C">
        <w:rPr>
          <w:rFonts w:eastAsia="Malgun Gothic" w:cs="Batang"/>
          <w:szCs w:val="24"/>
          <w:lang w:eastAsia="ko-KR"/>
        </w:rPr>
        <w:t>E</w:t>
      </w:r>
      <w:r w:rsidR="00687235" w:rsidRPr="00186365">
        <w:rPr>
          <w:rFonts w:eastAsia="Malgun Gothic" w:cs="Batang"/>
          <w:szCs w:val="24"/>
          <w:lang w:eastAsia="ko-KR"/>
        </w:rPr>
        <w:t xml:space="preserve">xisting </w:t>
      </w:r>
      <w:r w:rsidR="0089088C">
        <w:rPr>
          <w:rFonts w:eastAsia="Malgun Gothic" w:cs="Batang"/>
          <w:szCs w:val="24"/>
          <w:lang w:eastAsia="ko-KR"/>
        </w:rPr>
        <w:t>R</w:t>
      </w:r>
      <w:r w:rsidR="00687235" w:rsidRPr="00186365">
        <w:rPr>
          <w:rFonts w:eastAsia="Malgun Gothic" w:cs="Batang"/>
          <w:szCs w:val="24"/>
          <w:lang w:eastAsia="ko-KR"/>
        </w:rPr>
        <w:t>egulations</w:t>
      </w:r>
    </w:p>
    <w:p w14:paraId="3981CEEA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720"/>
        <w:jc w:val="both"/>
        <w:rPr>
          <w:rFonts w:eastAsia="Malgun Gothic"/>
          <w:szCs w:val="24"/>
          <w:lang w:eastAsia="ko-KR"/>
        </w:rPr>
      </w:pPr>
    </w:p>
    <w:p w14:paraId="28A14889" w14:textId="1993F47F" w:rsidR="00C81980" w:rsidRPr="00186365" w:rsidRDefault="00C81980" w:rsidP="003A61FE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720"/>
        <w:jc w:val="both"/>
        <w:rPr>
          <w:rFonts w:eastAsia="Malgun Gothic" w:cs="Batang" w:hint="eastAsia"/>
          <w:lang w:eastAsia="ko-KR"/>
        </w:rPr>
      </w:pPr>
      <w:r w:rsidRPr="00186365">
        <w:rPr>
          <w:rFonts w:eastAsia="Malgun Gothic" w:cs="Batang"/>
          <w:lang w:eastAsia="ko-KR"/>
        </w:rPr>
        <w:t xml:space="preserve">It is </w:t>
      </w:r>
      <w:r w:rsidRPr="00186365">
        <w:rPr>
          <w:rFonts w:eastAsia="Malgun Gothic" w:cs="Batang"/>
          <w:lang w:eastAsia="ko-KR"/>
        </w:rPr>
        <w:t>recommended</w:t>
      </w:r>
      <w:r w:rsidRPr="00186365">
        <w:rPr>
          <w:rFonts w:eastAsia="Malgun Gothic" w:cs="Batang"/>
          <w:lang w:eastAsia="ko-KR"/>
        </w:rPr>
        <w:t xml:space="preserve"> to integrate congestion charg</w:t>
      </w:r>
      <w:r w:rsidRPr="00186365">
        <w:rPr>
          <w:rFonts w:eastAsia="Malgun Gothic" w:cs="Batang"/>
          <w:lang w:eastAsia="ko-KR"/>
        </w:rPr>
        <w:t xml:space="preserve">ing </w:t>
      </w:r>
      <w:r w:rsidRPr="00186365">
        <w:rPr>
          <w:rFonts w:eastAsia="Malgun Gothic" w:cs="Batang"/>
          <w:lang w:eastAsia="ko-KR"/>
        </w:rPr>
        <w:t xml:space="preserve">with </w:t>
      </w:r>
      <w:r w:rsidRPr="00186365">
        <w:rPr>
          <w:rFonts w:eastAsia="Malgun Gothic" w:cs="Batang"/>
          <w:lang w:eastAsia="ko-KR"/>
        </w:rPr>
        <w:t xml:space="preserve">other </w:t>
      </w:r>
      <w:r w:rsidRPr="00186365">
        <w:rPr>
          <w:rFonts w:eastAsia="Malgun Gothic" w:cs="Batang"/>
          <w:lang w:eastAsia="ko-KR"/>
        </w:rPr>
        <w:t xml:space="preserve">existing systems such as </w:t>
      </w:r>
      <w:r w:rsidR="00136EF4" w:rsidRPr="00186365">
        <w:rPr>
          <w:rFonts w:eastAsia="Malgun Gothic" w:cs="Batang"/>
          <w:lang w:eastAsia="ko-KR"/>
        </w:rPr>
        <w:t>public transport incentives</w:t>
      </w:r>
      <w:r w:rsidR="00136EF4">
        <w:rPr>
          <w:rFonts w:eastAsia="Malgun Gothic" w:cs="Batang" w:hint="eastAsia"/>
          <w:lang w:eastAsia="ko-KR"/>
        </w:rPr>
        <w:t xml:space="preserve"> </w:t>
      </w:r>
      <w:r w:rsidR="00136EF4">
        <w:rPr>
          <w:rFonts w:eastAsia="Malgun Gothic" w:cs="Batang"/>
          <w:lang w:eastAsia="ko-KR"/>
        </w:rPr>
        <w:t xml:space="preserve">and </w:t>
      </w:r>
      <w:r w:rsidRPr="00186365">
        <w:rPr>
          <w:rFonts w:eastAsia="Malgun Gothic" w:cs="Batang"/>
          <w:lang w:eastAsia="ko-KR"/>
        </w:rPr>
        <w:t>vehicle registration regulations</w:t>
      </w:r>
      <w:r w:rsidR="00136EF4">
        <w:rPr>
          <w:rFonts w:eastAsia="Malgun Gothic" w:cs="Batang"/>
          <w:lang w:eastAsia="ko-KR"/>
        </w:rPr>
        <w:t>.</w:t>
      </w:r>
      <w:r w:rsidRPr="00186365">
        <w:rPr>
          <w:rFonts w:eastAsia="Malgun Gothic" w:cs="Batang"/>
          <w:lang w:eastAsia="ko-KR"/>
        </w:rPr>
        <w:t xml:space="preserve"> The </w:t>
      </w:r>
      <w:r w:rsidR="00136EF4">
        <w:rPr>
          <w:rFonts w:eastAsia="Malgun Gothic" w:cs="Batang"/>
          <w:lang w:eastAsia="ko-KR"/>
        </w:rPr>
        <w:t>proposed</w:t>
      </w:r>
      <w:r w:rsidRPr="00186365">
        <w:rPr>
          <w:rFonts w:eastAsia="Malgun Gothic" w:cs="Batang"/>
          <w:lang w:eastAsia="ko-KR"/>
        </w:rPr>
        <w:t xml:space="preserve"> </w:t>
      </w:r>
      <w:r w:rsidR="006E6CB2">
        <w:rPr>
          <w:rFonts w:eastAsia="Malgun Gothic" w:cs="Batang"/>
          <w:lang w:eastAsia="ko-KR"/>
        </w:rPr>
        <w:t>w</w:t>
      </w:r>
      <w:r w:rsidRPr="00186365">
        <w:rPr>
          <w:rFonts w:eastAsia="Malgun Gothic" w:cs="Batang"/>
          <w:lang w:eastAsia="ko-KR"/>
        </w:rPr>
        <w:t xml:space="preserve">estern </w:t>
      </w:r>
      <w:r w:rsidR="006E6CB2">
        <w:rPr>
          <w:rFonts w:eastAsia="Malgun Gothic" w:cs="Batang"/>
          <w:lang w:eastAsia="ko-KR"/>
        </w:rPr>
        <w:t>e</w:t>
      </w:r>
      <w:r w:rsidRPr="00186365">
        <w:rPr>
          <w:rFonts w:eastAsia="Malgun Gothic" w:cs="Batang"/>
          <w:lang w:eastAsia="ko-KR"/>
        </w:rPr>
        <w:t xml:space="preserve">xtension area includes </w:t>
      </w:r>
      <w:r w:rsidRPr="00186365">
        <w:rPr>
          <w:rFonts w:eastAsia="Malgun Gothic" w:cs="Batang"/>
          <w:lang w:eastAsia="ko-KR"/>
        </w:rPr>
        <w:t xml:space="preserve">50 percent </w:t>
      </w:r>
      <w:r w:rsidRPr="00186365">
        <w:rPr>
          <w:rFonts w:eastAsia="Malgun Gothic" w:cs="Batang"/>
          <w:lang w:eastAsia="ko-KR"/>
        </w:rPr>
        <w:t>more residential neighborhoods than Central London</w:t>
      </w:r>
      <w:r w:rsidR="008E6134">
        <w:rPr>
          <w:rFonts w:eastAsia="Malgun Gothic" w:cs="Batang"/>
          <w:lang w:eastAsia="ko-KR"/>
        </w:rPr>
        <w:t xml:space="preserve"> </w:t>
      </w:r>
      <w:r w:rsidR="008E6134" w:rsidRPr="008E6134">
        <w:rPr>
          <w:rFonts w:eastAsia="Malgun Gothic" w:cs="Batang"/>
          <w:lang w:eastAsia="ko-KR"/>
        </w:rPr>
        <w:t>(Gómez-Ibáñez, 2005)</w:t>
      </w:r>
      <w:r w:rsidRPr="00186365">
        <w:rPr>
          <w:rFonts w:eastAsia="Malgun Gothic" w:cs="Batang"/>
          <w:lang w:eastAsia="ko-KR"/>
        </w:rPr>
        <w:t xml:space="preserve">, so it is even more important to </w:t>
      </w:r>
      <w:r w:rsidRPr="00186365">
        <w:rPr>
          <w:rFonts w:eastAsia="Malgun Gothic" w:cs="Batang"/>
          <w:lang w:eastAsia="ko-KR"/>
        </w:rPr>
        <w:t xml:space="preserve">actively </w:t>
      </w:r>
      <w:r w:rsidRPr="00186365">
        <w:rPr>
          <w:rFonts w:eastAsia="Malgun Gothic" w:cs="Batang"/>
          <w:lang w:eastAsia="ko-KR"/>
        </w:rPr>
        <w:t xml:space="preserve">accommodate the travel patterns and needs of residents than </w:t>
      </w:r>
      <w:r w:rsidR="00136EF4">
        <w:rPr>
          <w:rFonts w:eastAsia="Malgun Gothic" w:cs="Batang"/>
          <w:lang w:eastAsia="ko-KR"/>
        </w:rPr>
        <w:t xml:space="preserve">it is </w:t>
      </w:r>
      <w:r w:rsidRPr="00186365">
        <w:rPr>
          <w:rFonts w:eastAsia="Malgun Gothic" w:cs="Batang"/>
          <w:lang w:eastAsia="ko-KR"/>
        </w:rPr>
        <w:t xml:space="preserve">in Central London. If existing regulations (such as parking restrictions) excessively overlap with additional congestion charges, residents may </w:t>
      </w:r>
      <w:r w:rsidRPr="00186365">
        <w:rPr>
          <w:rFonts w:eastAsia="Malgun Gothic" w:cs="Batang"/>
          <w:lang w:eastAsia="ko-KR"/>
        </w:rPr>
        <w:t>feel</w:t>
      </w:r>
      <w:r w:rsidRPr="00186365">
        <w:rPr>
          <w:rFonts w:eastAsia="Malgun Gothic" w:cs="Batang"/>
          <w:lang w:eastAsia="ko-KR"/>
        </w:rPr>
        <w:t xml:space="preserve"> </w:t>
      </w:r>
      <w:r w:rsidRPr="00186365">
        <w:rPr>
          <w:rFonts w:eastAsia="Malgun Gothic" w:cs="Batang"/>
          <w:lang w:eastAsia="ko-KR"/>
        </w:rPr>
        <w:t xml:space="preserve">it is </w:t>
      </w:r>
      <w:r w:rsidRPr="00186365">
        <w:rPr>
          <w:rFonts w:eastAsia="Malgun Gothic" w:cs="Batang"/>
          <w:lang w:eastAsia="ko-KR"/>
        </w:rPr>
        <w:t>unfair</w:t>
      </w:r>
      <w:r w:rsidRPr="00186365">
        <w:rPr>
          <w:rFonts w:eastAsia="Malgun Gothic" w:cs="Batang"/>
          <w:lang w:eastAsia="ko-KR"/>
        </w:rPr>
        <w:t>.</w:t>
      </w:r>
      <w:r w:rsidRPr="00186365">
        <w:rPr>
          <w:rFonts w:eastAsia="Malgun Gothic" w:cs="Batang"/>
          <w:lang w:eastAsia="ko-KR"/>
        </w:rPr>
        <w:t xml:space="preserve"> </w:t>
      </w:r>
      <w:r w:rsidRPr="00186365">
        <w:rPr>
          <w:rFonts w:eastAsia="Malgun Gothic" w:cs="Batang"/>
          <w:lang w:eastAsia="ko-KR"/>
        </w:rPr>
        <w:t>I</w:t>
      </w:r>
      <w:r w:rsidRPr="00186365">
        <w:rPr>
          <w:rFonts w:eastAsia="Malgun Gothic" w:cs="Batang"/>
          <w:lang w:eastAsia="ko-KR"/>
        </w:rPr>
        <w:t xml:space="preserve">f this </w:t>
      </w:r>
      <w:r w:rsidR="00A60F04">
        <w:rPr>
          <w:rFonts w:eastAsia="Malgun Gothic" w:cs="Batang"/>
          <w:lang w:eastAsia="ko-KR"/>
        </w:rPr>
        <w:t>issue persists</w:t>
      </w:r>
      <w:r w:rsidRPr="00186365">
        <w:rPr>
          <w:rFonts w:eastAsia="Malgun Gothic" w:cs="Batang"/>
          <w:lang w:eastAsia="ko-KR"/>
        </w:rPr>
        <w:t xml:space="preserve">, it may </w:t>
      </w:r>
      <w:r w:rsidRPr="00186365">
        <w:rPr>
          <w:rFonts w:eastAsia="Malgun Gothic" w:cs="Batang"/>
          <w:lang w:eastAsia="ko-KR"/>
        </w:rPr>
        <w:t xml:space="preserve">lead to policy failure. </w:t>
      </w:r>
      <w:r w:rsidR="003A61FE">
        <w:rPr>
          <w:rFonts w:eastAsia="Malgun Gothic" w:cs="Batang"/>
          <w:lang w:eastAsia="ko-KR"/>
        </w:rPr>
        <w:t xml:space="preserve">An integrated approach </w:t>
      </w:r>
      <w:r w:rsidR="008A6AA3">
        <w:rPr>
          <w:rFonts w:eastAsia="Malgun Gothic" w:cs="Batang"/>
          <w:lang w:eastAsia="ko-KR"/>
        </w:rPr>
        <w:t>should balance incentives and penalties</w:t>
      </w:r>
      <w:r w:rsidR="003A61FE">
        <w:rPr>
          <w:rFonts w:eastAsia="Malgun Gothic" w:cs="Batang"/>
          <w:lang w:eastAsia="ko-KR"/>
        </w:rPr>
        <w:t xml:space="preserve">. </w:t>
      </w:r>
      <w:r w:rsidR="003A61FE">
        <w:rPr>
          <w:rFonts w:eastAsia="Malgun Gothic" w:cs="Batang"/>
          <w:lang w:eastAsia="ko-KR"/>
        </w:rPr>
        <w:t>One</w:t>
      </w:r>
      <w:r w:rsidR="003A61FE" w:rsidRPr="00186365">
        <w:rPr>
          <w:rFonts w:eastAsia="Malgun Gothic" w:cs="Batang"/>
          <w:lang w:eastAsia="ko-KR"/>
        </w:rPr>
        <w:t xml:space="preserve"> alternative is to exempt</w:t>
      </w:r>
      <w:r w:rsidR="003A61FE">
        <w:rPr>
          <w:rFonts w:eastAsia="Malgun Gothic" w:cs="Batang"/>
          <w:lang w:eastAsia="ko-KR"/>
        </w:rPr>
        <w:t xml:space="preserve"> </w:t>
      </w:r>
      <w:r w:rsidR="003A61FE" w:rsidRPr="00186365">
        <w:rPr>
          <w:rFonts w:eastAsia="Malgun Gothic" w:cs="Batang"/>
          <w:lang w:eastAsia="ko-KR"/>
        </w:rPr>
        <w:t>the western area from the next fare increase</w:t>
      </w:r>
      <w:r w:rsidR="003A61FE">
        <w:rPr>
          <w:rFonts w:eastAsia="Malgun Gothic" w:cs="Batang"/>
          <w:lang w:eastAsia="ko-KR"/>
        </w:rPr>
        <w:t xml:space="preserve"> to </w:t>
      </w:r>
      <w:r w:rsidR="00136EF4">
        <w:rPr>
          <w:rFonts w:eastAsia="Malgun Gothic" w:cs="Batang"/>
          <w:lang w:eastAsia="ko-KR"/>
        </w:rPr>
        <w:t>encourage</w:t>
      </w:r>
      <w:r w:rsidR="003A61FE" w:rsidRPr="00186365">
        <w:rPr>
          <w:rFonts w:eastAsia="Malgun Gothic" w:cs="Batang"/>
          <w:lang w:eastAsia="ko-KR"/>
        </w:rPr>
        <w:t xml:space="preserve"> public transport </w:t>
      </w:r>
      <w:r w:rsidR="00136EF4">
        <w:rPr>
          <w:rFonts w:eastAsia="Malgun Gothic" w:cs="Batang"/>
          <w:lang w:eastAsia="ko-KR"/>
        </w:rPr>
        <w:t>use</w:t>
      </w:r>
      <w:r w:rsidR="003A61FE">
        <w:rPr>
          <w:rFonts w:eastAsia="Malgun Gothic" w:cs="Batang"/>
          <w:lang w:eastAsia="ko-KR"/>
        </w:rPr>
        <w:t>.</w:t>
      </w:r>
      <w:r w:rsidR="003A61FE" w:rsidRPr="00186365">
        <w:rPr>
          <w:rFonts w:eastAsia="Malgun Gothic" w:cs="Batang"/>
          <w:lang w:eastAsia="ko-KR"/>
        </w:rPr>
        <w:t xml:space="preserve"> </w:t>
      </w:r>
      <w:r w:rsidRPr="00186365">
        <w:rPr>
          <w:rFonts w:eastAsia="Malgun Gothic" w:cs="Batang"/>
          <w:lang w:eastAsia="ko-KR"/>
        </w:rPr>
        <w:t>An</w:t>
      </w:r>
      <w:r w:rsidR="003A61FE">
        <w:rPr>
          <w:rFonts w:eastAsia="Malgun Gothic" w:cs="Batang"/>
          <w:lang w:eastAsia="ko-KR"/>
        </w:rPr>
        <w:t>other</w:t>
      </w:r>
      <w:r w:rsidRPr="00186365">
        <w:rPr>
          <w:rFonts w:eastAsia="Malgun Gothic" w:cs="Batang"/>
          <w:lang w:eastAsia="ko-KR"/>
        </w:rPr>
        <w:t xml:space="preserve"> </w:t>
      </w:r>
      <w:r w:rsidR="00136EF4">
        <w:rPr>
          <w:rFonts w:eastAsia="Malgun Gothic" w:cs="Batang"/>
          <w:lang w:eastAsia="ko-KR"/>
        </w:rPr>
        <w:t>option</w:t>
      </w:r>
      <w:r w:rsidRPr="00186365">
        <w:rPr>
          <w:rFonts w:eastAsia="Malgun Gothic" w:cs="Batang"/>
          <w:lang w:eastAsia="ko-KR"/>
        </w:rPr>
        <w:t xml:space="preserve"> would be to offer residents </w:t>
      </w:r>
      <w:r w:rsidR="006E6CB2">
        <w:rPr>
          <w:rFonts w:eastAsia="Malgun Gothic" w:cs="Batang"/>
          <w:lang w:eastAsia="ko-KR"/>
        </w:rPr>
        <w:t xml:space="preserve">of the </w:t>
      </w:r>
      <w:r w:rsidR="006E6CB2">
        <w:rPr>
          <w:rFonts w:eastAsia="Malgun Gothic" w:cs="Batang"/>
          <w:lang w:eastAsia="ko-KR"/>
        </w:rPr>
        <w:t xml:space="preserve">western zone </w:t>
      </w:r>
      <w:r w:rsidRPr="00186365">
        <w:rPr>
          <w:rFonts w:eastAsia="Malgun Gothic" w:cs="Batang"/>
          <w:lang w:eastAsia="ko-KR"/>
        </w:rPr>
        <w:t>the same 90</w:t>
      </w:r>
      <w:r w:rsidR="007263A2" w:rsidRPr="00186365">
        <w:rPr>
          <w:rFonts w:eastAsia="Malgun Gothic" w:cs="Batang"/>
          <w:lang w:eastAsia="ko-KR"/>
        </w:rPr>
        <w:t xml:space="preserve"> percent</w:t>
      </w:r>
      <w:r w:rsidRPr="00186365">
        <w:rPr>
          <w:rFonts w:eastAsia="Malgun Gothic" w:cs="Batang"/>
          <w:lang w:eastAsia="ko-KR"/>
        </w:rPr>
        <w:t xml:space="preserve"> discount as Central </w:t>
      </w:r>
      <w:proofErr w:type="gramStart"/>
      <w:r w:rsidRPr="00186365">
        <w:rPr>
          <w:rFonts w:eastAsia="Malgun Gothic" w:cs="Batang"/>
          <w:lang w:eastAsia="ko-KR"/>
        </w:rPr>
        <w:t>London, but</w:t>
      </w:r>
      <w:proofErr w:type="gramEnd"/>
      <w:r w:rsidRPr="00186365">
        <w:rPr>
          <w:rFonts w:eastAsia="Malgun Gothic" w:cs="Batang"/>
          <w:lang w:eastAsia="ko-KR"/>
        </w:rPr>
        <w:t xml:space="preserve"> </w:t>
      </w:r>
      <w:r w:rsidRPr="00186365">
        <w:rPr>
          <w:rFonts w:eastAsia="Malgun Gothic" w:cs="Batang"/>
          <w:lang w:eastAsia="ko-KR"/>
        </w:rPr>
        <w:t>limit</w:t>
      </w:r>
      <w:r w:rsidRPr="00186365">
        <w:rPr>
          <w:rFonts w:eastAsia="Malgun Gothic" w:cs="Batang"/>
          <w:lang w:eastAsia="ko-KR"/>
        </w:rPr>
        <w:t xml:space="preserve"> </w:t>
      </w:r>
      <w:r w:rsidRPr="00186365">
        <w:rPr>
          <w:rFonts w:eastAsia="Malgun Gothic" w:cs="Batang"/>
          <w:lang w:eastAsia="ko-KR"/>
        </w:rPr>
        <w:t xml:space="preserve">the discount to only one vehicle per household, as many households in </w:t>
      </w:r>
      <w:r w:rsidR="006E6CB2">
        <w:rPr>
          <w:rFonts w:eastAsia="Malgun Gothic" w:cs="Batang"/>
          <w:lang w:eastAsia="ko-KR"/>
        </w:rPr>
        <w:t>w</w:t>
      </w:r>
      <w:r w:rsidRPr="00186365">
        <w:rPr>
          <w:rFonts w:eastAsia="Malgun Gothic" w:cs="Batang"/>
          <w:lang w:eastAsia="ko-KR"/>
        </w:rPr>
        <w:t>est</w:t>
      </w:r>
      <w:r w:rsidR="00FA4948" w:rsidRPr="00186365">
        <w:rPr>
          <w:rFonts w:eastAsia="Malgun Gothic" w:cs="Batang"/>
          <w:lang w:eastAsia="ko-KR"/>
        </w:rPr>
        <w:t xml:space="preserve">ern </w:t>
      </w:r>
      <w:r w:rsidR="00CA5C57" w:rsidRPr="00186365">
        <w:rPr>
          <w:rFonts w:eastAsia="Malgun Gothic" w:cs="Batang"/>
          <w:lang w:eastAsia="ko-KR"/>
        </w:rPr>
        <w:t>z</w:t>
      </w:r>
      <w:r w:rsidR="00FA4948" w:rsidRPr="00186365">
        <w:rPr>
          <w:rFonts w:eastAsia="Malgun Gothic" w:cs="Batang"/>
          <w:lang w:eastAsia="ko-KR"/>
        </w:rPr>
        <w:t>one</w:t>
      </w:r>
      <w:r w:rsidRPr="00186365">
        <w:rPr>
          <w:rFonts w:eastAsia="Malgun Gothic" w:cs="Batang"/>
          <w:lang w:eastAsia="ko-KR"/>
        </w:rPr>
        <w:t xml:space="preserve"> own more than two vehicles</w:t>
      </w:r>
      <w:r w:rsidR="008E6134">
        <w:rPr>
          <w:rFonts w:eastAsia="Malgun Gothic" w:cs="Batang"/>
          <w:lang w:eastAsia="ko-KR"/>
        </w:rPr>
        <w:t xml:space="preserve"> </w:t>
      </w:r>
      <w:r w:rsidR="008E6134">
        <w:rPr>
          <w:rFonts w:eastAsia="Malgun Gothic"/>
          <w:szCs w:val="24"/>
          <w:lang w:eastAsia="ko-KR"/>
        </w:rPr>
        <w:t>(</w:t>
      </w:r>
      <w:r w:rsidR="008E6134">
        <w:rPr>
          <w:rFonts w:eastAsia="Malgun Gothic"/>
          <w:szCs w:val="24"/>
        </w:rPr>
        <w:t>Gómez-Ibáñez</w:t>
      </w:r>
      <w:r w:rsidR="008E6134">
        <w:rPr>
          <w:rFonts w:eastAsia="Malgun Gothic"/>
          <w:szCs w:val="24"/>
          <w:lang w:eastAsia="ko-KR"/>
        </w:rPr>
        <w:t>, 2005)</w:t>
      </w:r>
      <w:r w:rsidRPr="00186365">
        <w:rPr>
          <w:rFonts w:eastAsia="Malgun Gothic" w:cs="Batang"/>
          <w:lang w:eastAsia="ko-KR"/>
        </w:rPr>
        <w:t xml:space="preserve">. </w:t>
      </w:r>
      <w:r w:rsidR="00837EE8" w:rsidRPr="00186365">
        <w:rPr>
          <w:rFonts w:eastAsia="Malgun Gothic" w:cs="Batang"/>
          <w:lang w:eastAsia="ko-KR"/>
        </w:rPr>
        <w:t xml:space="preserve">It is </w:t>
      </w:r>
      <w:r w:rsidR="003A61FE">
        <w:rPr>
          <w:rFonts w:eastAsia="Malgun Gothic" w:cs="Batang"/>
          <w:lang w:eastAsia="ko-KR"/>
        </w:rPr>
        <w:t xml:space="preserve">also </w:t>
      </w:r>
      <w:r w:rsidR="00837EE8" w:rsidRPr="00186365">
        <w:rPr>
          <w:rFonts w:eastAsia="Malgun Gothic" w:cs="Batang"/>
          <w:lang w:eastAsia="ko-KR"/>
        </w:rPr>
        <w:t>recommended</w:t>
      </w:r>
      <w:r w:rsidR="00BC076A">
        <w:rPr>
          <w:rFonts w:eastAsia="Malgun Gothic" w:cs="Batang"/>
          <w:lang w:eastAsia="ko-KR"/>
        </w:rPr>
        <w:t xml:space="preserve"> that</w:t>
      </w:r>
      <w:r w:rsidRPr="00186365">
        <w:rPr>
          <w:rFonts w:eastAsia="Malgun Gothic" w:cs="Batang"/>
          <w:lang w:eastAsia="ko-KR"/>
        </w:rPr>
        <w:t xml:space="preserve"> a full penalty </w:t>
      </w:r>
      <w:r w:rsidR="00BC076A">
        <w:rPr>
          <w:rFonts w:eastAsia="Malgun Gothic" w:cs="Batang"/>
          <w:lang w:eastAsia="ko-KR"/>
        </w:rPr>
        <w:t xml:space="preserve">be imposed </w:t>
      </w:r>
      <w:r w:rsidRPr="00186365">
        <w:rPr>
          <w:rFonts w:eastAsia="Malgun Gothic" w:cs="Batang"/>
          <w:lang w:eastAsia="ko-KR"/>
        </w:rPr>
        <w:t>with no discount to encourage compliance.</w:t>
      </w:r>
    </w:p>
    <w:p w14:paraId="7619CA8E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firstLine="720"/>
        <w:jc w:val="both"/>
        <w:rPr>
          <w:rFonts w:eastAsia="Malgun Gothic"/>
          <w:lang w:eastAsia="ko-KR"/>
        </w:rPr>
      </w:pPr>
    </w:p>
    <w:p w14:paraId="242BF343" w14:textId="5D30B596" w:rsidR="007912B0" w:rsidRPr="00186365" w:rsidRDefault="009B4FC9" w:rsidP="00EB72EA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/>
          <w:szCs w:val="24"/>
          <w:lang w:eastAsia="ko-KR"/>
        </w:rPr>
      </w:pPr>
      <w:r w:rsidRPr="00186365">
        <w:rPr>
          <w:rFonts w:eastAsia="Malgun Gothic"/>
          <w:szCs w:val="24"/>
          <w:lang w:eastAsia="ko-KR"/>
        </w:rPr>
        <w:t xml:space="preserve">b. </w:t>
      </w:r>
      <w:r w:rsidR="0089088C">
        <w:rPr>
          <w:rFonts w:eastAsia="Malgun Gothic"/>
          <w:szCs w:val="24"/>
          <w:lang w:eastAsia="ko-KR"/>
        </w:rPr>
        <w:t>T</w:t>
      </w:r>
      <w:r w:rsidR="00837EE8" w:rsidRPr="00186365">
        <w:rPr>
          <w:rFonts w:eastAsia="Malgun Gothic"/>
          <w:szCs w:val="24"/>
          <w:lang w:eastAsia="ko-KR"/>
        </w:rPr>
        <w:t>wo-zone</w:t>
      </w:r>
      <w:r w:rsidR="007263A2" w:rsidRPr="00186365">
        <w:rPr>
          <w:rFonts w:eastAsia="Malgun Gothic"/>
          <w:szCs w:val="24"/>
          <w:lang w:eastAsia="ko-KR"/>
        </w:rPr>
        <w:t xml:space="preserve"> </w:t>
      </w:r>
      <w:r w:rsidR="0089088C">
        <w:rPr>
          <w:rFonts w:eastAsia="Malgun Gothic"/>
          <w:szCs w:val="24"/>
          <w:lang w:eastAsia="ko-KR"/>
        </w:rPr>
        <w:t>S</w:t>
      </w:r>
      <w:r w:rsidR="007263A2" w:rsidRPr="00186365">
        <w:rPr>
          <w:rFonts w:eastAsia="Malgun Gothic"/>
          <w:szCs w:val="24"/>
          <w:lang w:eastAsia="ko-KR"/>
        </w:rPr>
        <w:t>ystem</w:t>
      </w:r>
      <w:r w:rsidR="0089088C">
        <w:rPr>
          <w:rFonts w:eastAsia="Malgun Gothic"/>
          <w:szCs w:val="24"/>
          <w:lang w:eastAsia="ko-KR"/>
        </w:rPr>
        <w:t xml:space="preserve"> with Clear Plan</w:t>
      </w:r>
    </w:p>
    <w:p w14:paraId="4E8E17BD" w14:textId="77777777" w:rsidR="00EA2627" w:rsidRPr="00186365" w:rsidRDefault="00EA2627" w:rsidP="00EB72EA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 w:hint="eastAsia"/>
          <w:szCs w:val="24"/>
          <w:lang w:eastAsia="ko-KR"/>
        </w:rPr>
      </w:pPr>
    </w:p>
    <w:p w14:paraId="05D86F96" w14:textId="6A449EBE" w:rsidR="009B4FC9" w:rsidRPr="00186365" w:rsidRDefault="00B51234" w:rsidP="0089143C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720"/>
        <w:jc w:val="both"/>
        <w:rPr>
          <w:rFonts w:eastAsia="Malgun Gothic" w:cs="Batang"/>
          <w:lang w:eastAsia="ko-KR"/>
        </w:rPr>
      </w:pPr>
      <w:r w:rsidRPr="00186365">
        <w:rPr>
          <w:rFonts w:eastAsia="Malgun Gothic" w:cs="Batang"/>
          <w:lang w:eastAsia="ko-KR"/>
        </w:rPr>
        <w:t xml:space="preserve">In order to secure the effect of reducing traffic volume, </w:t>
      </w:r>
      <w:r w:rsidRPr="00186365">
        <w:rPr>
          <w:rFonts w:eastAsia="Malgun Gothic" w:cs="Batang"/>
          <w:lang w:eastAsia="ko-KR"/>
        </w:rPr>
        <w:t xml:space="preserve">it is recommended to </w:t>
      </w:r>
      <w:r w:rsidRPr="00186365">
        <w:rPr>
          <w:rFonts w:eastAsia="Malgun Gothic" w:cs="Batang"/>
          <w:lang w:eastAsia="ko-KR"/>
        </w:rPr>
        <w:t xml:space="preserve">introduce a </w:t>
      </w:r>
      <w:r w:rsidR="007263A2" w:rsidRPr="00186365">
        <w:rPr>
          <w:rFonts w:eastAsia="Malgun Gothic" w:cs="Batang"/>
          <w:lang w:eastAsia="ko-KR"/>
        </w:rPr>
        <w:t>t</w:t>
      </w:r>
      <w:r w:rsidRPr="00186365">
        <w:rPr>
          <w:rFonts w:eastAsia="Malgun Gothic" w:cs="Batang"/>
          <w:lang w:eastAsia="ko-KR"/>
        </w:rPr>
        <w:t xml:space="preserve">wo-zone </w:t>
      </w:r>
      <w:proofErr w:type="gramStart"/>
      <w:r w:rsidRPr="00186365">
        <w:rPr>
          <w:rFonts w:eastAsia="Malgun Gothic" w:cs="Batang"/>
          <w:lang w:eastAsia="ko-KR"/>
        </w:rPr>
        <w:t>system, but</w:t>
      </w:r>
      <w:proofErr w:type="gramEnd"/>
      <w:r w:rsidRPr="00186365">
        <w:rPr>
          <w:rFonts w:eastAsia="Malgun Gothic" w:cs="Batang"/>
          <w:lang w:eastAsia="ko-KR"/>
        </w:rPr>
        <w:t xml:space="preserve"> prepare a</w:t>
      </w:r>
      <w:r w:rsidR="007F317E">
        <w:rPr>
          <w:rFonts w:eastAsia="Malgun Gothic" w:cs="Batang"/>
          <w:lang w:eastAsia="ko-KR"/>
        </w:rPr>
        <w:t xml:space="preserve"> clear </w:t>
      </w:r>
      <w:r w:rsidRPr="00186365">
        <w:rPr>
          <w:rFonts w:eastAsia="Malgun Gothic" w:cs="Batang"/>
          <w:lang w:eastAsia="ko-KR"/>
        </w:rPr>
        <w:t>plan</w:t>
      </w:r>
      <w:r w:rsidR="007263A2" w:rsidRPr="00186365">
        <w:rPr>
          <w:rFonts w:eastAsia="Malgun Gothic" w:cs="Batang"/>
          <w:lang w:eastAsia="ko-KR"/>
        </w:rPr>
        <w:t xml:space="preserve"> to minimize </w:t>
      </w:r>
      <w:r w:rsidR="000844EC">
        <w:rPr>
          <w:rFonts w:eastAsia="Malgun Gothic" w:cs="Batang"/>
          <w:lang w:eastAsia="ko-KR"/>
        </w:rPr>
        <w:t>potential</w:t>
      </w:r>
      <w:r w:rsidR="007263A2" w:rsidRPr="00186365">
        <w:rPr>
          <w:rFonts w:eastAsia="Malgun Gothic" w:cs="Batang"/>
          <w:lang w:eastAsia="ko-KR"/>
        </w:rPr>
        <w:t xml:space="preserve"> confusion</w:t>
      </w:r>
      <w:r w:rsidRPr="00186365">
        <w:rPr>
          <w:rFonts w:eastAsia="Malgun Gothic" w:cs="Batang"/>
          <w:lang w:eastAsia="ko-KR"/>
        </w:rPr>
        <w:t xml:space="preserve">. Introducing a two-zone system may </w:t>
      </w:r>
      <w:r w:rsidR="000844EC">
        <w:rPr>
          <w:rFonts w:eastAsia="Malgun Gothic" w:cs="Batang"/>
          <w:lang w:eastAsia="ko-KR"/>
        </w:rPr>
        <w:t xml:space="preserve">cause </w:t>
      </w:r>
      <w:r w:rsidRPr="00186365">
        <w:rPr>
          <w:rFonts w:eastAsia="Malgun Gothic" w:cs="Batang"/>
          <w:lang w:eastAsia="ko-KR"/>
        </w:rPr>
        <w:t>c</w:t>
      </w:r>
      <w:r w:rsidRPr="00186365">
        <w:rPr>
          <w:rFonts w:eastAsia="Malgun Gothic" w:cs="Batang"/>
          <w:lang w:eastAsia="ko-KR"/>
        </w:rPr>
        <w:t>onfus</w:t>
      </w:r>
      <w:r w:rsidR="000844EC">
        <w:rPr>
          <w:rFonts w:eastAsia="Malgun Gothic" w:cs="Batang"/>
          <w:lang w:eastAsia="ko-KR"/>
        </w:rPr>
        <w:t>ion,</w:t>
      </w:r>
      <w:r w:rsidR="007263A2" w:rsidRPr="00186365">
        <w:rPr>
          <w:rFonts w:eastAsia="Malgun Gothic" w:cs="Batang"/>
          <w:lang w:eastAsia="ko-KR"/>
        </w:rPr>
        <w:t xml:space="preserve"> as </w:t>
      </w:r>
      <w:r w:rsidR="000844EC">
        <w:rPr>
          <w:rFonts w:eastAsia="Malgun Gothic" w:cs="Batang"/>
          <w:lang w:eastAsia="ko-KR"/>
        </w:rPr>
        <w:t xml:space="preserve">the </w:t>
      </w:r>
      <w:proofErr w:type="gramStart"/>
      <w:r w:rsidR="007263A2" w:rsidRPr="00186365">
        <w:rPr>
          <w:rFonts w:eastAsia="Malgun Gothic" w:cs="Batang"/>
          <w:lang w:eastAsia="ko-KR"/>
        </w:rPr>
        <w:t>Mayor</w:t>
      </w:r>
      <w:proofErr w:type="gramEnd"/>
      <w:r w:rsidR="007263A2" w:rsidRPr="00186365">
        <w:rPr>
          <w:rFonts w:eastAsia="Malgun Gothic" w:cs="Batang"/>
          <w:lang w:eastAsia="ko-KR"/>
        </w:rPr>
        <w:t xml:space="preserve"> </w:t>
      </w:r>
      <w:r w:rsidR="000844EC">
        <w:rPr>
          <w:rFonts w:eastAsia="Malgun Gothic" w:cs="Batang"/>
          <w:lang w:eastAsia="ko-KR"/>
        </w:rPr>
        <w:t xml:space="preserve">has expressed </w:t>
      </w:r>
      <w:r w:rsidR="007263A2" w:rsidRPr="00186365">
        <w:rPr>
          <w:rFonts w:eastAsia="Malgun Gothic" w:cs="Batang"/>
          <w:lang w:eastAsia="ko-KR"/>
        </w:rPr>
        <w:t>concerns</w:t>
      </w:r>
      <w:r w:rsidR="008E6134">
        <w:rPr>
          <w:rFonts w:eastAsia="Malgun Gothic" w:cs="Batang"/>
          <w:lang w:eastAsia="ko-KR"/>
        </w:rPr>
        <w:t xml:space="preserve"> </w:t>
      </w:r>
      <w:r w:rsidR="008E6134">
        <w:rPr>
          <w:rFonts w:eastAsia="Malgun Gothic"/>
          <w:szCs w:val="24"/>
          <w:lang w:eastAsia="ko-KR"/>
        </w:rPr>
        <w:t>(</w:t>
      </w:r>
      <w:r w:rsidR="008E6134">
        <w:rPr>
          <w:rFonts w:eastAsia="Malgun Gothic"/>
          <w:szCs w:val="24"/>
        </w:rPr>
        <w:t>Gómez-Ibáñez</w:t>
      </w:r>
      <w:r w:rsidR="008E6134">
        <w:rPr>
          <w:rFonts w:eastAsia="Malgun Gothic"/>
          <w:szCs w:val="24"/>
          <w:lang w:eastAsia="ko-KR"/>
        </w:rPr>
        <w:t>, 2005)</w:t>
      </w:r>
      <w:r w:rsidRPr="00186365">
        <w:rPr>
          <w:rFonts w:eastAsia="Malgun Gothic" w:cs="Batang"/>
          <w:lang w:eastAsia="ko-KR"/>
        </w:rPr>
        <w:t>, but</w:t>
      </w:r>
      <w:r w:rsidR="00406CCE" w:rsidRPr="00186365">
        <w:rPr>
          <w:rFonts w:eastAsia="Malgun Gothic" w:cs="Batang" w:hint="eastAsia"/>
          <w:lang w:eastAsia="ko-KR"/>
        </w:rPr>
        <w:t xml:space="preserve"> </w:t>
      </w:r>
      <w:r w:rsidR="006E076C" w:rsidRPr="00186365">
        <w:rPr>
          <w:rFonts w:eastAsia="Malgun Gothic" w:cs="Batang"/>
          <w:lang w:eastAsia="ko-KR"/>
        </w:rPr>
        <w:t>it is still necessary to enhance the effect of this policy</w:t>
      </w:r>
      <w:r w:rsidR="003E0FC7">
        <w:rPr>
          <w:rFonts w:eastAsia="Malgun Gothic" w:cs="Batang"/>
          <w:lang w:eastAsia="ko-KR"/>
        </w:rPr>
        <w:t>. T</w:t>
      </w:r>
      <w:r w:rsidR="006E076C" w:rsidRPr="00186365">
        <w:rPr>
          <w:rFonts w:eastAsia="Malgun Gothic" w:cs="Batang"/>
          <w:lang w:eastAsia="ko-KR"/>
        </w:rPr>
        <w:t xml:space="preserve">he </w:t>
      </w:r>
      <w:r w:rsidR="003E0FC7">
        <w:rPr>
          <w:rFonts w:eastAsia="Malgun Gothic" w:cs="Batang"/>
          <w:lang w:eastAsia="ko-KR"/>
        </w:rPr>
        <w:t xml:space="preserve">total </w:t>
      </w:r>
      <w:r w:rsidR="006E076C" w:rsidRPr="00186365">
        <w:rPr>
          <w:rFonts w:eastAsia="Malgun Gothic" w:cs="Batang"/>
          <w:lang w:eastAsia="ko-KR"/>
        </w:rPr>
        <w:t xml:space="preserve">number of cars and vans in </w:t>
      </w:r>
      <w:r w:rsidR="003E0FC7">
        <w:rPr>
          <w:rFonts w:eastAsia="Malgun Gothic" w:cs="Batang"/>
          <w:lang w:eastAsia="ko-KR"/>
        </w:rPr>
        <w:t xml:space="preserve">the </w:t>
      </w:r>
      <w:r w:rsidR="006E076C" w:rsidRPr="00186365">
        <w:rPr>
          <w:rFonts w:eastAsia="Malgun Gothic" w:cs="Batang"/>
          <w:lang w:eastAsia="ko-KR"/>
        </w:rPr>
        <w:t>western zone is 70,000</w:t>
      </w:r>
      <w:r w:rsidR="003E0FC7">
        <w:rPr>
          <w:rFonts w:eastAsia="Malgun Gothic" w:cs="Batang"/>
          <w:lang w:eastAsia="ko-KR"/>
        </w:rPr>
        <w:t>,</w:t>
      </w:r>
      <w:r w:rsidR="006E076C" w:rsidRPr="00186365">
        <w:rPr>
          <w:rFonts w:eastAsia="Malgun Gothic" w:cs="Batang"/>
          <w:lang w:eastAsia="ko-KR"/>
        </w:rPr>
        <w:t xml:space="preserve"> </w:t>
      </w:r>
      <w:r w:rsidR="003E0FC7">
        <w:rPr>
          <w:rFonts w:eastAsia="Malgun Gothic" w:cs="Batang"/>
          <w:lang w:eastAsia="ko-KR"/>
        </w:rPr>
        <w:t>compared to</w:t>
      </w:r>
      <w:r w:rsidR="006E076C" w:rsidRPr="00186365">
        <w:rPr>
          <w:rFonts w:eastAsia="Malgun Gothic" w:cs="Batang"/>
          <w:lang w:eastAsia="ko-KR"/>
        </w:rPr>
        <w:t xml:space="preserve"> 32,000</w:t>
      </w:r>
      <w:r w:rsidR="002A529F">
        <w:rPr>
          <w:rFonts w:eastAsia="Malgun Gothic" w:cs="Batang"/>
          <w:lang w:eastAsia="ko-KR"/>
        </w:rPr>
        <w:t xml:space="preserve"> in Central London</w:t>
      </w:r>
      <w:r w:rsidR="008E6134">
        <w:rPr>
          <w:rFonts w:eastAsia="Malgun Gothic" w:cs="Batang"/>
          <w:lang w:eastAsia="ko-KR"/>
        </w:rPr>
        <w:t xml:space="preserve"> (Transport for London, 2007)</w:t>
      </w:r>
      <w:r w:rsidR="006E076C" w:rsidRPr="00186365">
        <w:rPr>
          <w:rFonts w:eastAsia="Malgun Gothic" w:cs="Batang"/>
          <w:lang w:eastAsia="ko-KR"/>
        </w:rPr>
        <w:t xml:space="preserve">. </w:t>
      </w:r>
      <w:r w:rsidR="00406CCE" w:rsidRPr="00186365">
        <w:rPr>
          <w:rFonts w:eastAsia="Malgun Gothic" w:cs="Batang"/>
          <w:lang w:eastAsia="ko-KR"/>
        </w:rPr>
        <w:t>“</w:t>
      </w:r>
      <w:r w:rsidR="006E076C" w:rsidRPr="00186365">
        <w:rPr>
          <w:rFonts w:eastAsia="Malgun Gothic" w:cs="Batang"/>
          <w:lang w:eastAsia="ko-KR"/>
        </w:rPr>
        <w:t>S</w:t>
      </w:r>
      <w:r w:rsidR="00406CCE" w:rsidRPr="00186365">
        <w:rPr>
          <w:rFonts w:eastAsia="Malgun Gothic" w:cs="Batang"/>
          <w:lang w:eastAsia="ko-KR"/>
        </w:rPr>
        <w:t xml:space="preserve">eparate zones would reduce the incentive for extension residents to drive into </w:t>
      </w:r>
      <w:r w:rsidR="004B2BC2">
        <w:rPr>
          <w:rFonts w:eastAsia="Malgun Gothic" w:cs="Batang"/>
          <w:lang w:eastAsia="ko-KR"/>
        </w:rPr>
        <w:t>C</w:t>
      </w:r>
      <w:r w:rsidR="00406CCE" w:rsidRPr="00186365">
        <w:rPr>
          <w:rFonts w:eastAsia="Malgun Gothic" w:cs="Batang"/>
          <w:lang w:eastAsia="ko-KR"/>
        </w:rPr>
        <w:t>entral London, thereby protecting £10 million per year in congestion benefits and adding £5 to £10 million per year in revenue compared to a single expanded zone</w:t>
      </w:r>
      <w:r w:rsidR="008E6134">
        <w:rPr>
          <w:rFonts w:eastAsia="Malgun Gothic" w:cs="Batang"/>
          <w:lang w:eastAsia="ko-KR"/>
        </w:rPr>
        <w:t xml:space="preserve"> </w:t>
      </w:r>
      <w:r w:rsidR="008E6134">
        <w:rPr>
          <w:rFonts w:eastAsia="Malgun Gothic"/>
          <w:szCs w:val="24"/>
          <w:lang w:eastAsia="ko-KR"/>
        </w:rPr>
        <w:t>(</w:t>
      </w:r>
      <w:r w:rsidR="008E6134">
        <w:rPr>
          <w:rFonts w:eastAsia="Malgun Gothic"/>
          <w:szCs w:val="24"/>
        </w:rPr>
        <w:t>Gómez-Ibáñez</w:t>
      </w:r>
      <w:r w:rsidR="008E6134">
        <w:rPr>
          <w:rFonts w:eastAsia="Malgun Gothic"/>
          <w:szCs w:val="24"/>
          <w:lang w:eastAsia="ko-KR"/>
        </w:rPr>
        <w:t>, 2005)</w:t>
      </w:r>
      <w:r w:rsidR="00406CCE" w:rsidRPr="00186365">
        <w:rPr>
          <w:rFonts w:eastAsia="Malgun Gothic" w:cs="Batang"/>
          <w:lang w:eastAsia="ko-KR"/>
        </w:rPr>
        <w:t>.”</w:t>
      </w:r>
      <w:r w:rsidR="00406CCE" w:rsidRPr="00186365">
        <w:rPr>
          <w:rFonts w:eastAsia="Malgun Gothic" w:cs="Batang" w:hint="eastAsia"/>
          <w:lang w:eastAsia="ko-KR"/>
        </w:rPr>
        <w:t xml:space="preserve"> </w:t>
      </w:r>
      <w:r w:rsidR="00FA4948" w:rsidRPr="00186365">
        <w:rPr>
          <w:rFonts w:eastAsia="Malgun Gothic" w:cs="Batang"/>
          <w:lang w:eastAsia="ko-KR"/>
        </w:rPr>
        <w:t xml:space="preserve">For example, if a discount is introduced exclusively for travel from </w:t>
      </w:r>
      <w:r w:rsidR="00BC076A">
        <w:rPr>
          <w:rFonts w:eastAsia="Malgun Gothic" w:cs="Batang"/>
          <w:lang w:eastAsia="ko-KR"/>
        </w:rPr>
        <w:t xml:space="preserve">central zone </w:t>
      </w:r>
      <w:r w:rsidR="00FA4948" w:rsidRPr="00186365">
        <w:rPr>
          <w:rFonts w:eastAsia="Malgun Gothic" w:cs="Batang"/>
          <w:lang w:eastAsia="ko-KR"/>
        </w:rPr>
        <w:t xml:space="preserve">to </w:t>
      </w:r>
      <w:r w:rsidR="00BC076A">
        <w:rPr>
          <w:rFonts w:eastAsia="Malgun Gothic" w:cs="Batang"/>
          <w:lang w:eastAsia="ko-KR"/>
        </w:rPr>
        <w:t xml:space="preserve">western zone </w:t>
      </w:r>
      <w:r w:rsidR="00F93D4C">
        <w:rPr>
          <w:rFonts w:eastAsia="Malgun Gothic" w:cs="Batang"/>
          <w:lang w:eastAsia="ko-KR"/>
        </w:rPr>
        <w:t xml:space="preserve">when </w:t>
      </w:r>
      <w:r w:rsidR="00FA4948" w:rsidRPr="00186365">
        <w:rPr>
          <w:rFonts w:eastAsia="Malgun Gothic" w:cs="Batang"/>
          <w:lang w:eastAsia="ko-KR"/>
        </w:rPr>
        <w:t xml:space="preserve">a car </w:t>
      </w:r>
      <w:r w:rsidR="00F93D4C">
        <w:rPr>
          <w:rFonts w:eastAsia="Malgun Gothic" w:cs="Batang"/>
          <w:lang w:eastAsia="ko-KR"/>
        </w:rPr>
        <w:t xml:space="preserve">has already traveled from the western zone to the central zone on </w:t>
      </w:r>
      <w:r w:rsidR="00FA4948" w:rsidRPr="00186365">
        <w:rPr>
          <w:rFonts w:eastAsia="Malgun Gothic" w:cs="Batang"/>
          <w:lang w:eastAsia="ko-KR"/>
        </w:rPr>
        <w:t>the same day</w:t>
      </w:r>
      <w:r w:rsidR="00FA4948" w:rsidRPr="00186365">
        <w:rPr>
          <w:rFonts w:eastAsia="Malgun Gothic" w:cs="Batang"/>
          <w:lang w:eastAsia="ko-KR"/>
        </w:rPr>
        <w:t>,</w:t>
      </w:r>
      <w:r w:rsidR="00FA4948" w:rsidRPr="00186365">
        <w:rPr>
          <w:rFonts w:eastAsia="Malgun Gothic" w:cs="Batang"/>
          <w:lang w:eastAsia="ko-KR"/>
        </w:rPr>
        <w:t xml:space="preserve"> it is expected to ease financial strain</w:t>
      </w:r>
      <w:r w:rsidR="00F93D4C">
        <w:rPr>
          <w:rFonts w:eastAsia="Malgun Gothic" w:cs="Batang"/>
          <w:lang w:eastAsia="ko-KR"/>
        </w:rPr>
        <w:t>,</w:t>
      </w:r>
      <w:r w:rsidR="00FA4948" w:rsidRPr="00186365">
        <w:rPr>
          <w:rFonts w:eastAsia="Malgun Gothic" w:cs="Batang"/>
          <w:lang w:eastAsia="ko-KR"/>
        </w:rPr>
        <w:t xml:space="preserve"> encourag</w:t>
      </w:r>
      <w:r w:rsidR="00F93D4C">
        <w:rPr>
          <w:rFonts w:eastAsia="Malgun Gothic" w:cs="Batang"/>
          <w:lang w:eastAsia="ko-KR"/>
        </w:rPr>
        <w:t>e</w:t>
      </w:r>
      <w:r w:rsidR="00FA4948" w:rsidRPr="00186365">
        <w:rPr>
          <w:rFonts w:eastAsia="Malgun Gothic" w:cs="Batang"/>
          <w:lang w:eastAsia="ko-KR"/>
        </w:rPr>
        <w:t xml:space="preserve"> western commuters to use alternative transport options</w:t>
      </w:r>
      <w:r w:rsidR="007F317E">
        <w:rPr>
          <w:rFonts w:eastAsia="Malgun Gothic" w:cs="Batang"/>
          <w:lang w:eastAsia="ko-KR"/>
        </w:rPr>
        <w:t xml:space="preserve"> as well as </w:t>
      </w:r>
      <w:r w:rsidR="00F93D4C">
        <w:rPr>
          <w:rFonts w:eastAsia="Malgun Gothic" w:cs="Batang"/>
          <w:lang w:eastAsia="ko-KR"/>
        </w:rPr>
        <w:t>provide clear guidelines for implementation.</w:t>
      </w:r>
    </w:p>
    <w:p w14:paraId="62BD0DED" w14:textId="77777777" w:rsidR="009B4FC9" w:rsidRPr="00186365" w:rsidRDefault="009B4FC9" w:rsidP="00406CCE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lang w:eastAsia="ko-KR"/>
        </w:rPr>
      </w:pPr>
    </w:p>
    <w:p w14:paraId="09CC29E6" w14:textId="44CC9B7F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/>
          <w:lang w:eastAsia="ko-KR"/>
        </w:rPr>
      </w:pPr>
      <w:r w:rsidRPr="00186365">
        <w:rPr>
          <w:rFonts w:eastAsia="Malgun Gothic"/>
          <w:lang w:eastAsia="ko-KR"/>
        </w:rPr>
        <w:t>c.</w:t>
      </w:r>
      <w:r w:rsidRPr="00186365">
        <w:rPr>
          <w:rFonts w:eastAsia="Malgun Gothic" w:hint="eastAsia"/>
          <w:lang w:eastAsia="ko-KR"/>
        </w:rPr>
        <w:t xml:space="preserve"> </w:t>
      </w:r>
      <w:r w:rsidR="00FA4948" w:rsidRPr="00186365">
        <w:rPr>
          <w:rFonts w:eastAsia="Malgun Gothic"/>
          <w:lang w:eastAsia="ko-KR"/>
        </w:rPr>
        <w:t xml:space="preserve">Considering </w:t>
      </w:r>
      <w:r w:rsidR="00EA5AF8" w:rsidRPr="00186365">
        <w:rPr>
          <w:rFonts w:eastAsia="Malgun Gothic"/>
          <w:lang w:eastAsia="ko-KR"/>
        </w:rPr>
        <w:t xml:space="preserve">Western </w:t>
      </w:r>
      <w:r w:rsidR="0089088C">
        <w:rPr>
          <w:rFonts w:eastAsia="Malgun Gothic"/>
          <w:lang w:eastAsia="ko-KR"/>
        </w:rPr>
        <w:t>Z</w:t>
      </w:r>
      <w:r w:rsidR="00FA4948" w:rsidRPr="00186365">
        <w:rPr>
          <w:rFonts w:eastAsia="Malgun Gothic"/>
          <w:lang w:eastAsia="ko-KR"/>
        </w:rPr>
        <w:t>one</w:t>
      </w:r>
      <w:r w:rsidR="00EA5AF8" w:rsidRPr="00186365">
        <w:rPr>
          <w:rFonts w:eastAsia="Malgun Gothic"/>
          <w:lang w:eastAsia="ko-KR"/>
        </w:rPr>
        <w:t xml:space="preserve"> </w:t>
      </w:r>
      <w:r w:rsidR="0089088C">
        <w:rPr>
          <w:rFonts w:eastAsia="Malgun Gothic"/>
          <w:lang w:eastAsia="ko-KR"/>
        </w:rPr>
        <w:t>H</w:t>
      </w:r>
      <w:r w:rsidR="00EA5AF8" w:rsidRPr="00186365">
        <w:rPr>
          <w:rFonts w:eastAsia="Malgun Gothic"/>
          <w:lang w:eastAsia="ko-KR"/>
        </w:rPr>
        <w:t xml:space="preserve">as a </w:t>
      </w:r>
      <w:r w:rsidR="0089088C">
        <w:rPr>
          <w:rFonts w:eastAsia="Malgun Gothic"/>
          <w:lang w:eastAsia="ko-KR"/>
        </w:rPr>
        <w:t>D</w:t>
      </w:r>
      <w:r w:rsidR="00EA5AF8" w:rsidRPr="00186365">
        <w:rPr>
          <w:rFonts w:eastAsia="Malgun Gothic"/>
          <w:lang w:eastAsia="ko-KR"/>
        </w:rPr>
        <w:t xml:space="preserve">ifferent </w:t>
      </w:r>
      <w:r w:rsidR="0089088C">
        <w:rPr>
          <w:rFonts w:eastAsia="Malgun Gothic"/>
          <w:lang w:eastAsia="ko-KR"/>
        </w:rPr>
        <w:t>Industry Structure from Central Zone</w:t>
      </w:r>
    </w:p>
    <w:p w14:paraId="5208981B" w14:textId="77777777" w:rsidR="00EA2627" w:rsidRPr="00186365" w:rsidRDefault="00EA2627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 w:cs="Batang"/>
          <w:szCs w:val="24"/>
          <w:lang w:eastAsia="ko-KR"/>
        </w:rPr>
      </w:pPr>
    </w:p>
    <w:p w14:paraId="30D7EAAC" w14:textId="7EBC1718" w:rsidR="00BA029E" w:rsidRPr="00186365" w:rsidRDefault="0089088C" w:rsidP="00061F21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720"/>
        <w:jc w:val="both"/>
        <w:rPr>
          <w:rFonts w:eastAsia="Malgun Gothic" w:cs="Batang" w:hint="eastAsia"/>
          <w:lang w:eastAsia="ko-KR"/>
        </w:rPr>
      </w:pPr>
      <w:r>
        <w:rPr>
          <w:rFonts w:eastAsia="Malgun Gothic"/>
          <w:lang w:eastAsia="ko-KR"/>
        </w:rPr>
        <w:t>It is recommended to c</w:t>
      </w:r>
      <w:r w:rsidRPr="00186365">
        <w:rPr>
          <w:rFonts w:eastAsia="Malgun Gothic"/>
          <w:lang w:eastAsia="ko-KR"/>
        </w:rPr>
        <w:t xml:space="preserve">onsider </w:t>
      </w:r>
      <w:r>
        <w:rPr>
          <w:rFonts w:eastAsia="Malgun Gothic"/>
          <w:lang w:eastAsia="ko-KR"/>
        </w:rPr>
        <w:t>the w</w:t>
      </w:r>
      <w:r w:rsidRPr="00186365">
        <w:rPr>
          <w:rFonts w:eastAsia="Malgun Gothic"/>
          <w:lang w:eastAsia="ko-KR"/>
        </w:rPr>
        <w:t xml:space="preserve">estern </w:t>
      </w:r>
      <w:r>
        <w:rPr>
          <w:rFonts w:eastAsia="Malgun Gothic"/>
          <w:lang w:eastAsia="ko-KR"/>
        </w:rPr>
        <w:t>z</w:t>
      </w:r>
      <w:r w:rsidRPr="00186365">
        <w:rPr>
          <w:rFonts w:eastAsia="Malgun Gothic"/>
          <w:lang w:eastAsia="ko-KR"/>
        </w:rPr>
        <w:t xml:space="preserve">one </w:t>
      </w:r>
      <w:r>
        <w:rPr>
          <w:rFonts w:eastAsia="Malgun Gothic"/>
          <w:lang w:eastAsia="ko-KR"/>
        </w:rPr>
        <w:t>h</w:t>
      </w:r>
      <w:r w:rsidRPr="00186365">
        <w:rPr>
          <w:rFonts w:eastAsia="Malgun Gothic"/>
          <w:lang w:eastAsia="ko-KR"/>
        </w:rPr>
        <w:t xml:space="preserve">as a </w:t>
      </w:r>
      <w:r>
        <w:rPr>
          <w:rFonts w:eastAsia="Malgun Gothic"/>
          <w:lang w:eastAsia="ko-KR"/>
        </w:rPr>
        <w:t>d</w:t>
      </w:r>
      <w:r w:rsidRPr="00186365">
        <w:rPr>
          <w:rFonts w:eastAsia="Malgun Gothic"/>
          <w:lang w:eastAsia="ko-KR"/>
        </w:rPr>
        <w:t xml:space="preserve">ifferent </w:t>
      </w:r>
      <w:r>
        <w:rPr>
          <w:rFonts w:eastAsia="Malgun Gothic"/>
          <w:lang w:eastAsia="ko-KR"/>
        </w:rPr>
        <w:t>set of main industries from</w:t>
      </w:r>
      <w:r>
        <w:rPr>
          <w:rFonts w:eastAsia="Malgun Gothic"/>
          <w:lang w:eastAsia="ko-KR"/>
        </w:rPr>
        <w:t xml:space="preserve"> Central</w:t>
      </w:r>
      <w:r>
        <w:rPr>
          <w:rFonts w:eastAsia="Malgun Gothic"/>
          <w:lang w:eastAsia="ko-KR"/>
        </w:rPr>
        <w:t xml:space="preserve"> London</w:t>
      </w:r>
      <w:r w:rsidR="00336AF9">
        <w:rPr>
          <w:rFonts w:eastAsia="Malgun Gothic"/>
          <w:lang w:eastAsia="ko-KR"/>
        </w:rPr>
        <w:t xml:space="preserve"> as shown in Exhibit 1</w:t>
      </w:r>
      <w:r>
        <w:rPr>
          <w:rFonts w:eastAsia="Malgun Gothic"/>
          <w:lang w:eastAsia="ko-KR"/>
        </w:rPr>
        <w:t>.</w:t>
      </w:r>
      <w:r>
        <w:rPr>
          <w:rFonts w:eastAsia="Malgun Gothic" w:cs="Batang"/>
          <w:lang w:eastAsia="ko-KR"/>
        </w:rPr>
        <w:t xml:space="preserve"> The </w:t>
      </w:r>
      <w:r w:rsidR="00FA4948" w:rsidRPr="00186365">
        <w:rPr>
          <w:rFonts w:eastAsia="Malgun Gothic" w:cs="Batang"/>
          <w:lang w:eastAsia="ko-KR"/>
        </w:rPr>
        <w:t>Central London</w:t>
      </w:r>
      <w:r w:rsidR="00BA029E" w:rsidRPr="00186365">
        <w:rPr>
          <w:rFonts w:eastAsia="Malgun Gothic" w:cs="Batang"/>
          <w:lang w:eastAsia="ko-KR"/>
        </w:rPr>
        <w:t xml:space="preserve"> had 50% of jobs in financial and business services, while the western zone had 29%</w:t>
      </w:r>
      <w:r w:rsidR="002073C7">
        <w:rPr>
          <w:rFonts w:eastAsia="Malgun Gothic" w:cs="Batang"/>
          <w:lang w:eastAsia="ko-KR"/>
        </w:rPr>
        <w:t xml:space="preserve"> </w:t>
      </w:r>
      <w:r w:rsidR="002073C7">
        <w:rPr>
          <w:rFonts w:eastAsia="Malgun Gothic" w:cs="Batang"/>
          <w:lang w:eastAsia="ko-KR"/>
        </w:rPr>
        <w:t>(Transport for London, 2007)</w:t>
      </w:r>
      <w:r w:rsidR="00EA5AF8" w:rsidRPr="00186365">
        <w:rPr>
          <w:rFonts w:eastAsia="Malgun Gothic" w:cs="Batang" w:hint="eastAsia"/>
          <w:lang w:eastAsia="ko-KR"/>
        </w:rPr>
        <w:t>.</w:t>
      </w:r>
      <w:r w:rsidR="00243CE7">
        <w:rPr>
          <w:rFonts w:eastAsia="Malgun Gothic" w:cs="Batang"/>
          <w:lang w:eastAsia="ko-KR"/>
        </w:rPr>
        <w:t xml:space="preserve"> </w:t>
      </w:r>
      <w:r w:rsidR="00EA2627" w:rsidRPr="00186365">
        <w:rPr>
          <w:rFonts w:eastAsia="Malgun Gothic" w:cs="Batang"/>
          <w:lang w:eastAsia="ko-KR"/>
        </w:rPr>
        <w:t xml:space="preserve">Also, </w:t>
      </w:r>
      <w:proofErr w:type="gramStart"/>
      <w:r w:rsidR="00EA2627" w:rsidRPr="00186365">
        <w:rPr>
          <w:rFonts w:eastAsia="Malgun Gothic" w:cs="Batang"/>
          <w:lang w:eastAsia="ko-KR"/>
        </w:rPr>
        <w:t>The</w:t>
      </w:r>
      <w:proofErr w:type="gramEnd"/>
      <w:r w:rsidR="00EA2627" w:rsidRPr="00186365">
        <w:rPr>
          <w:rFonts w:eastAsia="Malgun Gothic" w:cs="Batang"/>
          <w:lang w:eastAsia="ko-KR"/>
        </w:rPr>
        <w:t xml:space="preserve"> western zone had relatively higher representation in sectors such as retail, education and health, and hotels and restaurants</w:t>
      </w:r>
      <w:r w:rsidR="002073C7">
        <w:rPr>
          <w:rFonts w:eastAsia="Malgun Gothic" w:cs="Batang"/>
          <w:lang w:eastAsia="ko-KR"/>
        </w:rPr>
        <w:t xml:space="preserve"> (Transport for London, 2007)</w:t>
      </w:r>
      <w:r w:rsidR="00EA2627" w:rsidRPr="00186365">
        <w:rPr>
          <w:rFonts w:eastAsia="Malgun Gothic" w:cs="Batang"/>
          <w:lang w:eastAsia="ko-KR"/>
        </w:rPr>
        <w:t xml:space="preserve">. </w:t>
      </w:r>
      <w:r w:rsidR="00061F21" w:rsidRPr="00186365">
        <w:rPr>
          <w:rFonts w:eastAsia="Malgun Gothic" w:cs="Batang"/>
          <w:lang w:eastAsia="ko-KR"/>
        </w:rPr>
        <w:t>If</w:t>
      </w:r>
      <w:r w:rsidR="00061F21" w:rsidRPr="00186365">
        <w:rPr>
          <w:rFonts w:eastAsia="Malgun Gothic" w:cs="Batang"/>
          <w:lang w:eastAsia="ko-KR"/>
        </w:rPr>
        <w:t xml:space="preserve"> the western extension is implemented without considering these issues, there is a risk of s</w:t>
      </w:r>
      <w:r w:rsidR="00243CE7">
        <w:rPr>
          <w:rFonts w:eastAsia="Malgun Gothic" w:cs="Batang"/>
          <w:lang w:eastAsia="ko-KR"/>
        </w:rPr>
        <w:t>ignificant</w:t>
      </w:r>
      <w:r w:rsidR="00061F21" w:rsidRPr="00186365">
        <w:rPr>
          <w:rFonts w:eastAsia="Malgun Gothic" w:cs="Batang"/>
          <w:lang w:eastAsia="ko-KR"/>
        </w:rPr>
        <w:t xml:space="preserve"> backlash compared to the original scheme. </w:t>
      </w:r>
      <w:r w:rsidR="00243CE7">
        <w:rPr>
          <w:rFonts w:eastAsia="Malgun Gothic" w:cs="Batang"/>
          <w:lang w:eastAsia="ko-KR"/>
        </w:rPr>
        <w:t xml:space="preserve">It is recommended to </w:t>
      </w:r>
      <w:r w:rsidR="002F5C29">
        <w:rPr>
          <w:rFonts w:eastAsia="Malgun Gothic" w:cs="Batang"/>
          <w:lang w:eastAsia="ko-KR"/>
        </w:rPr>
        <w:t>implement</w:t>
      </w:r>
      <w:r w:rsidR="00243CE7">
        <w:rPr>
          <w:rFonts w:eastAsia="Malgun Gothic" w:cs="Batang"/>
          <w:lang w:eastAsia="ko-KR"/>
        </w:rPr>
        <w:t xml:space="preserve"> supplementary measures</w:t>
      </w:r>
      <w:r w:rsidR="00061F21" w:rsidRPr="00186365">
        <w:rPr>
          <w:rFonts w:eastAsia="Malgun Gothic" w:cs="Batang"/>
          <w:lang w:eastAsia="ko-KR"/>
        </w:rPr>
        <w:t xml:space="preserve">, such as vouchers </w:t>
      </w:r>
      <w:r w:rsidR="00243CE7">
        <w:rPr>
          <w:rFonts w:eastAsia="Malgun Gothic" w:cs="Batang"/>
          <w:lang w:eastAsia="ko-KR"/>
        </w:rPr>
        <w:t xml:space="preserve">for visitors who verify their </w:t>
      </w:r>
      <w:r w:rsidR="00061F21" w:rsidRPr="00186365">
        <w:rPr>
          <w:rFonts w:eastAsia="Malgun Gothic" w:cs="Batang"/>
          <w:lang w:eastAsia="ko-KR"/>
        </w:rPr>
        <w:t>congestion charge payment.</w:t>
      </w:r>
    </w:p>
    <w:p w14:paraId="2191C96F" w14:textId="63A60389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  <w:lang w:eastAsia="ko-KR"/>
        </w:rPr>
      </w:pPr>
    </w:p>
    <w:p w14:paraId="095AE4B0" w14:textId="77777777" w:rsidR="00127BA0" w:rsidRDefault="00127BA0">
      <w:pPr>
        <w:rPr>
          <w:rFonts w:ascii="Times New Roman" w:eastAsia="Malgun Gothic" w:hAnsi="Times New Roman" w:cs="Times New Roman"/>
          <w:kern w:val="0"/>
          <w:lang w:eastAsia="en-US"/>
          <w14:ligatures w14:val="none"/>
        </w:rPr>
      </w:pPr>
      <w:r>
        <w:rPr>
          <w:rFonts w:eastAsia="Malgun Gothic"/>
        </w:rPr>
        <w:br w:type="page"/>
      </w:r>
    </w:p>
    <w:p w14:paraId="70E96E81" w14:textId="32267B74" w:rsidR="009B4FC9" w:rsidRPr="00186365" w:rsidRDefault="00243CE7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  <w:r>
        <w:rPr>
          <w:rFonts w:eastAsia="Malgun Gothic"/>
          <w:szCs w:val="24"/>
        </w:rPr>
        <w:lastRenderedPageBreak/>
        <w:t>3</w:t>
      </w:r>
      <w:r w:rsidR="009B4FC9" w:rsidRPr="00186365">
        <w:rPr>
          <w:rFonts w:eastAsia="Malgun Gothic"/>
          <w:szCs w:val="24"/>
        </w:rPr>
        <w:t>. Conclusion</w:t>
      </w:r>
    </w:p>
    <w:p w14:paraId="46413A22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720"/>
        <w:jc w:val="both"/>
        <w:rPr>
          <w:rFonts w:eastAsia="Malgun Gothic"/>
          <w:szCs w:val="24"/>
        </w:rPr>
      </w:pPr>
    </w:p>
    <w:p w14:paraId="3F9CDA81" w14:textId="71A32BC5" w:rsidR="00E237B4" w:rsidRPr="008E6134" w:rsidRDefault="00E237B4" w:rsidP="008E6134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357"/>
        <w:jc w:val="both"/>
        <w:rPr>
          <w:rFonts w:eastAsia="Malgun Gothic" w:cs="Batang"/>
          <w:szCs w:val="24"/>
          <w:lang w:eastAsia="ko-KR"/>
        </w:rPr>
      </w:pPr>
      <w:r w:rsidRPr="00186365">
        <w:rPr>
          <w:rFonts w:eastAsia="Malgun Gothic"/>
          <w:lang w:eastAsia="ko-KR"/>
        </w:rPr>
        <w:t xml:space="preserve">The </w:t>
      </w:r>
      <w:r w:rsidR="00AE5738">
        <w:rPr>
          <w:rFonts w:eastAsia="Malgun Gothic"/>
          <w:lang w:eastAsia="ko-KR"/>
        </w:rPr>
        <w:t xml:space="preserve">success of the </w:t>
      </w:r>
      <w:r w:rsidRPr="00186365">
        <w:rPr>
          <w:rFonts w:eastAsia="Malgun Gothic"/>
          <w:lang w:eastAsia="ko-KR"/>
        </w:rPr>
        <w:t xml:space="preserve">proposed western extension of congestion charging </w:t>
      </w:r>
      <w:r w:rsidR="00AE5738">
        <w:rPr>
          <w:rFonts w:eastAsia="Malgun Gothic"/>
          <w:lang w:eastAsia="ko-KR"/>
        </w:rPr>
        <w:t xml:space="preserve">depends on addressing key differences in </w:t>
      </w:r>
      <w:r w:rsidR="008E6134">
        <w:rPr>
          <w:rFonts w:eastAsia="Malgun Gothic"/>
          <w:lang w:eastAsia="ko-KR"/>
        </w:rPr>
        <w:t>sociodemographic characteristics</w:t>
      </w:r>
      <w:r w:rsidR="00AE5738">
        <w:rPr>
          <w:rFonts w:eastAsia="Malgun Gothic"/>
          <w:lang w:eastAsia="ko-KR"/>
        </w:rPr>
        <w:t>, traffic patterns, and economic structures between central and western zone</w:t>
      </w:r>
      <w:r w:rsidR="00127BA0">
        <w:rPr>
          <w:rFonts w:eastAsia="Malgun Gothic"/>
          <w:lang w:eastAsia="ko-KR"/>
        </w:rPr>
        <w:t>s</w:t>
      </w:r>
      <w:r w:rsidR="00AE5738">
        <w:rPr>
          <w:rFonts w:eastAsia="Malgun Gothic"/>
          <w:lang w:eastAsia="ko-KR"/>
        </w:rPr>
        <w:t xml:space="preserve">. </w:t>
      </w:r>
      <w:r w:rsidR="00AE5738">
        <w:rPr>
          <w:rFonts w:eastAsia="Malgun Gothic" w:cs="Batang"/>
          <w:szCs w:val="24"/>
          <w:lang w:eastAsia="ko-KR"/>
        </w:rPr>
        <w:t>Since n</w:t>
      </w:r>
      <w:r w:rsidRPr="00186365">
        <w:rPr>
          <w:rFonts w:eastAsia="Malgun Gothic" w:cs="Batang"/>
          <w:szCs w:val="24"/>
          <w:lang w:eastAsia="ko-KR"/>
        </w:rPr>
        <w:t>o one likes to pay for something they currently get for free</w:t>
      </w:r>
      <w:r w:rsidR="00AE5738">
        <w:rPr>
          <w:rFonts w:eastAsia="Malgun Gothic" w:cs="Batang"/>
          <w:szCs w:val="24"/>
          <w:lang w:eastAsia="ko-KR"/>
        </w:rPr>
        <w:t>, public acceptance requires integrating the charge with existing regulations</w:t>
      </w:r>
      <w:r w:rsidR="008E6134">
        <w:rPr>
          <w:rFonts w:eastAsia="Malgun Gothic" w:cs="Batang"/>
          <w:szCs w:val="24"/>
          <w:lang w:eastAsia="ko-KR"/>
        </w:rPr>
        <w:t>,</w:t>
      </w:r>
      <w:r w:rsidR="008E6134">
        <w:rPr>
          <w:rFonts w:eastAsia="Malgun Gothic" w:cs="Batang" w:hint="eastAsia"/>
          <w:szCs w:val="24"/>
          <w:lang w:eastAsia="ko-KR"/>
        </w:rPr>
        <w:t xml:space="preserve"> </w:t>
      </w:r>
      <w:r w:rsidR="008E6134">
        <w:rPr>
          <w:rFonts w:eastAsia="Malgun Gothic" w:cs="Batang"/>
          <w:szCs w:val="24"/>
          <w:lang w:eastAsia="ko-KR"/>
        </w:rPr>
        <w:t>w</w:t>
      </w:r>
      <w:r w:rsidR="00AE5738">
        <w:rPr>
          <w:rFonts w:eastAsia="Malgun Gothic" w:cs="Batang"/>
          <w:szCs w:val="24"/>
          <w:lang w:eastAsia="ko-KR"/>
        </w:rPr>
        <w:t>hile a carefully structured two-zone system can help reduce congestion fairly. Consideration of the western zone’s distinct industries is also essential to avoid unintended economic impacts.</w:t>
      </w:r>
      <w:r w:rsidR="008E6134">
        <w:rPr>
          <w:rFonts w:eastAsia="Malgun Gothic" w:cs="Batang"/>
          <w:szCs w:val="24"/>
          <w:lang w:eastAsia="ko-KR"/>
        </w:rPr>
        <w:t xml:space="preserve"> </w:t>
      </w:r>
    </w:p>
    <w:p w14:paraId="300C6ECE" w14:textId="77777777" w:rsidR="009B4FC9" w:rsidRPr="00186365" w:rsidRDefault="009B4FC9" w:rsidP="00E237B4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  <w:lang w:eastAsia="ko-KR"/>
        </w:rPr>
      </w:pPr>
    </w:p>
    <w:p w14:paraId="680396FF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  <w:r w:rsidRPr="00186365">
        <w:rPr>
          <w:rFonts w:eastAsia="Malgun Gothic"/>
          <w:szCs w:val="24"/>
        </w:rPr>
        <w:t>References</w:t>
      </w:r>
    </w:p>
    <w:p w14:paraId="6CC49D62" w14:textId="77777777" w:rsidR="009B4FC9" w:rsidRPr="00186365" w:rsidRDefault="009B4FC9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="720"/>
        <w:jc w:val="both"/>
        <w:rPr>
          <w:rFonts w:eastAsia="Malgun Gothic"/>
          <w:szCs w:val="24"/>
        </w:rPr>
      </w:pPr>
    </w:p>
    <w:p w14:paraId="4DD6B641" w14:textId="54B48B70" w:rsidR="009B4FC9" w:rsidRDefault="008E6134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57" w:hanging="357"/>
        <w:jc w:val="both"/>
        <w:rPr>
          <w:rFonts w:eastAsia="Malgun Gothic"/>
          <w:szCs w:val="24"/>
        </w:rPr>
      </w:pPr>
      <w:r>
        <w:rPr>
          <w:rFonts w:eastAsia="Malgun Gothic"/>
          <w:szCs w:val="24"/>
        </w:rPr>
        <w:t xml:space="preserve">Gómez-Ibáñez, Jose (2005). </w:t>
      </w:r>
      <w:r w:rsidR="00A51694">
        <w:rPr>
          <w:rFonts w:eastAsia="Malgun Gothic"/>
          <w:szCs w:val="24"/>
        </w:rPr>
        <w:t>Congestion Charging in London (A): The Western Extension. Kennedy School of Government Case Program. CR14-05-1787.0</w:t>
      </w:r>
      <w:r w:rsidR="009B4FC9" w:rsidRPr="00186365">
        <w:rPr>
          <w:rFonts w:eastAsia="Malgun Gothic"/>
          <w:szCs w:val="24"/>
        </w:rPr>
        <w:t xml:space="preserve"> </w:t>
      </w:r>
    </w:p>
    <w:p w14:paraId="201061CA" w14:textId="7E98372F" w:rsidR="002073C7" w:rsidRDefault="002073C7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57" w:hanging="357"/>
        <w:jc w:val="both"/>
        <w:rPr>
          <w:rFonts w:eastAsia="Malgun Gothic"/>
          <w:szCs w:val="24"/>
        </w:rPr>
      </w:pPr>
      <w:r>
        <w:rPr>
          <w:rFonts w:eastAsia="Malgun Gothic"/>
          <w:szCs w:val="24"/>
        </w:rPr>
        <w:t>Transport for London (2007)</w:t>
      </w:r>
      <w:r w:rsidR="008E6134">
        <w:rPr>
          <w:rFonts w:eastAsia="Malgun Gothic"/>
          <w:szCs w:val="24"/>
        </w:rPr>
        <w:t>.</w:t>
      </w:r>
      <w:r>
        <w:rPr>
          <w:rFonts w:eastAsia="Malgun Gothic"/>
          <w:szCs w:val="24"/>
        </w:rPr>
        <w:t xml:space="preserve"> Central London Congestion Charging: Impacts monitoring Fifth Annual Report, July 2007</w:t>
      </w:r>
      <w:r w:rsidR="008E6134">
        <w:rPr>
          <w:rFonts w:eastAsia="Malgun Gothic"/>
          <w:szCs w:val="24"/>
        </w:rPr>
        <w:t>.</w:t>
      </w:r>
    </w:p>
    <w:p w14:paraId="0DFB226F" w14:textId="77777777" w:rsidR="00A51694" w:rsidRDefault="00A51694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57" w:hanging="357"/>
        <w:jc w:val="both"/>
        <w:rPr>
          <w:rFonts w:eastAsia="Malgun Gothic"/>
          <w:szCs w:val="24"/>
        </w:rPr>
      </w:pPr>
    </w:p>
    <w:p w14:paraId="2D842DFD" w14:textId="77777777" w:rsidR="00127BA0" w:rsidRDefault="00127BA0">
      <w:pPr>
        <w:rPr>
          <w:rFonts w:ascii="Times New Roman" w:eastAsia="Malgun Gothic" w:hAnsi="Times New Roman" w:cs="Times New Roman"/>
          <w:kern w:val="0"/>
          <w:lang w:eastAsia="en-US"/>
          <w14:ligatures w14:val="none"/>
        </w:rPr>
      </w:pPr>
      <w:r>
        <w:rPr>
          <w:rFonts w:eastAsia="Malgun Gothic"/>
        </w:rPr>
        <w:br w:type="page"/>
      </w:r>
    </w:p>
    <w:p w14:paraId="72759409" w14:textId="696A4920" w:rsidR="00915B4E" w:rsidRPr="00186365" w:rsidRDefault="00915B4E" w:rsidP="00915B4E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rFonts w:eastAsia="Malgun Gothic"/>
          <w:szCs w:val="24"/>
        </w:rPr>
      </w:pPr>
      <w:r>
        <w:rPr>
          <w:rFonts w:eastAsia="Malgun Gothic"/>
          <w:szCs w:val="24"/>
        </w:rPr>
        <w:lastRenderedPageBreak/>
        <w:t>Exhibit 1. Employee jobs by business sector in western extension, compared to the original central London charging zone and Greater London.</w:t>
      </w:r>
    </w:p>
    <w:p w14:paraId="7833B361" w14:textId="77777777" w:rsidR="00915B4E" w:rsidRPr="00186365" w:rsidRDefault="00915B4E" w:rsidP="009B4FC9">
      <w:pPr>
        <w:pStyle w:val="Header"/>
        <w:tabs>
          <w:tab w:val="left" w:pos="-1080"/>
          <w:tab w:val="left" w:pos="-72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57" w:hanging="357"/>
        <w:jc w:val="both"/>
        <w:rPr>
          <w:rFonts w:eastAsia="Malgun Gothic"/>
          <w:szCs w:val="24"/>
        </w:rPr>
      </w:pPr>
    </w:p>
    <w:p w14:paraId="767E1191" w14:textId="0F5FC9F5" w:rsidR="00837EE8" w:rsidRPr="009070C2" w:rsidRDefault="00883808">
      <w:pPr>
        <w:rPr>
          <w:rFonts w:ascii="Aptos" w:eastAsia="Malgun Gothic" w:hAnsi="Aptos"/>
        </w:rPr>
      </w:pPr>
      <w:r>
        <w:rPr>
          <w:rFonts w:ascii="Aptos" w:eastAsia="Malgun Gothic" w:hAnsi="Aptos"/>
          <w:noProof/>
        </w:rPr>
        <w:drawing>
          <wp:inline distT="0" distB="0" distL="0" distR="0" wp14:anchorId="25640BC7" wp14:editId="486A0FE4">
            <wp:extent cx="5943600" cy="5718175"/>
            <wp:effectExtent l="0" t="0" r="0" b="0"/>
            <wp:docPr id="533300617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0617" name="Picture 1" descr="A screenshot of a tab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EE8" w:rsidRPr="009070C2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E0364" w14:textId="77777777" w:rsidR="00CA43C1" w:rsidRDefault="00CA43C1" w:rsidP="007A28AF">
      <w:pPr>
        <w:spacing w:after="0" w:line="240" w:lineRule="auto"/>
      </w:pPr>
      <w:r>
        <w:separator/>
      </w:r>
    </w:p>
  </w:endnote>
  <w:endnote w:type="continuationSeparator" w:id="0">
    <w:p w14:paraId="13FFAD0D" w14:textId="77777777" w:rsidR="00CA43C1" w:rsidRDefault="00CA43C1" w:rsidP="007A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40261763"/>
      <w:docPartObj>
        <w:docPartGallery w:val="Page Numbers (Bottom of Page)"/>
        <w:docPartUnique/>
      </w:docPartObj>
    </w:sdtPr>
    <w:sdtContent>
      <w:p w14:paraId="47D53DA8" w14:textId="72FC7F54" w:rsidR="007A28AF" w:rsidRDefault="007A28AF" w:rsidP="005A65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ACA8D2" w14:textId="77777777" w:rsidR="007A28AF" w:rsidRDefault="007A2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15500524"/>
      <w:docPartObj>
        <w:docPartGallery w:val="Page Numbers (Bottom of Page)"/>
        <w:docPartUnique/>
      </w:docPartObj>
    </w:sdtPr>
    <w:sdtContent>
      <w:p w14:paraId="655CAF8B" w14:textId="297218A6" w:rsidR="007A28AF" w:rsidRDefault="007A28AF" w:rsidP="005A65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AA3FC0" w14:textId="77777777" w:rsidR="007A28AF" w:rsidRDefault="007A2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9586E" w14:textId="77777777" w:rsidR="00CA43C1" w:rsidRDefault="00CA43C1" w:rsidP="007A28AF">
      <w:pPr>
        <w:spacing w:after="0" w:line="240" w:lineRule="auto"/>
      </w:pPr>
      <w:r>
        <w:separator/>
      </w:r>
    </w:p>
  </w:footnote>
  <w:footnote w:type="continuationSeparator" w:id="0">
    <w:p w14:paraId="428E07DB" w14:textId="77777777" w:rsidR="00CA43C1" w:rsidRDefault="00CA43C1" w:rsidP="007A28AF">
      <w:pPr>
        <w:spacing w:after="0" w:line="240" w:lineRule="auto"/>
      </w:pPr>
      <w:r>
        <w:continuationSeparator/>
      </w:r>
    </w:p>
  </w:footnote>
  <w:footnote w:id="1">
    <w:p w14:paraId="1867EE6D" w14:textId="4FACEE8D" w:rsidR="00FA4948" w:rsidRPr="0033533F" w:rsidRDefault="00FA4948" w:rsidP="00FA4948">
      <w:pPr>
        <w:pStyle w:val="FootnoteText"/>
        <w:rPr>
          <w:rFonts w:ascii="Times New Roman" w:eastAsia="Batang" w:hAnsi="Times New Roman" w:cs="Times New Roman (Body CS)"/>
          <w:lang w:eastAsia="ko-KR"/>
        </w:rPr>
      </w:pPr>
      <w:r w:rsidRPr="0033533F">
        <w:rPr>
          <w:rStyle w:val="FootnoteReference"/>
          <w:rFonts w:ascii="Times New Roman" w:hAnsi="Times New Roman" w:cs="Times New Roman (Body CS)"/>
        </w:rPr>
        <w:footnoteRef/>
      </w:r>
      <w:r w:rsidRPr="0033533F">
        <w:rPr>
          <w:rFonts w:ascii="Times New Roman" w:hAnsi="Times New Roman" w:cs="Times New Roman (Body CS)"/>
        </w:rPr>
        <w:t xml:space="preserve"> The average speed (minutes/kilometer)</w:t>
      </w:r>
      <w:r w:rsidR="0033533F" w:rsidRPr="0033533F">
        <w:rPr>
          <w:rFonts w:ascii="Times New Roman" w:hAnsi="Times New Roman" w:cs="Times New Roman (Body CS)"/>
        </w:rPr>
        <w:t>:</w:t>
      </w:r>
      <w:r w:rsidRPr="0033533F">
        <w:rPr>
          <w:rFonts w:ascii="Times New Roman" w:hAnsi="Times New Roman" w:cs="Times New Roman (Body CS)"/>
        </w:rPr>
        <w:t xml:space="preserve"> (</w:t>
      </w:r>
      <w:proofErr w:type="spellStart"/>
      <w:r w:rsidRPr="0033533F">
        <w:rPr>
          <w:rFonts w:ascii="Times New Roman" w:hAnsi="Times New Roman" w:cs="Times New Roman (Body CS)"/>
        </w:rPr>
        <w:t>i</w:t>
      </w:r>
      <w:proofErr w:type="spellEnd"/>
      <w:r w:rsidRPr="0033533F">
        <w:rPr>
          <w:rFonts w:ascii="Times New Roman" w:hAnsi="Times New Roman" w:cs="Times New Roman (Body CS)"/>
        </w:rPr>
        <w:t xml:space="preserve">) </w:t>
      </w:r>
      <w:r w:rsidR="0033533F" w:rsidRPr="0033533F">
        <w:rPr>
          <w:rFonts w:ascii="Times New Roman" w:hAnsi="Times New Roman" w:cs="Times New Roman (Body CS)"/>
        </w:rPr>
        <w:t>C</w:t>
      </w:r>
      <w:r w:rsidRPr="0033533F">
        <w:rPr>
          <w:rFonts w:ascii="Times New Roman" w:hAnsi="Times New Roman" w:cs="Times New Roman (Body CS)"/>
        </w:rPr>
        <w:t xml:space="preserve">entral </w:t>
      </w:r>
      <w:r w:rsidR="0033533F" w:rsidRPr="0033533F">
        <w:rPr>
          <w:rFonts w:ascii="Times New Roman" w:hAnsi="Times New Roman" w:cs="Times New Roman (Body CS)"/>
        </w:rPr>
        <w:t>L</w:t>
      </w:r>
      <w:r w:rsidRPr="0033533F">
        <w:rPr>
          <w:rFonts w:ascii="Times New Roman" w:hAnsi="Times New Roman" w:cs="Times New Roman (Body CS)"/>
        </w:rPr>
        <w:t xml:space="preserve">ondon </w:t>
      </w:r>
      <w:r w:rsidR="0033533F" w:rsidRPr="0033533F">
        <w:rPr>
          <w:rFonts w:ascii="Times New Roman" w:hAnsi="Times New Roman" w:cs="Times New Roman (Body CS)"/>
        </w:rPr>
        <w:t>(</w:t>
      </w:r>
      <w:r w:rsidRPr="0033533F">
        <w:rPr>
          <w:rFonts w:ascii="Times New Roman" w:hAnsi="Times New Roman" w:cs="Times New Roman (Body CS)"/>
        </w:rPr>
        <w:t>before</w:t>
      </w:r>
      <w:r w:rsidR="0033533F" w:rsidRPr="0033533F">
        <w:rPr>
          <w:rFonts w:ascii="Times New Roman" w:hAnsi="Times New Roman" w:cs="Times New Roman (Body CS)"/>
        </w:rPr>
        <w:t>)</w:t>
      </w:r>
      <w:r w:rsidRPr="0033533F">
        <w:rPr>
          <w:rFonts w:ascii="Times New Roman" w:hAnsi="Times New Roman" w:cs="Times New Roman (Body CS)"/>
        </w:rPr>
        <w:t xml:space="preserve"> 4.3</w:t>
      </w:r>
      <w:r w:rsidR="0033533F" w:rsidRPr="0033533F">
        <w:rPr>
          <w:rFonts w:ascii="Times New Roman" w:hAnsi="Times New Roman" w:cs="Times New Roman (Body CS)"/>
        </w:rPr>
        <w:t>,</w:t>
      </w:r>
      <w:r w:rsidRPr="0033533F">
        <w:rPr>
          <w:rFonts w:ascii="Times New Roman" w:hAnsi="Times New Roman" w:cs="Times New Roman (Body CS)"/>
        </w:rPr>
        <w:t xml:space="preserve"> </w:t>
      </w:r>
      <w:r w:rsidR="0033533F" w:rsidRPr="0033533F">
        <w:rPr>
          <w:rFonts w:ascii="Times New Roman" w:hAnsi="Times New Roman" w:cs="Times New Roman (Body CS)"/>
        </w:rPr>
        <w:t>(ii) Central London (</w:t>
      </w:r>
      <w:r w:rsidRPr="0033533F">
        <w:rPr>
          <w:rFonts w:ascii="Times New Roman" w:hAnsi="Times New Roman" w:cs="Times New Roman (Body CS)"/>
        </w:rPr>
        <w:t>after</w:t>
      </w:r>
      <w:r w:rsidR="0033533F" w:rsidRPr="0033533F">
        <w:rPr>
          <w:rFonts w:ascii="Times New Roman" w:hAnsi="Times New Roman" w:cs="Times New Roman (Body CS)"/>
        </w:rPr>
        <w:t>)</w:t>
      </w:r>
      <w:r w:rsidRPr="0033533F">
        <w:rPr>
          <w:rFonts w:ascii="Times New Roman" w:hAnsi="Times New Roman" w:cs="Times New Roman (Body CS)"/>
        </w:rPr>
        <w:t xml:space="preserve"> 3.6</w:t>
      </w:r>
      <w:r w:rsidR="0033533F" w:rsidRPr="0033533F">
        <w:rPr>
          <w:rFonts w:ascii="Times New Roman" w:hAnsi="Times New Roman" w:cs="Times New Roman (Body CS)"/>
        </w:rPr>
        <w:t>,</w:t>
      </w:r>
      <w:r w:rsidRPr="0033533F">
        <w:rPr>
          <w:rFonts w:ascii="Times New Roman" w:hAnsi="Times New Roman" w:cs="Times New Roman (Body CS)"/>
        </w:rPr>
        <w:t xml:space="preserve"> </w:t>
      </w:r>
      <w:r w:rsidR="0033533F" w:rsidRPr="0033533F">
        <w:rPr>
          <w:rFonts w:ascii="Times New Roman" w:hAnsi="Times New Roman" w:cs="Times New Roman (Body CS)"/>
        </w:rPr>
        <w:t>(iii) W</w:t>
      </w:r>
      <w:r w:rsidRPr="0033533F">
        <w:rPr>
          <w:rFonts w:ascii="Times New Roman" w:hAnsi="Times New Roman" w:cs="Times New Roman (Body CS)"/>
        </w:rPr>
        <w:t>est 3.7</w:t>
      </w:r>
      <w:r w:rsidR="0033533F" w:rsidRPr="0033533F">
        <w:rPr>
          <w:rFonts w:ascii="Times New Roman" w:hAnsi="Times New Roman" w:cs="Times New Roman (Body CS)"/>
        </w:rPr>
        <w:t>,</w:t>
      </w:r>
      <w:r w:rsidRPr="0033533F">
        <w:rPr>
          <w:rFonts w:ascii="Times New Roman" w:hAnsi="Times New Roman" w:cs="Times New Roman (Body CS)"/>
        </w:rPr>
        <w:t xml:space="preserve"> </w:t>
      </w:r>
      <w:r w:rsidR="0033533F" w:rsidRPr="0033533F">
        <w:rPr>
          <w:rFonts w:ascii="Times New Roman" w:hAnsi="Times New Roman" w:cs="Times New Roman (Body CS)"/>
        </w:rPr>
        <w:t>(iv) E</w:t>
      </w:r>
      <w:r w:rsidRPr="0033533F">
        <w:rPr>
          <w:rFonts w:ascii="Times New Roman" w:hAnsi="Times New Roman" w:cs="Times New Roman (Body CS)"/>
        </w:rPr>
        <w:t>ast 2.6</w:t>
      </w:r>
      <w:r w:rsidR="0033533F" w:rsidRPr="0033533F">
        <w:rPr>
          <w:rFonts w:ascii="Times New Roman" w:hAnsi="Times New Roman" w:cs="Times New Roman (Body CS)"/>
        </w:rPr>
        <w:t>,</w:t>
      </w:r>
      <w:r w:rsidRPr="0033533F">
        <w:rPr>
          <w:rFonts w:ascii="Times New Roman" w:hAnsi="Times New Roman" w:cs="Times New Roman (Body CS)"/>
        </w:rPr>
        <w:t xml:space="preserve"> </w:t>
      </w:r>
      <w:r w:rsidR="0033533F" w:rsidRPr="0033533F">
        <w:rPr>
          <w:rFonts w:ascii="Times New Roman" w:hAnsi="Times New Roman" w:cs="Times New Roman (Body CS)"/>
        </w:rPr>
        <w:t>(v) N</w:t>
      </w:r>
      <w:r w:rsidRPr="0033533F">
        <w:rPr>
          <w:rFonts w:ascii="Times New Roman" w:hAnsi="Times New Roman" w:cs="Times New Roman (Body CS)"/>
        </w:rPr>
        <w:t>orth 2.8</w:t>
      </w:r>
      <w:r w:rsidR="0033533F" w:rsidRPr="0033533F">
        <w:rPr>
          <w:rFonts w:ascii="Times New Roman" w:hAnsi="Times New Roman" w:cs="Times New Roman (Body CS)"/>
        </w:rPr>
        <w:t>,</w:t>
      </w:r>
      <w:r w:rsidRPr="0033533F">
        <w:rPr>
          <w:rFonts w:ascii="Times New Roman" w:hAnsi="Times New Roman" w:cs="Times New Roman (Body CS)"/>
        </w:rPr>
        <w:t xml:space="preserve"> </w:t>
      </w:r>
      <w:r w:rsidR="0033533F" w:rsidRPr="0033533F">
        <w:rPr>
          <w:rFonts w:ascii="Times New Roman" w:hAnsi="Times New Roman" w:cs="Times New Roman (Body CS)"/>
        </w:rPr>
        <w:t>(vi) S</w:t>
      </w:r>
      <w:r w:rsidRPr="0033533F">
        <w:rPr>
          <w:rFonts w:ascii="Times New Roman" w:hAnsi="Times New Roman" w:cs="Times New Roman (Body CS)"/>
        </w:rPr>
        <w:t>outh 2.7</w:t>
      </w:r>
      <w:r w:rsidR="0033533F" w:rsidRPr="0033533F">
        <w:rPr>
          <w:rFonts w:ascii="Times New Roman" w:hAnsi="Times New Roman" w:cs="Times New Roman (Body CS)"/>
        </w:rPr>
        <w:t xml:space="preserve"> (</w:t>
      </w:r>
      <w:r w:rsidR="0033533F" w:rsidRPr="0033533F">
        <w:rPr>
          <w:rFonts w:ascii="Times New Roman" w:eastAsia="Malgun Gothic" w:hAnsi="Times New Roman" w:cs="Times New Roman (Body CS)"/>
          <w:szCs w:val="24"/>
        </w:rPr>
        <w:t>Gómez-Ibáñez</w:t>
      </w:r>
      <w:r w:rsidR="0033533F" w:rsidRPr="0033533F">
        <w:rPr>
          <w:rFonts w:ascii="Times New Roman" w:eastAsia="Malgun Gothic" w:hAnsi="Times New Roman" w:cs="Times New Roman (Body CS)"/>
          <w:szCs w:val="24"/>
          <w:lang w:eastAsia="ko-KR"/>
        </w:rPr>
        <w:t>, 2005</w:t>
      </w:r>
      <w:r w:rsidR="0033533F" w:rsidRPr="0033533F">
        <w:rPr>
          <w:rFonts w:ascii="Times New Roman" w:eastAsia="Malgun Gothic" w:hAnsi="Times New Roman" w:cs="Times New Roman (Body CS)"/>
          <w:szCs w:val="24"/>
          <w:lang w:eastAsia="ko-KR"/>
        </w:rPr>
        <w:t>)</w:t>
      </w:r>
      <w:r w:rsidR="00845A1B">
        <w:rPr>
          <w:rFonts w:ascii="Times New Roman" w:eastAsia="Malgun Gothic" w:hAnsi="Times New Roman" w:cs="Times New Roman (Body CS)"/>
          <w:szCs w:val="24"/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B6766"/>
    <w:multiLevelType w:val="hybridMultilevel"/>
    <w:tmpl w:val="0888C1EA"/>
    <w:lvl w:ilvl="0" w:tplc="D152E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6F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02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25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06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00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0A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6D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62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2866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C9"/>
    <w:rsid w:val="00034A8A"/>
    <w:rsid w:val="00061F21"/>
    <w:rsid w:val="00074F2F"/>
    <w:rsid w:val="000844EC"/>
    <w:rsid w:val="00116C9C"/>
    <w:rsid w:val="00127BA0"/>
    <w:rsid w:val="00136EF4"/>
    <w:rsid w:val="00162553"/>
    <w:rsid w:val="00186365"/>
    <w:rsid w:val="002073C7"/>
    <w:rsid w:val="00243CE7"/>
    <w:rsid w:val="002A2EB7"/>
    <w:rsid w:val="002A529F"/>
    <w:rsid w:val="002F5C29"/>
    <w:rsid w:val="0033533F"/>
    <w:rsid w:val="00336AF9"/>
    <w:rsid w:val="003A61FE"/>
    <w:rsid w:val="003B6D5E"/>
    <w:rsid w:val="003D70F1"/>
    <w:rsid w:val="003E0FC7"/>
    <w:rsid w:val="003E4B8E"/>
    <w:rsid w:val="00406CCE"/>
    <w:rsid w:val="00492F09"/>
    <w:rsid w:val="004B2BC2"/>
    <w:rsid w:val="00525ECA"/>
    <w:rsid w:val="005961AB"/>
    <w:rsid w:val="005A461B"/>
    <w:rsid w:val="005C5D19"/>
    <w:rsid w:val="005D27A4"/>
    <w:rsid w:val="0061462F"/>
    <w:rsid w:val="00687235"/>
    <w:rsid w:val="006E076C"/>
    <w:rsid w:val="006E6CB2"/>
    <w:rsid w:val="00702F13"/>
    <w:rsid w:val="007263A2"/>
    <w:rsid w:val="007912B0"/>
    <w:rsid w:val="007A28AF"/>
    <w:rsid w:val="007C5B1D"/>
    <w:rsid w:val="007E0025"/>
    <w:rsid w:val="007F317E"/>
    <w:rsid w:val="00837EE8"/>
    <w:rsid w:val="00845A1B"/>
    <w:rsid w:val="00850415"/>
    <w:rsid w:val="00883808"/>
    <w:rsid w:val="0089088C"/>
    <w:rsid w:val="0089143C"/>
    <w:rsid w:val="008A6AA3"/>
    <w:rsid w:val="008C425B"/>
    <w:rsid w:val="008E6134"/>
    <w:rsid w:val="009070C2"/>
    <w:rsid w:val="009108CC"/>
    <w:rsid w:val="00914879"/>
    <w:rsid w:val="00915B4E"/>
    <w:rsid w:val="00995BB7"/>
    <w:rsid w:val="009B4FC9"/>
    <w:rsid w:val="009B5C5C"/>
    <w:rsid w:val="00A51694"/>
    <w:rsid w:val="00A60F04"/>
    <w:rsid w:val="00A90F9E"/>
    <w:rsid w:val="00AE5738"/>
    <w:rsid w:val="00B06A51"/>
    <w:rsid w:val="00B51234"/>
    <w:rsid w:val="00BA029E"/>
    <w:rsid w:val="00BA728A"/>
    <w:rsid w:val="00BC076A"/>
    <w:rsid w:val="00C031AF"/>
    <w:rsid w:val="00C81980"/>
    <w:rsid w:val="00CA43C1"/>
    <w:rsid w:val="00CA5C57"/>
    <w:rsid w:val="00D309DA"/>
    <w:rsid w:val="00D311FE"/>
    <w:rsid w:val="00D961EB"/>
    <w:rsid w:val="00DF0918"/>
    <w:rsid w:val="00E237B4"/>
    <w:rsid w:val="00E27CE0"/>
    <w:rsid w:val="00E5590E"/>
    <w:rsid w:val="00E76184"/>
    <w:rsid w:val="00E85659"/>
    <w:rsid w:val="00EA2627"/>
    <w:rsid w:val="00EA5AF8"/>
    <w:rsid w:val="00EB72EA"/>
    <w:rsid w:val="00EF015D"/>
    <w:rsid w:val="00F1738C"/>
    <w:rsid w:val="00F93D4C"/>
    <w:rsid w:val="00FA3330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6B5E"/>
  <w15:chartTrackingRefBased/>
  <w15:docId w15:val="{89D11528-E0E9-C741-B865-AE14E78B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F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9B4FC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rsid w:val="009B4FC9"/>
    <w:rPr>
      <w:rFonts w:ascii="Times New Roman" w:eastAsia="Times New Roman" w:hAnsi="Times New Roman" w:cs="Times New Roman"/>
      <w:kern w:val="0"/>
      <w:szCs w:val="2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B4FC9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AF"/>
  </w:style>
  <w:style w:type="character" w:styleId="PageNumber">
    <w:name w:val="page number"/>
    <w:basedOn w:val="DefaultParagraphFont"/>
    <w:uiPriority w:val="99"/>
    <w:semiHidden/>
    <w:unhideWhenUsed/>
    <w:rsid w:val="007A28AF"/>
  </w:style>
  <w:style w:type="paragraph" w:styleId="FootnoteText">
    <w:name w:val="footnote text"/>
    <w:basedOn w:val="Normal"/>
    <w:link w:val="FootnoteTextChar"/>
    <w:uiPriority w:val="99"/>
    <w:semiHidden/>
    <w:unhideWhenUsed/>
    <w:rsid w:val="008838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38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38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Youngsang</dc:creator>
  <cp:keywords/>
  <dc:description/>
  <cp:lastModifiedBy>Jun, Youngsang</cp:lastModifiedBy>
  <cp:revision>63</cp:revision>
  <dcterms:created xsi:type="dcterms:W3CDTF">2025-02-08T18:54:00Z</dcterms:created>
  <dcterms:modified xsi:type="dcterms:W3CDTF">2025-02-15T00:23:00Z</dcterms:modified>
</cp:coreProperties>
</file>