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pacing w:val="20"/>
          <w:sz w:val="40"/>
          <w:szCs w:val="40"/>
        </w:rPr>
        <w:t xml:space="preserve">YALAMANCHILI JOSHI</w:t>
      </w:r>
    </w:p>
    <w:p>
      <w:pPr>
        <w:pBdr>
          <w:bottom w:val="single" w:color="1F3864" w:sz="10" w:space="6"/>
        </w:pBdr>
        <w:spacing w:after="100"/>
        <w:jc w:val="center"/>
      </w:pPr>
      <w:r>
        <w:rPr>
          <w:rFonts w:ascii="Calibri" w:cs="Calibri" w:eastAsia="Calibri" w:hAnsi="Calibri"/>
          <w:i/>
          <w:iCs/>
          <w:color w:val="44546A"/>
          <w:sz w:val="22"/>
          <w:szCs w:val="22"/>
        </w:rPr>
        <w:t xml:space="preserve">Investment Advisor | Wealth Management &amp; Portfolio Advisory</w:t>
      </w:r>
    </w:p>
    <w:p>
      <w:pPr>
        <w:spacing w:after="40"/>
        <w:jc w:val="center"/>
      </w:pPr>
      <w:r>
        <w:rPr>
          <w:rFonts w:ascii="Calibri" w:cs="Calibri" w:eastAsia="Calibri" w:hAnsi="Calibri"/>
          <w:color w:val="44546A"/>
          <w:sz w:val="18"/>
          <w:szCs w:val="18"/>
        </w:rPr>
        <w:t xml:space="preserve">Rajahmundry, Andhra Pradesh, India</w:t>
      </w:r>
      <w:r>
        <w:rPr>
          <w:rFonts w:ascii="Calibri" w:cs="Calibri" w:eastAsia="Calibri" w:hAnsi="Calibri"/>
          <w:color w:val="BFBFBF"/>
          <w:sz w:val="18"/>
          <w:szCs w:val="18"/>
        </w:rPr>
        <w:t xml:space="preserve">   |   </w:t>
      </w:r>
      <w:r>
        <w:rPr>
          <w:rFonts w:ascii="Calibri" w:cs="Calibri" w:eastAsia="Calibri" w:hAnsi="Calibri"/>
          <w:color w:val="44546A"/>
          <w:sz w:val="18"/>
          <w:szCs w:val="18"/>
        </w:rPr>
        <w:t xml:space="preserve">+91 9177420360</w:t>
      </w:r>
      <w:r>
        <w:rPr>
          <w:rFonts w:ascii="Calibri" w:cs="Calibri" w:eastAsia="Calibri" w:hAnsi="Calibri"/>
          <w:color w:val="BFBFBF"/>
          <w:sz w:val="18"/>
          <w:szCs w:val="18"/>
        </w:rPr>
        <w:t xml:space="preserve">   |   </w:t>
      </w:r>
      <w:r>
        <w:rPr>
          <w:rFonts w:ascii="Calibri" w:cs="Calibri" w:eastAsia="Calibri" w:hAnsi="Calibri"/>
          <w:color w:val="44546A"/>
          <w:sz w:val="18"/>
          <w:szCs w:val="18"/>
        </w:rPr>
        <w:t xml:space="preserve">yalamanchilijoshi135@gmail.com</w:t>
      </w:r>
    </w:p>
    <w:p>
      <w:pPr>
        <w:spacing w:after="40"/>
        <w:jc w:val="center"/>
      </w:pPr>
      <w:r>
        <w:rPr>
          <w:rFonts w:ascii="Calibri" w:cs="Calibri" w:eastAsia="Calibri" w:hAnsi="Calibri"/>
          <w:b/>
          <w:bCs/>
          <w:i/>
          <w:iCs/>
          <w:color w:val="1F3864"/>
          <w:sz w:val="18"/>
          <w:szCs w:val="18"/>
        </w:rPr>
        <w:t xml:space="preserve">Open to Relocation – Greater Delhi Area (On-site)</w:t>
      </w:r>
    </w:p>
    <w:p>
      <w:pPr>
        <w:spacing w:after="120"/>
        <w:jc w:val="center"/>
      </w:pPr>
      <w:hyperlink w:history="1" r:id="rIdzyyib2igkf_r9e-bogrdh">
        <w:r>
          <w:rPr>
            <w:rFonts w:ascii="Calibri" w:cs="Calibri" w:eastAsia="Calibri" w:hAnsi="Calibri"/>
            <w:color w:val="1F3864"/>
            <w:sz w:val="18"/>
            <w:szCs w:val="18"/>
            <w:u w:val="single"/>
          </w:rPr>
          <w:t xml:space="preserve">LinkedIn Profile</w:t>
        </w:r>
      </w:hyperlink>
      <w:r>
        <w:rPr>
          <w:rFonts w:ascii="Calibri" w:cs="Calibri" w:eastAsia="Calibri" w:hAnsi="Calibri"/>
          <w:color w:val="BFBFBF"/>
          <w:sz w:val="18"/>
          <w:szCs w:val="18"/>
        </w:rPr>
        <w:t xml:space="preserve">   |   </w:t>
      </w:r>
      <w:hyperlink w:history="1" r:id="rIdd6m3effbhnbf4dupkvztm">
        <w:r>
          <w:rPr>
            <w:rFonts w:ascii="Calibri" w:cs="Calibri" w:eastAsia="Calibri" w:hAnsi="Calibri"/>
            <w:color w:val="1F3864"/>
            <w:sz w:val="18"/>
            <w:szCs w:val="18"/>
            <w:u w:val="single"/>
          </w:rPr>
          <w:t xml:space="preserve">Portfolio</w:t>
        </w:r>
      </w:hyperlink>
    </w:p>
    <w:p>
      <w:pPr>
        <w:pBdr>
          <w:bottom w:val="single" w:color="1F3864" w:sz="6" w:space="2"/>
        </w:pBdr>
        <w:spacing w:after="100" w:before="260"/>
      </w:pPr>
      <w:r>
        <w:rPr>
          <w:rFonts w:ascii="Calibri" w:cs="Calibri" w:eastAsia="Calibri" w:hAnsi="Calibri"/>
          <w:b/>
          <w:bCs/>
          <w:color w:val="1F3864"/>
          <w:spacing w:val="20"/>
          <w:sz w:val="20"/>
          <w:szCs w:val="20"/>
        </w:rPr>
        <w:t xml:space="preserve">PROFESSIONAL SUMMARY</w:t>
      </w:r>
    </w:p>
    <w:p>
      <w:pPr>
        <w:spacing w:after="140"/>
        <w:jc w:val="both"/>
      </w:pPr>
      <w:r>
        <w:rPr>
          <w:rFonts w:ascii="Calibri" w:cs="Calibri" w:eastAsia="Calibri" w:hAnsi="Calibri"/>
          <w:color w:val="212121"/>
          <w:sz w:val="20"/>
          <w:szCs w:val="20"/>
        </w:rPr>
        <w:t xml:space="preserve">Emerging Investment Advisor pursuing an MBA in Financial Management and working toward the Certified Financial Planner (CFP®) credential, with a strong analytical foundation and a genuine passion for investment planning, portfolio strategy, and client-focused financial advisory. Comfortable conducting market and product research, financial analysis, and structured reporting, with hands-on experience building financial-planning tools covering goal-based planning and risk profiling. Brings strong communication skills, attention to detail, and a disciplined, research-driven approach to understanding client goals and risk tolerance. Willing to complete the relevant SEBI Investment Adviser certification requirements within two months of joining, and open to relocating to the Greater Delhi Area for this on-site role.</w:t>
      </w:r>
    </w:p>
    <w:p>
      <w:pPr>
        <w:pBdr>
          <w:bottom w:val="single" w:color="1F3864" w:sz="6" w:space="2"/>
        </w:pBdr>
        <w:spacing w:after="100" w:before="260"/>
      </w:pPr>
      <w:r>
        <w:rPr>
          <w:rFonts w:ascii="Calibri" w:cs="Calibri" w:eastAsia="Calibri" w:hAnsi="Calibri"/>
          <w:b/>
          <w:bCs/>
          <w:color w:val="1F3864"/>
          <w:spacing w:val="20"/>
          <w:sz w:val="20"/>
          <w:szCs w:val="20"/>
        </w:rPr>
        <w:t xml:space="preserve">CORE COMPETENCIES</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Mar>
              <w:top w:type="dxa" w:w="0"/>
              <w:left w:type="dxa" w:w="0"/>
              <w:bottom w:type="dxa" w:w="0"/>
              <w:right w:type="dxa" w:w="200"/>
            </w:tcMar>
          </w:tcPr>
          <w:p>
            <w:pPr>
              <w:pStyle w:val="ListParagraph"/>
              <w:numPr>
                <w:ilvl w:val="0"/>
                <w:numId w:val="2"/>
              </w:numPr>
              <w:spacing w:after="40"/>
            </w:pPr>
            <w:r>
              <w:rPr>
                <w:rFonts w:ascii="Calibri" w:cs="Calibri" w:eastAsia="Calibri" w:hAnsi="Calibri"/>
                <w:color w:val="212121"/>
                <w:sz w:val="19"/>
                <w:szCs w:val="19"/>
              </w:rPr>
              <w:t xml:space="preserve">Investment Planning &amp; Portfolio Recommendations</w:t>
            </w:r>
          </w:p>
          <w:p>
            <w:pPr>
              <w:pStyle w:val="ListParagraph"/>
              <w:numPr>
                <w:ilvl w:val="0"/>
                <w:numId w:val="2"/>
              </w:numPr>
              <w:spacing w:after="40"/>
            </w:pPr>
            <w:r>
              <w:rPr>
                <w:rFonts w:ascii="Calibri" w:cs="Calibri" w:eastAsia="Calibri" w:hAnsi="Calibri"/>
                <w:color w:val="212121"/>
                <w:sz w:val="19"/>
                <w:szCs w:val="19"/>
              </w:rPr>
              <w:t xml:space="preserve">Client Risk Tolerance &amp; Suitability Assessment</w:t>
            </w:r>
          </w:p>
          <w:p>
            <w:pPr>
              <w:pStyle w:val="ListParagraph"/>
              <w:numPr>
                <w:ilvl w:val="0"/>
                <w:numId w:val="2"/>
              </w:numPr>
              <w:spacing w:after="40"/>
            </w:pPr>
            <w:r>
              <w:rPr>
                <w:rFonts w:ascii="Calibri" w:cs="Calibri" w:eastAsia="Calibri" w:hAnsi="Calibri"/>
                <w:color w:val="212121"/>
                <w:sz w:val="19"/>
                <w:szCs w:val="19"/>
              </w:rPr>
              <w:t xml:space="preserve">Market &amp; Product Research</w:t>
            </w:r>
          </w:p>
          <w:p>
            <w:pPr>
              <w:pStyle w:val="ListParagraph"/>
              <w:numPr>
                <w:ilvl w:val="0"/>
                <w:numId w:val="2"/>
              </w:numPr>
              <w:spacing w:after="40"/>
            </w:pPr>
            <w:r>
              <w:rPr>
                <w:rFonts w:ascii="Calibri" w:cs="Calibri" w:eastAsia="Calibri" w:hAnsi="Calibri"/>
                <w:color w:val="212121"/>
                <w:sz w:val="19"/>
                <w:szCs w:val="19"/>
              </w:rPr>
              <w:t xml:space="preserve">Financial Analysis &amp; Data-Driven Reporting</w:t>
            </w:r>
          </w:p>
          <w:p>
            <w:pPr>
              <w:pStyle w:val="ListParagraph"/>
              <w:numPr>
                <w:ilvl w:val="0"/>
                <w:numId w:val="2"/>
              </w:numPr>
              <w:spacing w:after="40"/>
            </w:pPr>
            <w:r>
              <w:rPr>
                <w:rFonts w:ascii="Calibri" w:cs="Calibri" w:eastAsia="Calibri" w:hAnsi="Calibri"/>
                <w:color w:val="212121"/>
                <w:sz w:val="19"/>
                <w:szCs w:val="19"/>
              </w:rPr>
              <w:t xml:space="preserve">Goal-Based Financial Planning</w:t>
            </w:r>
          </w:p>
        </w:tc>
        <w:tc>
          <w:tcPr>
            <w:tcW w:type="dxa" w:w="4675"/>
            <w:tcMar>
              <w:top w:type="dxa" w:w="0"/>
              <w:left w:type="dxa" w:w="200"/>
              <w:bottom w:type="dxa" w:w="0"/>
              <w:right w:type="dxa" w:w="0"/>
            </w:tcMar>
          </w:tcPr>
          <w:p>
            <w:pPr>
              <w:pStyle w:val="ListParagraph"/>
              <w:numPr>
                <w:ilvl w:val="0"/>
                <w:numId w:val="2"/>
              </w:numPr>
              <w:spacing w:after="40"/>
            </w:pPr>
            <w:r>
              <w:rPr>
                <w:rFonts w:ascii="Calibri" w:cs="Calibri" w:eastAsia="Calibri" w:hAnsi="Calibri"/>
                <w:color w:val="212121"/>
                <w:sz w:val="19"/>
                <w:szCs w:val="19"/>
              </w:rPr>
              <w:t xml:space="preserve">Client Relationship Management</w:t>
            </w:r>
          </w:p>
          <w:p>
            <w:pPr>
              <w:pStyle w:val="ListParagraph"/>
              <w:numPr>
                <w:ilvl w:val="0"/>
                <w:numId w:val="2"/>
              </w:numPr>
              <w:spacing w:after="40"/>
            </w:pPr>
            <w:r>
              <w:rPr>
                <w:rFonts w:ascii="Calibri" w:cs="Calibri" w:eastAsia="Calibri" w:hAnsi="Calibri"/>
                <w:color w:val="212121"/>
                <w:sz w:val="19"/>
                <w:szCs w:val="19"/>
              </w:rPr>
              <w:t xml:space="preserve">Portfolio Monitoring &amp; Performance Review</w:t>
            </w:r>
          </w:p>
          <w:p>
            <w:pPr>
              <w:pStyle w:val="ListParagraph"/>
              <w:numPr>
                <w:ilvl w:val="0"/>
                <w:numId w:val="2"/>
              </w:numPr>
              <w:spacing w:after="40"/>
            </w:pPr>
            <w:r>
              <w:rPr>
                <w:rFonts w:ascii="Calibri" w:cs="Calibri" w:eastAsia="Calibri" w:hAnsi="Calibri"/>
                <w:color w:val="212121"/>
                <w:sz w:val="19"/>
                <w:szCs w:val="19"/>
              </w:rPr>
              <w:t xml:space="preserve">Presentation of Financial Solutions</w:t>
            </w:r>
          </w:p>
          <w:p>
            <w:pPr>
              <w:pStyle w:val="ListParagraph"/>
              <w:numPr>
                <w:ilvl w:val="0"/>
                <w:numId w:val="2"/>
              </w:numPr>
              <w:spacing w:after="40"/>
            </w:pPr>
            <w:r>
              <w:rPr>
                <w:rFonts w:ascii="Calibri" w:cs="Calibri" w:eastAsia="Calibri" w:hAnsi="Calibri"/>
                <w:color w:val="212121"/>
                <w:sz w:val="19"/>
                <w:szCs w:val="19"/>
              </w:rPr>
              <w:t xml:space="preserve">Regulatory &amp; Compliance Awareness</w:t>
            </w:r>
          </w:p>
          <w:p>
            <w:pPr>
              <w:pStyle w:val="ListParagraph"/>
              <w:numPr>
                <w:ilvl w:val="0"/>
                <w:numId w:val="2"/>
              </w:numPr>
              <w:spacing w:after="40"/>
            </w:pPr>
            <w:r>
              <w:rPr>
                <w:rFonts w:ascii="Calibri" w:cs="Calibri" w:eastAsia="Calibri" w:hAnsi="Calibri"/>
                <w:color w:val="212121"/>
                <w:sz w:val="19"/>
                <w:szCs w:val="19"/>
              </w:rPr>
              <w:t xml:space="preserve">Cross-Functional Collaboration</w:t>
            </w:r>
          </w:p>
        </w:tc>
      </w:tr>
    </w:tbl>
    <w:p>
      <w:pPr>
        <w:pBdr>
          <w:bottom w:val="single" w:color="1F3864" w:sz="6" w:space="2"/>
        </w:pBdr>
        <w:spacing w:after="100" w:before="260"/>
      </w:pPr>
      <w:r>
        <w:rPr>
          <w:rFonts w:ascii="Calibri" w:cs="Calibri" w:eastAsia="Calibri" w:hAnsi="Calibri"/>
          <w:b/>
          <w:bCs/>
          <w:color w:val="1F3864"/>
          <w:spacing w:val="20"/>
          <w:sz w:val="20"/>
          <w:szCs w:val="20"/>
        </w:rPr>
        <w:t xml:space="preserve">INDEPENDENT FINANCIAL PLANNING PROJECTS (IN DEVELOPMENT)</w:t>
      </w:r>
    </w:p>
    <w:p>
      <w:pPr>
        <w:spacing w:after="60"/>
      </w:pPr>
      <w:r>
        <w:rPr>
          <w:rFonts w:ascii="Calibri" w:cs="Calibri" w:eastAsia="Calibri" w:hAnsi="Calibri"/>
          <w:i/>
          <w:iCs/>
          <w:color w:val="212121"/>
          <w:sz w:val="19"/>
          <w:szCs w:val="19"/>
        </w:rPr>
        <w:t xml:space="preserve">Self-directed projects built to apply investment advisory and financial planning concepts in practice:</w:t>
      </w:r>
    </w:p>
    <w:p>
      <w:pPr>
        <w:pStyle w:val="ListParagraph"/>
        <w:numPr>
          <w:ilvl w:val="0"/>
          <w:numId w:val="2"/>
        </w:numPr>
        <w:spacing w:after="60"/>
      </w:pPr>
      <w:r>
        <w:rPr>
          <w:rFonts w:ascii="Calibri" w:cs="Calibri" w:eastAsia="Calibri" w:hAnsi="Calibri"/>
          <w:color w:val="212121"/>
          <w:sz w:val="20"/>
          <w:szCs w:val="20"/>
        </w:rPr>
        <w:t xml:space="preserve">Goal-Based Financial Planning Calculator – calculates future value, required monthly investment, and time-to-goal for client objectives such as retirement, education, and major purchases.</w:t>
      </w:r>
    </w:p>
    <w:p>
      <w:pPr>
        <w:pStyle w:val="ListParagraph"/>
        <w:numPr>
          <w:ilvl w:val="0"/>
          <w:numId w:val="2"/>
        </w:numPr>
        <w:spacing w:after="60"/>
      </w:pPr>
      <w:r>
        <w:rPr>
          <w:rFonts w:ascii="Calibri" w:cs="Calibri" w:eastAsia="Calibri" w:hAnsi="Calibri"/>
          <w:color w:val="212121"/>
          <w:sz w:val="20"/>
          <w:szCs w:val="20"/>
        </w:rPr>
        <w:t xml:space="preserve">Risk Profiler &amp; Asset Allocator – questionnaire-based tool that scores client risk tolerance and maps it to an illustrative equity/debt/gold allocation.</w:t>
      </w:r>
    </w:p>
    <w:p>
      <w:pPr>
        <w:pStyle w:val="ListParagraph"/>
        <w:numPr>
          <w:ilvl w:val="0"/>
          <w:numId w:val="2"/>
        </w:numPr>
        <w:spacing w:after="60"/>
      </w:pPr>
      <w:r>
        <w:rPr>
          <w:rFonts w:ascii="Calibri" w:cs="Calibri" w:eastAsia="Calibri" w:hAnsi="Calibri"/>
          <w:color w:val="212121"/>
          <w:sz w:val="20"/>
          <w:szCs w:val="20"/>
        </w:rPr>
        <w:t xml:space="preserve">Investment Portfolio Tracker – dashboard for monitoring portfolio composition and performance against target allocation.</w:t>
      </w:r>
    </w:p>
    <w:p>
      <w:pPr>
        <w:pBdr>
          <w:bottom w:val="single" w:color="1F3864" w:sz="6" w:space="2"/>
        </w:pBdr>
        <w:spacing w:after="100" w:before="260"/>
      </w:pPr>
      <w:r>
        <w:rPr>
          <w:rFonts w:ascii="Calibri" w:cs="Calibri" w:eastAsia="Calibri" w:hAnsi="Calibri"/>
          <w:b/>
          <w:bCs/>
          <w:color w:val="1F3864"/>
          <w:spacing w:val="20"/>
          <w:sz w:val="20"/>
          <w:szCs w:val="20"/>
        </w:rPr>
        <w:t xml:space="preserve">PROFESSIONAL EXPERIENCE</w:t>
      </w:r>
    </w:p>
    <w:p>
      <w:pPr>
        <w:tabs>
          <w:tab w:val="right" w:pos="9026"/>
        </w:tabs>
        <w:spacing w:after="20" w:before="140"/>
      </w:pPr>
      <w:r>
        <w:rPr>
          <w:rFonts w:ascii="Calibri" w:cs="Calibri" w:eastAsia="Calibri" w:hAnsi="Calibri"/>
          <w:b/>
          <w:bCs/>
          <w:color w:val="1F3864"/>
          <w:sz w:val="21"/>
          <w:szCs w:val="21"/>
        </w:rPr>
        <w:t xml:space="preserve">Social Media Specialist</w:t>
      </w:r>
      <w:r>
        <w:rPr>
          <w:rFonts w:ascii="Calibri" w:cs="Calibri" w:eastAsia="Calibri" w:hAnsi="Calibri"/>
          <w:i/>
          <w:iCs/>
          <w:color w:val="44546A"/>
          <w:sz w:val="18"/>
          <w:szCs w:val="18"/>
        </w:rPr>
        <w:t xml:space="preserve">	Aug 2025 – Mar 2026</w:t>
      </w:r>
    </w:p>
    <w:p>
      <w:pPr>
        <w:spacing w:after="60"/>
      </w:pPr>
      <w:r>
        <w:rPr>
          <w:rFonts w:ascii="Calibri" w:cs="Calibri" w:eastAsia="Calibri" w:hAnsi="Calibri"/>
          <w:i/>
          <w:iCs/>
          <w:color w:val="44546A"/>
          <w:sz w:val="19"/>
          <w:szCs w:val="19"/>
        </w:rPr>
        <w:t xml:space="preserve">More Good Foundation</w:t>
      </w:r>
    </w:p>
    <w:p>
      <w:pPr>
        <w:pStyle w:val="ListParagraph"/>
        <w:numPr>
          <w:ilvl w:val="0"/>
          <w:numId w:val="2"/>
        </w:numPr>
        <w:spacing w:after="60"/>
      </w:pPr>
      <w:r>
        <w:rPr>
          <w:rFonts w:ascii="Calibri" w:cs="Calibri" w:eastAsia="Calibri" w:hAnsi="Calibri"/>
          <w:color w:val="212121"/>
          <w:sz w:val="20"/>
          <w:szCs w:val="20"/>
        </w:rPr>
        <w:t xml:space="preserve">Conducted trend and performance analysis across multiple platforms, applying a research-driven, data-first approach to identify actionable insights.</w:t>
      </w:r>
    </w:p>
    <w:p>
      <w:pPr>
        <w:pStyle w:val="ListParagraph"/>
        <w:numPr>
          <w:ilvl w:val="0"/>
          <w:numId w:val="2"/>
        </w:numPr>
        <w:spacing w:after="60"/>
      </w:pPr>
      <w:r>
        <w:rPr>
          <w:rFonts w:ascii="Calibri" w:cs="Calibri" w:eastAsia="Calibri" w:hAnsi="Calibri"/>
          <w:color w:val="212121"/>
          <w:sz w:val="20"/>
          <w:szCs w:val="20"/>
        </w:rPr>
        <w:t xml:space="preserve">Prepared weekly, monthly, and quarterly management reports for Head Office, presenting findings in a clear, structured, data-driven format.</w:t>
      </w:r>
    </w:p>
    <w:p>
      <w:pPr>
        <w:pStyle w:val="ListParagraph"/>
        <w:numPr>
          <w:ilvl w:val="0"/>
          <w:numId w:val="2"/>
        </w:numPr>
        <w:spacing w:after="60"/>
      </w:pPr>
      <w:r>
        <w:rPr>
          <w:rFonts w:ascii="Calibri" w:cs="Calibri" w:eastAsia="Calibri" w:hAnsi="Calibri"/>
          <w:color w:val="212121"/>
          <w:sz w:val="20"/>
          <w:szCs w:val="20"/>
        </w:rPr>
        <w:t xml:space="preserve">Built dashboards and presentations in Microsoft Excel, Google Sheets, PowerPoint, and Canva to communicate analysis and recommendations to stakeholders.</w:t>
      </w:r>
    </w:p>
    <w:p>
      <w:pPr>
        <w:pStyle w:val="ListParagraph"/>
        <w:numPr>
          <w:ilvl w:val="0"/>
          <w:numId w:val="2"/>
        </w:numPr>
        <w:spacing w:after="60"/>
      </w:pPr>
      <w:r>
        <w:rPr>
          <w:rFonts w:ascii="Calibri" w:cs="Calibri" w:eastAsia="Calibri" w:hAnsi="Calibri"/>
          <w:color w:val="212121"/>
          <w:sz w:val="20"/>
          <w:szCs w:val="20"/>
        </w:rPr>
        <w:t xml:space="preserve">Coordinated with internal stakeholders to align reporting with organizational goals, reinforcing collaborative, cross-functional working skills relevant to client-facing advisory work.</w:t>
      </w:r>
    </w:p>
    <w:p>
      <w:pPr>
        <w:pStyle w:val="ListParagraph"/>
        <w:numPr>
          <w:ilvl w:val="0"/>
          <w:numId w:val="2"/>
        </w:numPr>
        <w:spacing w:after="60"/>
      </w:pPr>
      <w:r>
        <w:rPr>
          <w:rFonts w:ascii="Calibri" w:cs="Calibri" w:eastAsia="Calibri" w:hAnsi="Calibri"/>
          <w:color w:val="212121"/>
          <w:sz w:val="20"/>
          <w:szCs w:val="20"/>
        </w:rPr>
        <w:t xml:space="preserve">Maintained consistent reporting accuracy and reliability, reflecting the diligence expected in ongoing portfolio and performance monitoring.</w:t>
      </w:r>
    </w:p>
    <w:p>
      <w:pPr>
        <w:tabs>
          <w:tab w:val="right" w:pos="9026"/>
        </w:tabs>
        <w:spacing w:after="20" w:before="140"/>
      </w:pPr>
      <w:r>
        <w:rPr>
          <w:rFonts w:ascii="Calibri" w:cs="Calibri" w:eastAsia="Calibri" w:hAnsi="Calibri"/>
          <w:b/>
          <w:bCs/>
          <w:color w:val="1F3864"/>
          <w:sz w:val="21"/>
          <w:szCs w:val="21"/>
        </w:rPr>
        <w:t xml:space="preserve">Ward Clerk – Finance &amp; Administration (Volunteer)</w:t>
      </w:r>
      <w:r>
        <w:rPr>
          <w:rFonts w:ascii="Calibri" w:cs="Calibri" w:eastAsia="Calibri" w:hAnsi="Calibri"/>
          <w:i/>
          <w:iCs/>
          <w:color w:val="44546A"/>
          <w:sz w:val="18"/>
          <w:szCs w:val="18"/>
        </w:rPr>
        <w:t xml:space="preserve">	Jul 2022 – Present</w:t>
      </w:r>
    </w:p>
    <w:p>
      <w:pPr>
        <w:spacing w:after="60"/>
      </w:pPr>
      <w:r>
        <w:rPr>
          <w:rFonts w:ascii="Calibri" w:cs="Calibri" w:eastAsia="Calibri" w:hAnsi="Calibri"/>
          <w:i/>
          <w:iCs/>
          <w:color w:val="44546A"/>
          <w:sz w:val="19"/>
          <w:szCs w:val="19"/>
        </w:rPr>
        <w:t xml:space="preserve">The Church of Jesus Christ of Latter-day Saints</w:t>
      </w:r>
    </w:p>
    <w:p>
      <w:pPr>
        <w:pStyle w:val="ListParagraph"/>
        <w:numPr>
          <w:ilvl w:val="0"/>
          <w:numId w:val="2"/>
        </w:numPr>
        <w:spacing w:after="60"/>
      </w:pPr>
      <w:r>
        <w:rPr>
          <w:rFonts w:ascii="Calibri" w:cs="Calibri" w:eastAsia="Calibri" w:hAnsi="Calibri"/>
          <w:color w:val="212121"/>
          <w:sz w:val="20"/>
          <w:szCs w:val="20"/>
        </w:rPr>
        <w:t xml:space="preserve">Prepare budget requests and reimbursement requests with a high level of accuracy and attention to detail.</w:t>
      </w:r>
    </w:p>
    <w:p>
      <w:pPr>
        <w:pStyle w:val="ListParagraph"/>
        <w:numPr>
          <w:ilvl w:val="0"/>
          <w:numId w:val="2"/>
        </w:numPr>
        <w:spacing w:after="60"/>
      </w:pPr>
      <w:r>
        <w:rPr>
          <w:rFonts w:ascii="Calibri" w:cs="Calibri" w:eastAsia="Calibri" w:hAnsi="Calibri"/>
          <w:color w:val="212121"/>
          <w:sz w:val="20"/>
          <w:szCs w:val="20"/>
        </w:rPr>
        <w:t xml:space="preserve">Maintain confidential financial records and audit-ready documentation, ensuring compliance with organizational financial procedures.</w:t>
      </w:r>
    </w:p>
    <w:p>
      <w:pPr>
        <w:pStyle w:val="ListParagraph"/>
        <w:numPr>
          <w:ilvl w:val="0"/>
          <w:numId w:val="2"/>
        </w:numPr>
        <w:spacing w:after="60"/>
      </w:pPr>
      <w:r>
        <w:rPr>
          <w:rFonts w:ascii="Calibri" w:cs="Calibri" w:eastAsia="Calibri" w:hAnsi="Calibri"/>
          <w:color w:val="212121"/>
          <w:sz w:val="20"/>
          <w:szCs w:val="20"/>
        </w:rPr>
        <w:t xml:space="preserve">Verify bills and track budget utilization, reinforcing disciplined financial documentation and record-keeping practices.</w:t>
      </w:r>
    </w:p>
    <w:p>
      <w:pPr>
        <w:pStyle w:val="ListParagraph"/>
        <w:numPr>
          <w:ilvl w:val="0"/>
          <w:numId w:val="2"/>
        </w:numPr>
        <w:spacing w:after="60"/>
      </w:pPr>
      <w:r>
        <w:rPr>
          <w:rFonts w:ascii="Calibri" w:cs="Calibri" w:eastAsia="Calibri" w:hAnsi="Calibri"/>
          <w:color w:val="212121"/>
          <w:sz w:val="20"/>
          <w:szCs w:val="20"/>
        </w:rPr>
        <w:t xml:space="preserve">Provide consistent, trustworthy administrative and client-facing support, reflecting a service-oriented, relationship-focused approach.</w:t>
      </w:r>
    </w:p>
    <w:p>
      <w:pPr>
        <w:tabs>
          <w:tab w:val="right" w:pos="9026"/>
        </w:tabs>
        <w:spacing w:after="20" w:before="140"/>
      </w:pPr>
      <w:r>
        <w:rPr>
          <w:rFonts w:ascii="Calibri" w:cs="Calibri" w:eastAsia="Calibri" w:hAnsi="Calibri"/>
          <w:b/>
          <w:bCs/>
          <w:color w:val="1F3864"/>
          <w:sz w:val="21"/>
          <w:szCs w:val="21"/>
        </w:rPr>
        <w:t xml:space="preserve">Tutor (Part-Time)</w:t>
      </w:r>
      <w:r>
        <w:rPr>
          <w:rFonts w:ascii="Calibri" w:cs="Calibri" w:eastAsia="Calibri" w:hAnsi="Calibri"/>
          <w:i/>
          <w:iCs/>
          <w:color w:val="44546A"/>
          <w:sz w:val="18"/>
          <w:szCs w:val="18"/>
        </w:rPr>
        <w:t xml:space="preserve">	Dec 2023 – Mar 2024</w:t>
      </w:r>
    </w:p>
    <w:p>
      <w:pPr>
        <w:spacing w:after="60"/>
      </w:pPr>
      <w:r>
        <w:rPr>
          <w:rFonts w:ascii="Calibri" w:cs="Calibri" w:eastAsia="Calibri" w:hAnsi="Calibri"/>
          <w:i/>
          <w:iCs/>
          <w:color w:val="44546A"/>
          <w:sz w:val="19"/>
          <w:szCs w:val="19"/>
        </w:rPr>
        <w:t xml:space="preserve">Independent</w:t>
      </w:r>
    </w:p>
    <w:p>
      <w:pPr>
        <w:pStyle w:val="ListParagraph"/>
        <w:numPr>
          <w:ilvl w:val="0"/>
          <w:numId w:val="2"/>
        </w:numPr>
        <w:spacing w:after="60"/>
      </w:pPr>
      <w:r>
        <w:rPr>
          <w:rFonts w:ascii="Calibri" w:cs="Calibri" w:eastAsia="Calibri" w:hAnsi="Calibri"/>
          <w:color w:val="212121"/>
          <w:sz w:val="20"/>
          <w:szCs w:val="20"/>
        </w:rPr>
        <w:t xml:space="preserve">Delivered one-to-one tutoring with a personalized, needs-based approach, building strong client communication and relationship-building skills.</w:t>
      </w:r>
    </w:p>
    <w:p>
      <w:pPr>
        <w:pStyle w:val="ListParagraph"/>
        <w:numPr>
          <w:ilvl w:val="0"/>
          <w:numId w:val="2"/>
        </w:numPr>
        <w:spacing w:after="60"/>
      </w:pPr>
      <w:r>
        <w:rPr>
          <w:rFonts w:ascii="Calibri" w:cs="Calibri" w:eastAsia="Calibri" w:hAnsi="Calibri"/>
          <w:color w:val="212121"/>
          <w:sz w:val="20"/>
          <w:szCs w:val="20"/>
        </w:rPr>
        <w:t xml:space="preserve">Prepared structured study materials and tracked individual progress, reflecting goal-oriented planning and follow-through.</w:t>
      </w:r>
    </w:p>
    <w:p>
      <w:pPr>
        <w:pBdr>
          <w:bottom w:val="single" w:color="1F3864" w:sz="6" w:space="2"/>
        </w:pBdr>
        <w:spacing w:after="100" w:before="260"/>
      </w:pPr>
      <w:r>
        <w:rPr>
          <w:rFonts w:ascii="Calibri" w:cs="Calibri" w:eastAsia="Calibri" w:hAnsi="Calibri"/>
          <w:b/>
          <w:bCs/>
          <w:color w:val="1F3864"/>
          <w:spacing w:val="20"/>
          <w:sz w:val="20"/>
          <w:szCs w:val="20"/>
        </w:rPr>
        <w:t xml:space="preserve">EDUCATION</w:t>
      </w:r>
    </w:p>
    <w:p>
      <w:pPr>
        <w:spacing w:after="10" w:before="120"/>
      </w:pPr>
      <w:r>
        <w:rPr>
          <w:rFonts w:ascii="Calibri" w:cs="Calibri" w:eastAsia="Calibri" w:hAnsi="Calibri"/>
          <w:b/>
          <w:bCs/>
          <w:color w:val="1F3864"/>
          <w:sz w:val="20"/>
          <w:szCs w:val="20"/>
        </w:rPr>
        <w:t xml:space="preserve">Master of Business Administration (MBA)</w:t>
      </w:r>
    </w:p>
    <w:p>
      <w:pPr>
        <w:spacing w:after="10"/>
      </w:pPr>
      <w:r>
        <w:rPr>
          <w:rFonts w:ascii="Calibri" w:cs="Calibri" w:eastAsia="Calibri" w:hAnsi="Calibri"/>
          <w:color w:val="212121"/>
          <w:sz w:val="19"/>
          <w:szCs w:val="19"/>
        </w:rPr>
        <w:t xml:space="preserve">Specialization: Financial Management</w:t>
      </w:r>
    </w:p>
    <w:p>
      <w:pPr>
        <w:spacing w:after="60"/>
      </w:pPr>
      <w:r>
        <w:rPr>
          <w:rFonts w:ascii="Calibri" w:cs="Calibri" w:eastAsia="Calibri" w:hAnsi="Calibri"/>
          <w:i/>
          <w:iCs/>
          <w:color w:val="44546A"/>
          <w:sz w:val="18"/>
          <w:szCs w:val="18"/>
        </w:rPr>
        <w:t xml:space="preserve">Indira Gandhi National Open University (IGNOU)  |  Currently Pursuing</w:t>
      </w:r>
    </w:p>
    <w:p>
      <w:pPr>
        <w:spacing w:after="10" w:before="120"/>
      </w:pPr>
      <w:r>
        <w:rPr>
          <w:rFonts w:ascii="Calibri" w:cs="Calibri" w:eastAsia="Calibri" w:hAnsi="Calibri"/>
          <w:b/>
          <w:bCs/>
          <w:color w:val="1F3864"/>
          <w:sz w:val="20"/>
          <w:szCs w:val="20"/>
        </w:rPr>
        <w:t xml:space="preserve">Bachelor of Science (Honours), Information Technology</w:t>
      </w:r>
    </w:p>
    <w:p>
      <w:pPr>
        <w:spacing w:after="10"/>
      </w:pPr>
      <w:r>
        <w:rPr>
          <w:rFonts w:ascii="Calibri" w:cs="Calibri" w:eastAsia="Calibri" w:hAnsi="Calibri"/>
          <w:color w:val="212121"/>
          <w:sz w:val="19"/>
          <w:szCs w:val="19"/>
        </w:rPr>
        <w:t xml:space="preserve">CGPA: 9.15</w:t>
      </w:r>
    </w:p>
    <w:p>
      <w:pPr>
        <w:spacing w:after="60"/>
      </w:pPr>
      <w:r>
        <w:rPr>
          <w:rFonts w:ascii="Calibri" w:cs="Calibri" w:eastAsia="Calibri" w:hAnsi="Calibri"/>
          <w:i/>
          <w:iCs/>
          <w:color w:val="44546A"/>
          <w:sz w:val="18"/>
          <w:szCs w:val="18"/>
        </w:rPr>
        <w:t xml:space="preserve">Government Autonomous College, Adi Kavi Nannaya University</w:t>
      </w:r>
    </w:p>
    <w:p>
      <w:pPr>
        <w:spacing w:after="10" w:before="120"/>
      </w:pPr>
      <w:r>
        <w:rPr>
          <w:rFonts w:ascii="Calibri" w:cs="Calibri" w:eastAsia="Calibri" w:hAnsi="Calibri"/>
          <w:b/>
          <w:bCs/>
          <w:color w:val="1F3864"/>
          <w:sz w:val="20"/>
          <w:szCs w:val="20"/>
        </w:rPr>
        <w:t xml:space="preserve">Intermediate (Class XII)</w:t>
      </w:r>
    </w:p>
    <w:p>
      <w:pPr>
        <w:spacing w:after="10"/>
      </w:pPr>
      <w:r>
        <w:rPr>
          <w:rFonts w:ascii="Calibri" w:cs="Calibri" w:eastAsia="Calibri" w:hAnsi="Calibri"/>
          <w:color w:val="212121"/>
          <w:sz w:val="19"/>
          <w:szCs w:val="19"/>
        </w:rPr>
        <w:t xml:space="preserve">Score: 80.7%</w:t>
      </w:r>
    </w:p>
    <w:p>
      <w:pPr>
        <w:spacing w:after="60"/>
      </w:pPr>
      <w:r>
        <w:rPr>
          <w:rFonts w:ascii="Calibri" w:cs="Calibri" w:eastAsia="Calibri" w:hAnsi="Calibri"/>
          <w:i/>
          <w:iCs/>
          <w:color w:val="44546A"/>
          <w:sz w:val="18"/>
          <w:szCs w:val="18"/>
        </w:rPr>
        <w:t xml:space="preserve">Sree Vijaya Durga Junior College</w:t>
      </w:r>
    </w:p>
    <w:p>
      <w:pPr>
        <w:spacing w:after="10" w:before="120"/>
      </w:pPr>
      <w:r>
        <w:rPr>
          <w:rFonts w:ascii="Calibri" w:cs="Calibri" w:eastAsia="Calibri" w:hAnsi="Calibri"/>
          <w:b/>
          <w:bCs/>
          <w:color w:val="1F3864"/>
          <w:sz w:val="20"/>
          <w:szCs w:val="20"/>
        </w:rPr>
        <w:t xml:space="preserve">Secondary School Certificate (SSC)</w:t>
      </w:r>
    </w:p>
    <w:p>
      <w:pPr>
        <w:spacing w:after="10"/>
      </w:pPr>
      <w:r>
        <w:rPr>
          <w:rFonts w:ascii="Calibri" w:cs="Calibri" w:eastAsia="Calibri" w:hAnsi="Calibri"/>
          <w:color w:val="212121"/>
          <w:sz w:val="19"/>
          <w:szCs w:val="19"/>
        </w:rPr>
        <w:t xml:space="preserve">CGPA: 9.2</w:t>
      </w:r>
    </w:p>
    <w:p>
      <w:pPr>
        <w:spacing w:after="60"/>
      </w:pPr>
      <w:r>
        <w:rPr>
          <w:rFonts w:ascii="Calibri" w:cs="Calibri" w:eastAsia="Calibri" w:hAnsi="Calibri"/>
          <w:i/>
          <w:iCs/>
          <w:color w:val="44546A"/>
          <w:sz w:val="18"/>
          <w:szCs w:val="18"/>
        </w:rPr>
        <w:t xml:space="preserve">A.L.N. Blossoms EM High School</w:t>
      </w:r>
    </w:p>
    <w:p>
      <w:pPr>
        <w:pBdr>
          <w:bottom w:val="single" w:color="1F3864" w:sz="6" w:space="2"/>
        </w:pBdr>
        <w:spacing w:after="100" w:before="260"/>
      </w:pPr>
      <w:r>
        <w:rPr>
          <w:rFonts w:ascii="Calibri" w:cs="Calibri" w:eastAsia="Calibri" w:hAnsi="Calibri"/>
          <w:b/>
          <w:bCs/>
          <w:color w:val="1F3864"/>
          <w:spacing w:val="20"/>
          <w:sz w:val="20"/>
          <w:szCs w:val="20"/>
        </w:rPr>
        <w:t xml:space="preserve">CERTIFICATIONS</w:t>
      </w:r>
    </w:p>
    <w:p>
      <w:pPr>
        <w:spacing w:after="10"/>
      </w:pPr>
      <w:r>
        <w:rPr>
          <w:rFonts w:ascii="Calibri" w:cs="Calibri" w:eastAsia="Calibri" w:hAnsi="Calibri"/>
          <w:b/>
          <w:bCs/>
          <w:color w:val="1F3864"/>
          <w:sz w:val="20"/>
          <w:szCs w:val="20"/>
        </w:rPr>
        <w:t xml:space="preserve">Certified Financial Planner (CFP®) – Investment Planning Module</w:t>
      </w:r>
    </w:p>
    <w:p>
      <w:pPr>
        <w:spacing w:after="80"/>
      </w:pPr>
      <w:r>
        <w:rPr>
          <w:rFonts w:ascii="Calibri" w:cs="Calibri" w:eastAsia="Calibri" w:hAnsi="Calibri"/>
          <w:i/>
          <w:iCs/>
          <w:color w:val="44546A"/>
          <w:sz w:val="18"/>
          <w:szCs w:val="18"/>
        </w:rPr>
        <w:t xml:space="preserve">FPSB India  |  In Progress</w:t>
      </w:r>
    </w:p>
    <w:p>
      <w:pPr>
        <w:spacing w:after="10"/>
      </w:pPr>
      <w:r>
        <w:rPr>
          <w:rFonts w:ascii="Calibri" w:cs="Calibri" w:eastAsia="Calibri" w:hAnsi="Calibri"/>
          <w:b/>
          <w:bCs/>
          <w:color w:val="1F3864"/>
          <w:sz w:val="20"/>
          <w:szCs w:val="20"/>
        </w:rPr>
        <w:t xml:space="preserve">SEBI Registered Investment Adviser (RIA) Certification</w:t>
      </w:r>
    </w:p>
    <w:p>
      <w:pPr>
        <w:spacing w:after="80"/>
      </w:pPr>
      <w:r>
        <w:rPr>
          <w:rFonts w:ascii="Calibri" w:cs="Calibri" w:eastAsia="Calibri" w:hAnsi="Calibri"/>
          <w:i/>
          <w:iCs/>
          <w:color w:val="44546A"/>
          <w:sz w:val="18"/>
          <w:szCs w:val="18"/>
        </w:rPr>
        <w:t xml:space="preserve">Willing to complete required NISM/SEBI certification within 2 months of joining</w:t>
      </w:r>
    </w:p>
    <w:p>
      <w:pPr>
        <w:spacing w:after="10"/>
      </w:pPr>
      <w:r>
        <w:rPr>
          <w:rFonts w:ascii="Calibri" w:cs="Calibri" w:eastAsia="Calibri" w:hAnsi="Calibri"/>
          <w:b/>
          <w:bCs/>
          <w:color w:val="1F3864"/>
          <w:sz w:val="20"/>
          <w:szCs w:val="20"/>
        </w:rPr>
        <w:t xml:space="preserve">Mastering Customer Service</w:t>
      </w:r>
    </w:p>
    <w:p>
      <w:pPr>
        <w:spacing w:after="60"/>
      </w:pPr>
      <w:r>
        <w:rPr>
          <w:rFonts w:ascii="Calibri" w:cs="Calibri" w:eastAsia="Calibri" w:hAnsi="Calibri"/>
          <w:i/>
          <w:iCs/>
          <w:color w:val="44546A"/>
          <w:sz w:val="18"/>
          <w:szCs w:val="18"/>
        </w:rPr>
        <w:t xml:space="preserve">Completed</w:t>
      </w:r>
    </w:p>
    <w:p>
      <w:pPr>
        <w:pBdr>
          <w:bottom w:val="single" w:color="1F3864" w:sz="6" w:space="2"/>
        </w:pBdr>
        <w:spacing w:after="100" w:before="260"/>
      </w:pPr>
      <w:r>
        <w:rPr>
          <w:rFonts w:ascii="Calibri" w:cs="Calibri" w:eastAsia="Calibri" w:hAnsi="Calibri"/>
          <w:b/>
          <w:bCs/>
          <w:color w:val="1F3864"/>
          <w:spacing w:val="20"/>
          <w:sz w:val="20"/>
          <w:szCs w:val="20"/>
        </w:rPr>
        <w:t xml:space="preserve">TECHNICAL &amp; ANALYTICAL SKILLS</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Mar>
              <w:top w:type="dxa" w:w="0"/>
              <w:left w:type="dxa" w:w="0"/>
              <w:bottom w:type="dxa" w:w="0"/>
              <w:right w:type="dxa" w:w="200"/>
            </w:tcMar>
          </w:tcPr>
          <w:p>
            <w:pPr>
              <w:pStyle w:val="ListParagraph"/>
              <w:numPr>
                <w:ilvl w:val="0"/>
                <w:numId w:val="2"/>
              </w:numPr>
              <w:spacing w:after="40"/>
            </w:pPr>
            <w:r>
              <w:rPr>
                <w:rFonts w:ascii="Calibri" w:cs="Calibri" w:eastAsia="Calibri" w:hAnsi="Calibri"/>
                <w:color w:val="212121"/>
                <w:sz w:val="19"/>
                <w:szCs w:val="19"/>
              </w:rPr>
              <w:t xml:space="preserve">Advanced MS Excel: Pivot Tables &amp; Charts, XLOOKUP, INDEX-MATCH</w:t>
            </w:r>
          </w:p>
          <w:p>
            <w:pPr>
              <w:pStyle w:val="ListParagraph"/>
              <w:numPr>
                <w:ilvl w:val="0"/>
                <w:numId w:val="2"/>
              </w:numPr>
              <w:spacing w:after="40"/>
            </w:pPr>
            <w:r>
              <w:rPr>
                <w:rFonts w:ascii="Calibri" w:cs="Calibri" w:eastAsia="Calibri" w:hAnsi="Calibri"/>
                <w:color w:val="212121"/>
                <w:sz w:val="19"/>
                <w:szCs w:val="19"/>
              </w:rPr>
              <w:t xml:space="preserve">SUMIFS, COUNTIFS, IF / IFS</w:t>
            </w:r>
          </w:p>
          <w:p>
            <w:pPr>
              <w:pStyle w:val="ListParagraph"/>
              <w:numPr>
                <w:ilvl w:val="0"/>
                <w:numId w:val="2"/>
              </w:numPr>
              <w:spacing w:after="40"/>
            </w:pPr>
            <w:r>
              <w:rPr>
                <w:rFonts w:ascii="Calibri" w:cs="Calibri" w:eastAsia="Calibri" w:hAnsi="Calibri"/>
                <w:color w:val="212121"/>
                <w:sz w:val="19"/>
                <w:szCs w:val="19"/>
              </w:rPr>
              <w:t xml:space="preserve">Dashboard Design &amp; Reporting</w:t>
            </w:r>
          </w:p>
        </w:tc>
        <w:tc>
          <w:tcPr>
            <w:tcW w:type="dxa" w:w="4675"/>
            <w:tcMar>
              <w:top w:type="dxa" w:w="0"/>
              <w:left w:type="dxa" w:w="200"/>
              <w:bottom w:type="dxa" w:w="0"/>
              <w:right w:type="dxa" w:w="0"/>
            </w:tcMar>
          </w:tcPr>
          <w:p>
            <w:pPr>
              <w:pStyle w:val="ListParagraph"/>
              <w:numPr>
                <w:ilvl w:val="0"/>
                <w:numId w:val="2"/>
              </w:numPr>
              <w:spacing w:after="40"/>
            </w:pPr>
            <w:r>
              <w:rPr>
                <w:rFonts w:ascii="Calibri" w:cs="Calibri" w:eastAsia="Calibri" w:hAnsi="Calibri"/>
                <w:color w:val="212121"/>
                <w:sz w:val="19"/>
                <w:szCs w:val="19"/>
              </w:rPr>
              <w:t xml:space="preserve">Microsoft Office, Google Sheets, PowerPoint, Canva</w:t>
            </w:r>
          </w:p>
          <w:p>
            <w:pPr>
              <w:pStyle w:val="ListParagraph"/>
              <w:numPr>
                <w:ilvl w:val="0"/>
                <w:numId w:val="2"/>
              </w:numPr>
              <w:spacing w:after="40"/>
            </w:pPr>
            <w:r>
              <w:rPr>
                <w:rFonts w:ascii="Calibri" w:cs="Calibri" w:eastAsia="Calibri" w:hAnsi="Calibri"/>
                <w:color w:val="212121"/>
                <w:sz w:val="19"/>
                <w:szCs w:val="19"/>
              </w:rPr>
              <w:t xml:space="preserve">SQL (Basic), Python (Basic)</w:t>
            </w:r>
          </w:p>
          <w:p>
            <w:pPr>
              <w:pStyle w:val="ListParagraph"/>
              <w:numPr>
                <w:ilvl w:val="0"/>
                <w:numId w:val="2"/>
              </w:numPr>
              <w:spacing w:after="40"/>
            </w:pPr>
            <w:r>
              <w:rPr>
                <w:rFonts w:ascii="Calibri" w:cs="Calibri" w:eastAsia="Calibri" w:hAnsi="Calibri"/>
                <w:color w:val="212121"/>
                <w:sz w:val="19"/>
                <w:szCs w:val="19"/>
              </w:rPr>
              <w:t xml:space="preserve">Java, HTML, CSS, JavaScript</w:t>
            </w:r>
          </w:p>
        </w:tc>
      </w:tr>
    </w:tbl>
    <w:p>
      <w:pPr>
        <w:pBdr>
          <w:bottom w:val="single" w:color="1F3864" w:sz="6" w:space="2"/>
        </w:pBdr>
        <w:spacing w:after="100" w:before="260"/>
      </w:pPr>
      <w:r>
        <w:rPr>
          <w:rFonts w:ascii="Calibri" w:cs="Calibri" w:eastAsia="Calibri" w:hAnsi="Calibri"/>
          <w:b/>
          <w:bCs/>
          <w:color w:val="1F3864"/>
          <w:spacing w:val="20"/>
          <w:sz w:val="20"/>
          <w:szCs w:val="20"/>
        </w:rPr>
        <w:t xml:space="preserve">LANGUAGES</w:t>
      </w:r>
    </w:p>
    <w:p>
      <w:pPr>
        <w:spacing w:after="60"/>
      </w:pPr>
      <w:r>
        <w:rPr>
          <w:rFonts w:ascii="Calibri" w:cs="Calibri" w:eastAsia="Calibri" w:hAnsi="Calibri"/>
          <w:color w:val="212121"/>
          <w:sz w:val="19"/>
          <w:szCs w:val="19"/>
        </w:rPr>
        <w:t xml:space="preserve">English  •  Telugu  •  Hindi</w:t>
      </w:r>
    </w:p>
    <w:sectPr>
      <w:pgSz w:w="12240" w:h="15840"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yyib2igkf_r9e-bogrdh" Type="http://schemas.openxmlformats.org/officeDocument/2006/relationships/hyperlink" Target="https://www.linkedin.com/in/joshi-yalamanchili-052122237" TargetMode="External"/><Relationship Id="rIdd6m3effbhnbf4dupkvztm" Type="http://schemas.openxmlformats.org/officeDocument/2006/relationships/hyperlink" Target="https://yjoshi7.github.io/yalamanchilijoshi-portfol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2026-07-23T18:13:36.167Z</dcterms:created>
  <dcterms:modified xsi:type="dcterms:W3CDTF">2026-07-23T18:13:36.167Z</dcterms:modified>
</cp:coreProperties>
</file>

<file path=docProps/custom.xml><?xml version="1.0" encoding="utf-8"?>
<Properties xmlns="http://schemas.openxmlformats.org/officeDocument/2006/custom-properties" xmlns:vt="http://schemas.openxmlformats.org/officeDocument/2006/docPropsVTypes"/>
</file>