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45DA7">
      <w:pPr>
        <w:pStyle w:val="31"/>
        <w:jc w:val="center"/>
      </w:pPr>
      <w:bookmarkStart w:id="0" w:name="_GoBack"/>
      <w:bookmarkEnd w:id="0"/>
      <w:r>
        <w:t>Inter-rater Reliability Assessment</w:t>
      </w:r>
    </w:p>
    <w:p w14:paraId="63FB5B67">
      <w:pPr>
        <w:spacing w:after="100" w:line="276" w:lineRule="auto"/>
        <w:rPr>
          <w:rFonts w:hint="eastAsia"/>
          <w:i/>
          <w:sz w:val="20"/>
        </w:rPr>
      </w:pPr>
      <w:r>
        <w:rPr>
          <w:rFonts w:hint="eastAsia"/>
          <w:i/>
          <w:sz w:val="20"/>
        </w:rPr>
        <w:t>Supplementary note for the revised evidence matrix (Version 3.1 - AG12 source-corrected two-level reliability)</w:t>
      </w:r>
    </w:p>
    <w:p w14:paraId="449C2B72">
      <w:pPr>
        <w:spacing w:after="100" w:line="276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This supplementary note reports inter-rater reliability for the revised evidence matrix after the AG12 source-matching correction. Reliability is reported at two levels from the coders' genuine independent classifications. The AG12 product-specific policy prompted a fresh independent recoding by both coders before consensus; those classifications are recorded in the Evidence Matrix. No other pre-consensus code was altered to match a consensus decision.</w:t>
      </w:r>
    </w:p>
    <w:p w14:paraId="578E5558">
      <w:pPr>
        <w:spacing w:after="100" w:line="276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Level 1 - applicability-determination reliability - compares the coders' independent three-way classifications of A4, D1, D2 and D3 as Applicable, Insufficient or N/A across 72 assessments. Level 2 compares independent full (✓), partial (○) and absent (×) ratings. After final consensus, the conditional indicators contain 35 Applicable cells (A4 = 10, D1 = 5, D2 = 10, D3 = 10), 25 Insufficient cells and 12 N/A cells. AG3-A4 and AG3-D1 lack paired historical Applicable-state ratings and remain excluded from Level 2. The 33 conditional cells with paired independent ratings, together with 180 universal-indicator cells, give a Level-2 denominator of 213.</w:t>
      </w:r>
    </w:p>
    <w:p w14:paraId="4F831E80">
      <w:pPr>
        <w:spacing w:after="100" w:line="276" w:lineRule="auto"/>
      </w:pPr>
      <w:r>
        <w:rPr>
          <w:rFonts w:hint="eastAsia" w:ascii="Times New Roman" w:hAnsi="Times New Roman"/>
          <w:sz w:val="21"/>
        </w:rPr>
        <w:t>Cohen's κ was calculated as an unweighted nominal statistic, κ = (Po - Pe) / (1 - Pe), where Po is the observed proportion of agreement and Pe is the expected proportion of chance agreement based on the coders' marginal distributions. In the Level-1 analysis the three categories are Applicable, Insufficient, and Not applicable; in the Level-2 analysis the three categories are full coverage (✓), partial coverage (○), and absent (×). Exact asymptotic 95% confidence intervals can be obtained from the complete confusion matrices using standard statistical software.</w:t>
      </w:r>
    </w:p>
    <w:p w14:paraId="2156F952">
      <w:r>
        <w:rPr>
          <w:b/>
          <w:sz w:val="24"/>
        </w:rPr>
        <w:t>1. Applicability-determination reliability (conditional indicators A4, D1, D2, D3)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4"/>
        <w:gridCol w:w="641"/>
        <w:gridCol w:w="1075"/>
        <w:gridCol w:w="700"/>
        <w:gridCol w:w="800"/>
        <w:gridCol w:w="938"/>
        <w:gridCol w:w="2575"/>
      </w:tblGrid>
      <w:tr w14:paraId="537AE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1" w:hRule="atLeast"/>
        </w:trPr>
        <w:tc>
          <w:tcPr>
            <w:tcW w:w="2184" w:type="dxa"/>
            <w:shd w:val="clear" w:color="auto" w:fill="DBEEF3" w:themeFill="accent5" w:themeFillTint="32"/>
            <w:vAlign w:val="center"/>
          </w:tcPr>
          <w:p w14:paraId="617E8F73">
            <w:pPr>
              <w:numPr>
                <w:ilvl w:val="0"/>
                <w:numId w:val="0"/>
              </w:numPr>
              <w:ind w:leftChars="0"/>
              <w:jc w:val="center"/>
              <w:rPr>
                <w:highlight w:val="none"/>
              </w:rPr>
            </w:pPr>
            <w:r>
              <w:rPr>
                <w:b/>
                <w:highlight w:val="none"/>
              </w:rPr>
              <w:t>Level</w:t>
            </w:r>
          </w:p>
        </w:tc>
        <w:tc>
          <w:tcPr>
            <w:tcW w:w="641" w:type="dxa"/>
            <w:shd w:val="clear" w:color="auto" w:fill="DBEEF3" w:themeFill="accent5" w:themeFillTint="32"/>
            <w:vAlign w:val="center"/>
          </w:tcPr>
          <w:p w14:paraId="686C9AE1">
            <w:pPr>
              <w:numPr>
                <w:ilvl w:val="0"/>
                <w:numId w:val="0"/>
              </w:numPr>
              <w:ind w:leftChars="0"/>
              <w:jc w:val="center"/>
              <w:rPr>
                <w:highlight w:val="none"/>
              </w:rPr>
            </w:pPr>
            <w:r>
              <w:rPr>
                <w:b/>
                <w:highlight w:val="none"/>
              </w:rPr>
              <w:t>n</w:t>
            </w:r>
          </w:p>
        </w:tc>
        <w:tc>
          <w:tcPr>
            <w:tcW w:w="1075" w:type="dxa"/>
            <w:shd w:val="clear" w:color="auto" w:fill="DBEEF3" w:themeFill="accent5" w:themeFillTint="32"/>
            <w:vAlign w:val="center"/>
          </w:tcPr>
          <w:p w14:paraId="4EF5AEEA">
            <w:pPr>
              <w:numPr>
                <w:ilvl w:val="0"/>
                <w:numId w:val="0"/>
              </w:numPr>
              <w:ind w:leftChars="0"/>
              <w:jc w:val="center"/>
              <w:rPr>
                <w:highlight w:val="none"/>
              </w:rPr>
            </w:pPr>
            <w:r>
              <w:rPr>
                <w:b/>
                <w:highlight w:val="none"/>
              </w:rPr>
              <w:t>Agreement</w:t>
            </w:r>
          </w:p>
        </w:tc>
        <w:tc>
          <w:tcPr>
            <w:tcW w:w="700" w:type="dxa"/>
            <w:shd w:val="clear" w:color="auto" w:fill="DBEEF3" w:themeFill="accent5" w:themeFillTint="32"/>
            <w:vAlign w:val="center"/>
          </w:tcPr>
          <w:p w14:paraId="4EA35810">
            <w:pPr>
              <w:numPr>
                <w:ilvl w:val="0"/>
                <w:numId w:val="0"/>
              </w:numPr>
              <w:ind w:leftChars="0"/>
              <w:jc w:val="center"/>
              <w:rPr>
                <w:highlight w:val="none"/>
              </w:rPr>
            </w:pPr>
            <w:r>
              <w:rPr>
                <w:b/>
                <w:highlight w:val="none"/>
              </w:rPr>
              <w:t>Po</w:t>
            </w:r>
          </w:p>
        </w:tc>
        <w:tc>
          <w:tcPr>
            <w:tcW w:w="800" w:type="dxa"/>
            <w:shd w:val="clear" w:color="auto" w:fill="DBEEF3" w:themeFill="accent5" w:themeFillTint="32"/>
            <w:vAlign w:val="center"/>
          </w:tcPr>
          <w:p w14:paraId="4990AA63">
            <w:pPr>
              <w:numPr>
                <w:ilvl w:val="0"/>
                <w:numId w:val="0"/>
              </w:numPr>
              <w:ind w:leftChars="0"/>
              <w:jc w:val="center"/>
              <w:rPr>
                <w:highlight w:val="none"/>
              </w:rPr>
            </w:pPr>
            <w:r>
              <w:rPr>
                <w:b/>
                <w:highlight w:val="none"/>
              </w:rPr>
              <w:t>Pe</w:t>
            </w:r>
          </w:p>
        </w:tc>
        <w:tc>
          <w:tcPr>
            <w:tcW w:w="938" w:type="dxa"/>
            <w:shd w:val="clear" w:color="auto" w:fill="DBEEF3" w:themeFill="accent5" w:themeFillTint="32"/>
            <w:vAlign w:val="center"/>
          </w:tcPr>
          <w:p w14:paraId="3409A350">
            <w:pPr>
              <w:numPr>
                <w:ilvl w:val="0"/>
                <w:numId w:val="0"/>
              </w:numPr>
              <w:ind w:leftChars="0"/>
              <w:jc w:val="center"/>
              <w:rPr>
                <w:highlight w:val="none"/>
              </w:rPr>
            </w:pPr>
            <w:r>
              <w:rPr>
                <w:b/>
                <w:highlight w:val="none"/>
              </w:rPr>
              <w:t>κ</w:t>
            </w:r>
          </w:p>
        </w:tc>
        <w:tc>
          <w:tcPr>
            <w:tcW w:w="2575" w:type="dxa"/>
            <w:shd w:val="clear" w:color="auto" w:fill="DBEEF3" w:themeFill="accent5" w:themeFillTint="32"/>
            <w:vAlign w:val="center"/>
          </w:tcPr>
          <w:p w14:paraId="6DC6C70D">
            <w:pPr>
              <w:numPr>
                <w:ilvl w:val="0"/>
                <w:numId w:val="0"/>
              </w:numPr>
              <w:ind w:leftChars="0"/>
              <w:jc w:val="center"/>
              <w:rPr>
                <w:highlight w:val="none"/>
              </w:rPr>
            </w:pPr>
            <w:r>
              <w:rPr>
                <w:b/>
                <w:highlight w:val="none"/>
              </w:rPr>
              <w:t>Interpretation</w:t>
            </w:r>
          </w:p>
        </w:tc>
      </w:tr>
      <w:tr w14:paraId="77CB7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1" w:hRule="atLeast"/>
        </w:trPr>
        <w:tc>
          <w:tcPr>
            <w:tcW w:w="2184" w:type="dxa"/>
            <w:vAlign w:val="center"/>
          </w:tcPr>
          <w:p w14:paraId="39918360">
            <w:pPr>
              <w:numPr>
                <w:ilvl w:val="0"/>
                <w:numId w:val="0"/>
              </w:numPr>
              <w:ind w:leftChars="0"/>
              <w:jc w:val="center"/>
            </w:pPr>
            <w:r>
              <w:t>Overall (A4, D1, D2, D3)</w:t>
            </w:r>
          </w:p>
        </w:tc>
        <w:tc>
          <w:tcPr>
            <w:tcW w:w="641" w:type="dxa"/>
            <w:vAlign w:val="center"/>
          </w:tcPr>
          <w:p w14:paraId="76A1BEA2">
            <w:pPr>
              <w:numPr>
                <w:ilvl w:val="0"/>
                <w:numId w:val="0"/>
              </w:numPr>
              <w:ind w:leftChars="0"/>
              <w:jc w:val="center"/>
            </w:pPr>
            <w:r>
              <w:t>72</w:t>
            </w:r>
          </w:p>
        </w:tc>
        <w:tc>
          <w:tcPr>
            <w:tcW w:w="1075" w:type="dxa"/>
            <w:vAlign w:val="center"/>
          </w:tcPr>
          <w:p w14:paraId="1E41A78E">
            <w:pPr>
              <w:numPr>
                <w:ilvl w:val="0"/>
                <w:numId w:val="0"/>
              </w:numPr>
              <w:ind w:leftChars="0"/>
              <w:jc w:val="center"/>
            </w:pPr>
            <w:r>
              <w:t>64</w:t>
            </w:r>
          </w:p>
        </w:tc>
        <w:tc>
          <w:tcPr>
            <w:tcW w:w="700" w:type="dxa"/>
            <w:vAlign w:val="center"/>
          </w:tcPr>
          <w:p w14:paraId="07E3B288">
            <w:pPr>
              <w:numPr>
                <w:ilvl w:val="0"/>
                <w:numId w:val="0"/>
              </w:numPr>
              <w:ind w:leftChars="0"/>
              <w:jc w:val="center"/>
            </w:pPr>
            <w:r>
              <w:t>88.9%</w:t>
            </w:r>
          </w:p>
        </w:tc>
        <w:tc>
          <w:tcPr>
            <w:tcW w:w="800" w:type="dxa"/>
            <w:vAlign w:val="center"/>
          </w:tcPr>
          <w:p w14:paraId="67C27C32">
            <w:pPr>
              <w:numPr>
                <w:ilvl w:val="0"/>
                <w:numId w:val="0"/>
              </w:numPr>
              <w:ind w:leftChars="0"/>
              <w:jc w:val="center"/>
            </w:pPr>
            <w:r>
              <w:rPr>
                <w:rFonts w:hint="eastAsia"/>
              </w:rPr>
              <w:t>38.1%</w:t>
            </w:r>
            <w:r>
              <w:rPr>
                <w:rFonts w:hint="eastAsia" w:eastAsia="宋体"/>
                <w:lang w:val="en-US" w:eastAsia="zh-CN"/>
              </w:rPr>
            </w:r>
            <w:r>
              <w:rPr>
                <w:rFonts w:hint="eastAsia"/>
              </w:rPr>
            </w:r>
            <w:r>
              <w:rPr>
                <w:rFonts w:hint="eastAsia" w:eastAsia="宋体"/>
                <w:lang w:val="en-US" w:eastAsia="zh-CN"/>
              </w:rPr>
            </w:r>
            <w:r>
              <w:rPr>
                <w:rFonts w:hint="eastAsia"/>
              </w:rPr>
            </w:r>
          </w:p>
        </w:tc>
        <w:tc>
          <w:tcPr>
            <w:tcW w:w="938" w:type="dxa"/>
            <w:vAlign w:val="center"/>
          </w:tcPr>
          <w:p w14:paraId="78A16DFF"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 w:eastAsia="宋体"/>
                <w:lang w:val="en-US" w:eastAsia="zh-CN"/>
              </w:rPr>
            </w:pPr>
            <w:r>
              <w:t>0.821</w:t>
            </w:r>
            <w:r>
              <w:rPr>
                <w:rFonts w:hint="eastAsia" w:eastAsia="宋体"/>
                <w:lang w:val="en-US" w:eastAsia="zh-CN"/>
              </w:rPr>
            </w:r>
          </w:p>
        </w:tc>
        <w:tc>
          <w:tcPr>
            <w:tcW w:w="2575" w:type="dxa"/>
            <w:vAlign w:val="center"/>
          </w:tcPr>
          <w:p w14:paraId="235F31CF">
            <w:pPr>
              <w:numPr>
                <w:ilvl w:val="0"/>
                <w:numId w:val="0"/>
              </w:numPr>
              <w:ind w:leftChars="0"/>
              <w:jc w:val="center"/>
            </w:pPr>
            <w:r>
              <w:t>Almost perfect</w:t>
            </w:r>
          </w:p>
        </w:tc>
      </w:tr>
      <w:tr w14:paraId="37E31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1" w:hRule="atLeast"/>
        </w:trPr>
        <w:tc>
          <w:tcPr>
            <w:tcW w:w="2184" w:type="dxa"/>
            <w:vAlign w:val="center"/>
          </w:tcPr>
          <w:p w14:paraId="6C1C3593">
            <w:pPr>
              <w:numPr>
                <w:ilvl w:val="0"/>
                <w:numId w:val="0"/>
              </w:numPr>
              <w:ind w:leftChars="0"/>
              <w:jc w:val="center"/>
            </w:pPr>
            <w:r>
              <w:t>A4</w:t>
            </w:r>
          </w:p>
        </w:tc>
        <w:tc>
          <w:tcPr>
            <w:tcW w:w="641" w:type="dxa"/>
            <w:vAlign w:val="center"/>
          </w:tcPr>
          <w:p w14:paraId="54043E2D">
            <w:pPr>
              <w:numPr>
                <w:ilvl w:val="0"/>
                <w:numId w:val="0"/>
              </w:numPr>
              <w:ind w:leftChars="0"/>
              <w:jc w:val="center"/>
            </w:pPr>
            <w:r>
              <w:t>18</w:t>
            </w:r>
          </w:p>
        </w:tc>
        <w:tc>
          <w:tcPr>
            <w:tcW w:w="1075" w:type="dxa"/>
            <w:vAlign w:val="center"/>
          </w:tcPr>
          <w:p w14:paraId="41F1077C">
            <w:pPr>
              <w:numPr>
                <w:ilvl w:val="0"/>
                <w:numId w:val="0"/>
              </w:numPr>
              <w:ind w:leftChars="0"/>
              <w:jc w:val="center"/>
            </w:pPr>
            <w:r>
              <w:t>17</w:t>
            </w:r>
          </w:p>
        </w:tc>
        <w:tc>
          <w:tcPr>
            <w:tcW w:w="700" w:type="dxa"/>
            <w:vAlign w:val="center"/>
          </w:tcPr>
          <w:p w14:paraId="1F0F4CF9">
            <w:pPr>
              <w:numPr>
                <w:ilvl w:val="0"/>
                <w:numId w:val="0"/>
              </w:numPr>
              <w:ind w:leftChars="0"/>
              <w:jc w:val="center"/>
            </w:pPr>
            <w:r>
              <w:t>94.4%</w:t>
            </w:r>
          </w:p>
        </w:tc>
        <w:tc>
          <w:tcPr>
            <w:tcW w:w="800" w:type="dxa"/>
            <w:vAlign w:val="center"/>
          </w:tcPr>
          <w:p w14:paraId="6BC63029">
            <w:pPr>
              <w:numPr>
                <w:ilvl w:val="0"/>
                <w:numId w:val="0"/>
              </w:numPr>
              <w:ind w:leftChars="0"/>
              <w:jc w:val="center"/>
            </w:pPr>
            <w:r>
              <w:t>45.4%</w:t>
            </w:r>
          </w:p>
        </w:tc>
        <w:tc>
          <w:tcPr>
            <w:tcW w:w="938" w:type="dxa"/>
            <w:vAlign w:val="center"/>
          </w:tcPr>
          <w:p w14:paraId="09CC707C">
            <w:pPr>
              <w:numPr>
                <w:ilvl w:val="0"/>
                <w:numId w:val="0"/>
              </w:numPr>
              <w:ind w:leftChars="0"/>
              <w:jc w:val="center"/>
            </w:pPr>
            <w:r>
              <w:t>0.898</w:t>
            </w:r>
          </w:p>
        </w:tc>
        <w:tc>
          <w:tcPr>
            <w:tcW w:w="2575" w:type="dxa"/>
            <w:vAlign w:val="center"/>
          </w:tcPr>
          <w:p w14:paraId="33B8EF17">
            <w:pPr>
              <w:numPr>
                <w:ilvl w:val="0"/>
                <w:numId w:val="0"/>
              </w:numPr>
              <w:ind w:leftChars="0"/>
              <w:jc w:val="center"/>
            </w:pPr>
            <w:r>
              <w:t>Almost perfect</w:t>
            </w:r>
          </w:p>
        </w:tc>
      </w:tr>
      <w:tr w14:paraId="26FAB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1" w:hRule="atLeast"/>
        </w:trPr>
        <w:tc>
          <w:tcPr>
            <w:tcW w:w="2184" w:type="dxa"/>
            <w:vAlign w:val="center"/>
          </w:tcPr>
          <w:p w14:paraId="02EB8C13">
            <w:pPr>
              <w:numPr>
                <w:ilvl w:val="0"/>
                <w:numId w:val="0"/>
              </w:numPr>
              <w:ind w:leftChars="0"/>
              <w:jc w:val="center"/>
            </w:pPr>
            <w:r>
              <w:t>D1</w:t>
            </w:r>
          </w:p>
        </w:tc>
        <w:tc>
          <w:tcPr>
            <w:tcW w:w="641" w:type="dxa"/>
            <w:vAlign w:val="center"/>
          </w:tcPr>
          <w:p w14:paraId="5CA146EC">
            <w:pPr>
              <w:numPr>
                <w:ilvl w:val="0"/>
                <w:numId w:val="0"/>
              </w:numPr>
              <w:ind w:leftChars="0"/>
              <w:jc w:val="center"/>
            </w:pPr>
            <w:r>
              <w:t>18</w:t>
            </w:r>
          </w:p>
        </w:tc>
        <w:tc>
          <w:tcPr>
            <w:tcW w:w="1075" w:type="dxa"/>
            <w:vAlign w:val="center"/>
          </w:tcPr>
          <w:p w14:paraId="4E20052A">
            <w:pPr>
              <w:numPr>
                <w:ilvl w:val="0"/>
                <w:numId w:val="0"/>
              </w:numPr>
              <w:ind w:leftChars="0"/>
              <w:jc w:val="center"/>
            </w:pPr>
            <w:r>
              <w:t>15</w:t>
            </w:r>
          </w:p>
        </w:tc>
        <w:tc>
          <w:tcPr>
            <w:tcW w:w="700" w:type="dxa"/>
            <w:vAlign w:val="center"/>
          </w:tcPr>
          <w:p w14:paraId="4422606E">
            <w:pPr>
              <w:numPr>
                <w:ilvl w:val="0"/>
                <w:numId w:val="0"/>
              </w:numPr>
              <w:ind w:leftChars="0"/>
              <w:jc w:val="center"/>
            </w:pPr>
            <w:r>
              <w:t>83.3%</w:t>
            </w:r>
          </w:p>
        </w:tc>
        <w:tc>
          <w:tcPr>
            <w:tcW w:w="800" w:type="dxa"/>
            <w:vAlign w:val="center"/>
          </w:tcPr>
          <w:p w14:paraId="54C70B83">
            <w:pPr>
              <w:numPr>
                <w:ilvl w:val="0"/>
                <w:numId w:val="0"/>
              </w:numPr>
              <w:ind w:leftChars="0"/>
              <w:jc w:val="center"/>
            </w:pPr>
            <w:r>
              <w:rPr>
                <w:rFonts w:hint="eastAsia"/>
              </w:rPr>
              <w:t>34.3%</w:t>
            </w:r>
          </w:p>
        </w:tc>
        <w:tc>
          <w:tcPr>
            <w:tcW w:w="938" w:type="dxa"/>
            <w:vAlign w:val="center"/>
          </w:tcPr>
          <w:p w14:paraId="37EE5EF5"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 w:eastAsia="宋体"/>
                <w:lang w:eastAsia="zh-CN"/>
              </w:rPr>
            </w:pPr>
            <w:r>
              <w:t>0.746</w:t>
            </w:r>
            <w:r>
              <w:rPr>
                <w:rFonts w:hint="eastAsia" w:eastAsia="宋体"/>
                <w:lang w:val="en-US" w:eastAsia="zh-CN"/>
              </w:rPr>
            </w:r>
          </w:p>
        </w:tc>
        <w:tc>
          <w:tcPr>
            <w:tcW w:w="2575" w:type="dxa"/>
            <w:vAlign w:val="center"/>
          </w:tcPr>
          <w:p w14:paraId="0CDA97C1">
            <w:pPr>
              <w:numPr>
                <w:ilvl w:val="0"/>
                <w:numId w:val="0"/>
              </w:numPr>
              <w:ind w:leftChars="0"/>
              <w:jc w:val="center"/>
            </w:pPr>
            <w:r>
              <w:t>Substantial</w:t>
            </w:r>
          </w:p>
        </w:tc>
      </w:tr>
      <w:tr w14:paraId="22E16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1" w:hRule="atLeast"/>
        </w:trPr>
        <w:tc>
          <w:tcPr>
            <w:tcW w:w="2184" w:type="dxa"/>
            <w:vAlign w:val="center"/>
          </w:tcPr>
          <w:p w14:paraId="1B4D101A">
            <w:pPr>
              <w:numPr>
                <w:ilvl w:val="0"/>
                <w:numId w:val="0"/>
              </w:numPr>
              <w:ind w:leftChars="0"/>
              <w:jc w:val="center"/>
            </w:pPr>
            <w:r>
              <w:t>D2</w:t>
            </w:r>
          </w:p>
        </w:tc>
        <w:tc>
          <w:tcPr>
            <w:tcW w:w="641" w:type="dxa"/>
            <w:vAlign w:val="center"/>
          </w:tcPr>
          <w:p w14:paraId="443AADB0">
            <w:pPr>
              <w:numPr>
                <w:ilvl w:val="0"/>
                <w:numId w:val="0"/>
              </w:numPr>
              <w:ind w:leftChars="0"/>
              <w:jc w:val="center"/>
            </w:pPr>
            <w:r>
              <w:t>18</w:t>
            </w:r>
          </w:p>
        </w:tc>
        <w:tc>
          <w:tcPr>
            <w:tcW w:w="1075" w:type="dxa"/>
            <w:vAlign w:val="center"/>
          </w:tcPr>
          <w:p w14:paraId="4C0A6E0A">
            <w:pPr>
              <w:numPr>
                <w:ilvl w:val="0"/>
                <w:numId w:val="0"/>
              </w:numPr>
              <w:ind w:leftChars="0"/>
              <w:jc w:val="center"/>
            </w:pPr>
            <w:r>
              <w:t>15</w:t>
            </w:r>
          </w:p>
        </w:tc>
        <w:tc>
          <w:tcPr>
            <w:tcW w:w="700" w:type="dxa"/>
            <w:vAlign w:val="center"/>
          </w:tcPr>
          <w:p w14:paraId="263323A7">
            <w:pPr>
              <w:numPr>
                <w:ilvl w:val="0"/>
                <w:numId w:val="0"/>
              </w:numPr>
              <w:ind w:leftChars="0"/>
              <w:jc w:val="center"/>
            </w:pPr>
            <w:r>
              <w:t>83.3%</w:t>
            </w:r>
          </w:p>
        </w:tc>
        <w:tc>
          <w:tcPr>
            <w:tcW w:w="800" w:type="dxa"/>
            <w:vAlign w:val="center"/>
          </w:tcPr>
          <w:p w14:paraId="3A1CCE0F">
            <w:pPr>
              <w:numPr>
                <w:ilvl w:val="0"/>
                <w:numId w:val="0"/>
              </w:numPr>
              <w:ind w:leftChars="0"/>
              <w:jc w:val="center"/>
            </w:pPr>
            <w:r>
              <w:rPr>
                <w:rFonts w:hint="eastAsia" w:eastAsia="宋体"/>
                <w:lang w:val="en-US" w:eastAsia="zh-CN"/>
              </w:rPr>
              <w:t>47.5%</w:t>
            </w:r>
            <w:r/>
          </w:p>
        </w:tc>
        <w:tc>
          <w:tcPr>
            <w:tcW w:w="938" w:type="dxa"/>
            <w:vAlign w:val="center"/>
          </w:tcPr>
          <w:p w14:paraId="17774AA3"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 w:eastAsia="宋体"/>
                <w:lang w:val="en-US" w:eastAsia="zh-CN"/>
              </w:rPr>
            </w:pPr>
            <w:r>
              <w:t>0.682</w:t>
            </w:r>
            <w:r>
              <w:rPr>
                <w:rFonts w:hint="eastAsia" w:eastAsia="宋体"/>
                <w:lang w:val="en-US" w:eastAsia="zh-CN"/>
              </w:rPr>
            </w:r>
          </w:p>
        </w:tc>
        <w:tc>
          <w:tcPr>
            <w:tcW w:w="2575" w:type="dxa"/>
            <w:vAlign w:val="center"/>
          </w:tcPr>
          <w:p w14:paraId="43172246">
            <w:pPr>
              <w:numPr>
                <w:ilvl w:val="0"/>
                <w:numId w:val="0"/>
              </w:numPr>
              <w:ind w:leftChars="0"/>
              <w:jc w:val="center"/>
            </w:pPr>
            <w:r>
              <w:t>Substantial</w:t>
            </w:r>
          </w:p>
        </w:tc>
      </w:tr>
      <w:tr w14:paraId="122BF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W w:w="2184" w:type="dxa"/>
            <w:vAlign w:val="center"/>
          </w:tcPr>
          <w:p w14:paraId="0581033B">
            <w:pPr>
              <w:numPr>
                <w:ilvl w:val="0"/>
                <w:numId w:val="0"/>
              </w:numPr>
              <w:ind w:leftChars="0"/>
              <w:jc w:val="center"/>
            </w:pPr>
            <w:r>
              <w:t>D3</w:t>
            </w:r>
          </w:p>
        </w:tc>
        <w:tc>
          <w:tcPr>
            <w:tcW w:w="641" w:type="dxa"/>
            <w:vAlign w:val="center"/>
          </w:tcPr>
          <w:p w14:paraId="3B2C3C16">
            <w:pPr>
              <w:numPr>
                <w:ilvl w:val="0"/>
                <w:numId w:val="0"/>
              </w:numPr>
              <w:ind w:leftChars="0"/>
              <w:jc w:val="center"/>
            </w:pPr>
            <w:r>
              <w:t>18</w:t>
            </w:r>
          </w:p>
        </w:tc>
        <w:tc>
          <w:tcPr>
            <w:tcW w:w="1075" w:type="dxa"/>
            <w:vAlign w:val="center"/>
          </w:tcPr>
          <w:p w14:paraId="19CEB2AD">
            <w:pPr>
              <w:numPr>
                <w:ilvl w:val="0"/>
                <w:numId w:val="0"/>
              </w:numPr>
              <w:ind w:leftChars="0"/>
              <w:jc w:val="center"/>
            </w:pPr>
            <w:r>
              <w:t>17</w:t>
            </w:r>
          </w:p>
        </w:tc>
        <w:tc>
          <w:tcPr>
            <w:tcW w:w="700" w:type="dxa"/>
            <w:vAlign w:val="center"/>
          </w:tcPr>
          <w:p w14:paraId="4E8F529C">
            <w:pPr>
              <w:numPr>
                <w:ilvl w:val="0"/>
                <w:numId w:val="0"/>
              </w:numPr>
              <w:ind w:leftChars="0"/>
              <w:jc w:val="center"/>
            </w:pPr>
            <w:r>
              <w:t>94.4%</w:t>
            </w:r>
          </w:p>
        </w:tc>
        <w:tc>
          <w:tcPr>
            <w:tcW w:w="800" w:type="dxa"/>
            <w:vAlign w:val="center"/>
          </w:tcPr>
          <w:p w14:paraId="2FED79B1">
            <w:pPr>
              <w:numPr>
                <w:ilvl w:val="0"/>
                <w:numId w:val="0"/>
              </w:numPr>
              <w:ind w:leftChars="0"/>
              <w:jc w:val="center"/>
            </w:pPr>
            <w:r>
              <w:rPr>
                <w:rFonts w:hint="eastAsia" w:eastAsia="宋体"/>
                <w:lang w:val="en-US" w:eastAsia="zh-CN"/>
              </w:rPr>
              <w:t>40.7%</w:t>
            </w:r>
            <w:r>
              <w:rPr>
                <w:rFonts w:hint="eastAsia"/>
              </w:rPr>
            </w:r>
          </w:p>
        </w:tc>
        <w:tc>
          <w:tcPr>
            <w:tcW w:w="938" w:type="dxa"/>
            <w:vAlign w:val="center"/>
          </w:tcPr>
          <w:p w14:paraId="71F29477"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 w:eastAsia="宋体"/>
                <w:lang w:val="en-US" w:eastAsia="zh-CN"/>
              </w:rPr>
            </w:pPr>
            <w:r>
              <w:t>0.906</w:t>
            </w:r>
            <w:r>
              <w:rPr>
                <w:rFonts w:hint="eastAsia" w:eastAsia="宋体"/>
                <w:lang w:val="en-US" w:eastAsia="zh-CN"/>
              </w:rPr>
            </w:r>
          </w:p>
        </w:tc>
        <w:tc>
          <w:tcPr>
            <w:tcW w:w="2575" w:type="dxa"/>
            <w:vAlign w:val="center"/>
          </w:tcPr>
          <w:p w14:paraId="3516EAE2">
            <w:pPr>
              <w:numPr>
                <w:ilvl w:val="0"/>
                <w:numId w:val="0"/>
              </w:numPr>
              <w:ind w:leftChars="0"/>
              <w:jc w:val="center"/>
            </w:pPr>
            <w:r>
              <w:t>Almost perfect</w:t>
            </w:r>
          </w:p>
        </w:tc>
      </w:tr>
    </w:tbl>
    <w:p w14:paraId="2D6F5B50">
      <w:pPr>
        <w:spacing w:after="20"/>
      </w:pPr>
    </w:p>
    <w:p w14:paraId="73688553">
      <w:pPr>
        <w:pStyle w:val="3"/>
      </w:pPr>
      <w:r>
        <w:rPr>
          <w:rFonts w:hint="eastAsia"/>
        </w:rPr>
        <w:t>2. Coding reliability (✓/○/× on Applicable cells): overall and dimension level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6"/>
        <w:gridCol w:w="1704"/>
        <w:gridCol w:w="1263"/>
        <w:gridCol w:w="1187"/>
        <w:gridCol w:w="838"/>
        <w:gridCol w:w="675"/>
        <w:gridCol w:w="2087"/>
      </w:tblGrid>
      <w:tr w14:paraId="7D019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DBEEF3" w:themeFill="accent5" w:themeFillTint="32"/>
            <w:vAlign w:val="center"/>
          </w:tcPr>
          <w:p w14:paraId="152A76ED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1704" w:type="dxa"/>
            <w:shd w:val="clear" w:color="auto" w:fill="DBEEF3" w:themeFill="accent5" w:themeFillTint="32"/>
            <w:vAlign w:val="center"/>
          </w:tcPr>
          <w:p w14:paraId="2035C332">
            <w:pPr>
              <w:jc w:val="center"/>
            </w:pPr>
            <w:r>
              <w:rPr>
                <w:b/>
              </w:rPr>
              <w:t>Indicators</w:t>
            </w:r>
          </w:p>
        </w:tc>
        <w:tc>
          <w:tcPr>
            <w:tcW w:w="1263" w:type="dxa"/>
            <w:shd w:val="clear" w:color="auto" w:fill="DBEEF3" w:themeFill="accent5" w:themeFillTint="32"/>
            <w:vAlign w:val="center"/>
          </w:tcPr>
          <w:p w14:paraId="6D34BACC"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1187" w:type="dxa"/>
            <w:shd w:val="clear" w:color="auto" w:fill="DBEEF3" w:themeFill="accent5" w:themeFillTint="32"/>
            <w:vAlign w:val="center"/>
          </w:tcPr>
          <w:p w14:paraId="4EF6CB61">
            <w:pPr>
              <w:jc w:val="center"/>
            </w:pPr>
            <w:r>
              <w:rPr>
                <w:b/>
              </w:rPr>
              <w:t>Agreement</w:t>
            </w:r>
          </w:p>
        </w:tc>
        <w:tc>
          <w:tcPr>
            <w:tcW w:w="838" w:type="dxa"/>
            <w:shd w:val="clear" w:color="auto" w:fill="DBEEF3" w:themeFill="accent5" w:themeFillTint="32"/>
            <w:vAlign w:val="center"/>
          </w:tcPr>
          <w:p w14:paraId="2680B823">
            <w:pPr>
              <w:jc w:val="center"/>
            </w:pPr>
            <w:r>
              <w:rPr>
                <w:b/>
              </w:rPr>
              <w:t>Po</w:t>
            </w:r>
          </w:p>
        </w:tc>
        <w:tc>
          <w:tcPr>
            <w:tcW w:w="675" w:type="dxa"/>
            <w:shd w:val="clear" w:color="auto" w:fill="DBEEF3" w:themeFill="accent5" w:themeFillTint="32"/>
            <w:vAlign w:val="center"/>
          </w:tcPr>
          <w:p w14:paraId="572686AB">
            <w:pPr>
              <w:jc w:val="center"/>
            </w:pPr>
            <w:r>
              <w:rPr>
                <w:b/>
              </w:rPr>
              <w:t>κ</w:t>
            </w:r>
          </w:p>
        </w:tc>
        <w:tc>
          <w:tcPr>
            <w:tcW w:w="2087" w:type="dxa"/>
            <w:shd w:val="clear" w:color="auto" w:fill="DBEEF3" w:themeFill="accent5" w:themeFillTint="32"/>
            <w:vAlign w:val="center"/>
          </w:tcPr>
          <w:p w14:paraId="5B9C87EE"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 w14:paraId="5BFBD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5" w:hRule="atLeast"/>
        </w:trPr>
        <w:tc>
          <w:tcPr>
            <w:tcW w:w="0" w:type="auto"/>
            <w:vAlign w:val="center"/>
          </w:tcPr>
          <w:p w14:paraId="382D4E30">
            <w:pPr>
              <w:jc w:val="center"/>
            </w:pPr>
            <w:r>
              <w:t>Overall</w:t>
            </w:r>
          </w:p>
        </w:tc>
        <w:tc>
          <w:tcPr>
            <w:tcW w:w="1704" w:type="dxa"/>
            <w:vAlign w:val="center"/>
          </w:tcPr>
          <w:p w14:paraId="7407E92C">
            <w:pPr>
              <w:jc w:val="center"/>
            </w:pPr>
            <w:r>
              <w:t>A1-A4, B1-B2, C1-C2, D1-D3, E1-E3</w:t>
            </w:r>
            <w:r>
              <w:rPr>
                <w:rFonts w:hint="eastAsia" w:eastAsia="宋体"/>
                <w:lang w:val="en-US" w:eastAsia="zh-CN"/>
              </w:rPr>
            </w:r>
            <w:r/>
          </w:p>
        </w:tc>
        <w:tc>
          <w:tcPr>
            <w:tcW w:w="1263" w:type="dxa"/>
            <w:vAlign w:val="center"/>
          </w:tcPr>
          <w:p w14:paraId="461EE59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213</w:t>
            </w:r>
          </w:p>
        </w:tc>
        <w:tc>
          <w:tcPr>
            <w:tcW w:w="1187" w:type="dxa"/>
            <w:vAlign w:val="center"/>
          </w:tcPr>
          <w:p w14:paraId="6E8330A7">
            <w:pPr>
              <w:jc w:val="center"/>
              <w:rPr>
                <w:rFonts w:hint="eastAsia" w:eastAsia="宋体"/>
                <w:lang w:eastAsia="zh-CN"/>
              </w:rPr>
            </w:pPr>
            <w:r>
              <w:t>187</w:t>
            </w:r>
            <w:r>
              <w:rPr>
                <w:rFonts w:hint="eastAsia" w:eastAsia="宋体"/>
                <w:lang w:val="en-US" w:eastAsia="zh-CN"/>
              </w:rPr>
            </w:r>
          </w:p>
        </w:tc>
        <w:tc>
          <w:tcPr>
            <w:tcW w:w="838" w:type="dxa"/>
            <w:vAlign w:val="center"/>
          </w:tcPr>
          <w:p w14:paraId="26F2A368">
            <w:pPr>
              <w:jc w:val="center"/>
            </w:pPr>
            <w:r>
              <w:t>87.8%</w:t>
            </w:r>
            <w:r>
              <w:rPr>
                <w:rFonts w:hint="eastAsia" w:eastAsia="宋体"/>
                <w:lang w:val="en-US" w:eastAsia="zh-CN"/>
              </w:rPr>
            </w:r>
            <w:r/>
          </w:p>
        </w:tc>
        <w:tc>
          <w:tcPr>
            <w:tcW w:w="675" w:type="dxa"/>
            <w:vAlign w:val="center"/>
          </w:tcPr>
          <w:p w14:paraId="77F4B4F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0.745</w:t>
            </w:r>
            <w:r>
              <w:rPr>
                <w:rFonts w:hint="eastAsia" w:eastAsia="宋体"/>
                <w:lang w:val="en-US" w:eastAsia="zh-CN"/>
              </w:rPr>
            </w:r>
          </w:p>
        </w:tc>
        <w:tc>
          <w:tcPr>
            <w:tcW w:w="2087" w:type="dxa"/>
            <w:vAlign w:val="center"/>
          </w:tcPr>
          <w:p w14:paraId="7048255D">
            <w:pPr>
              <w:jc w:val="center"/>
            </w:pPr>
            <w:r>
              <w:t>Substantial</w:t>
            </w:r>
          </w:p>
        </w:tc>
      </w:tr>
      <w:tr w14:paraId="567A1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756356A5">
            <w:pPr>
              <w:jc w:val="center"/>
            </w:pPr>
            <w:r>
              <w:t>Dimension A</w:t>
            </w:r>
          </w:p>
        </w:tc>
        <w:tc>
          <w:tcPr>
            <w:tcW w:w="1704" w:type="dxa"/>
            <w:vAlign w:val="center"/>
          </w:tcPr>
          <w:p w14:paraId="02C7EB35">
            <w:pPr>
              <w:jc w:val="center"/>
            </w:pPr>
            <w:r>
              <w:t>A1-A4</w:t>
            </w:r>
          </w:p>
        </w:tc>
        <w:tc>
          <w:tcPr>
            <w:tcW w:w="1263" w:type="dxa"/>
            <w:vAlign w:val="center"/>
          </w:tcPr>
          <w:p w14:paraId="6E43E70B">
            <w:pPr>
              <w:jc w:val="center"/>
              <w:rPr>
                <w:rFonts w:hint="eastAsia" w:eastAsia="宋体"/>
                <w:lang w:eastAsia="zh-CN"/>
              </w:rPr>
            </w:pPr>
            <w:r>
              <w:t>63</w:t>
            </w:r>
            <w:r>
              <w:rPr>
                <w:rFonts w:hint="eastAsia" w:eastAsia="宋体"/>
                <w:lang w:val="en-US" w:eastAsia="zh-CN"/>
              </w:rPr>
            </w:r>
          </w:p>
        </w:tc>
        <w:tc>
          <w:tcPr>
            <w:tcW w:w="1187" w:type="dxa"/>
            <w:vAlign w:val="center"/>
          </w:tcPr>
          <w:p w14:paraId="4C3B6B4A">
            <w:pPr>
              <w:jc w:val="center"/>
              <w:rPr>
                <w:rFonts w:hint="eastAsia" w:eastAsia="宋体"/>
                <w:lang w:eastAsia="zh-CN"/>
              </w:rPr>
            </w:pPr>
            <w:r>
              <w:t>58</w:t>
            </w:r>
            <w:r>
              <w:rPr>
                <w:rFonts w:hint="eastAsia" w:eastAsia="宋体"/>
                <w:lang w:val="en-US" w:eastAsia="zh-CN"/>
              </w:rPr>
            </w:r>
          </w:p>
        </w:tc>
        <w:tc>
          <w:tcPr>
            <w:tcW w:w="838" w:type="dxa"/>
            <w:vAlign w:val="center"/>
          </w:tcPr>
          <w:p w14:paraId="6B02CAE9">
            <w:pPr>
              <w:jc w:val="center"/>
            </w:pPr>
            <w:r>
              <w:t>92.1%</w:t>
            </w:r>
            <w:r>
              <w:rPr>
                <w:rFonts w:hint="eastAsia" w:eastAsia="宋体"/>
                <w:lang w:val="en-US" w:eastAsia="zh-CN"/>
              </w:rPr>
            </w:r>
            <w:r/>
          </w:p>
        </w:tc>
        <w:tc>
          <w:tcPr>
            <w:tcW w:w="675" w:type="dxa"/>
            <w:vAlign w:val="center"/>
          </w:tcPr>
          <w:p w14:paraId="280A259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0.792</w:t>
            </w:r>
            <w:r>
              <w:rPr>
                <w:rFonts w:hint="eastAsia" w:eastAsia="宋体"/>
                <w:lang w:val="en-US" w:eastAsia="zh-CN"/>
              </w:rPr>
            </w:r>
          </w:p>
        </w:tc>
        <w:tc>
          <w:tcPr>
            <w:tcW w:w="2087" w:type="dxa"/>
            <w:vAlign w:val="center"/>
          </w:tcPr>
          <w:p w14:paraId="2E2FA45F">
            <w:pPr>
              <w:jc w:val="center"/>
            </w:pPr>
            <w:r>
              <w:t>Substantial</w:t>
            </w:r>
          </w:p>
        </w:tc>
      </w:tr>
      <w:tr w14:paraId="7D006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682D63C6">
            <w:pPr>
              <w:jc w:val="center"/>
            </w:pPr>
            <w:r>
              <w:t>Dimension B</w:t>
            </w:r>
          </w:p>
        </w:tc>
        <w:tc>
          <w:tcPr>
            <w:tcW w:w="1704" w:type="dxa"/>
            <w:vAlign w:val="center"/>
          </w:tcPr>
          <w:p w14:paraId="53F5CBF4">
            <w:pPr>
              <w:jc w:val="center"/>
            </w:pPr>
            <w:r>
              <w:t>B1-B2</w:t>
            </w:r>
          </w:p>
        </w:tc>
        <w:tc>
          <w:tcPr>
            <w:tcW w:w="1263" w:type="dxa"/>
            <w:vAlign w:val="center"/>
          </w:tcPr>
          <w:p w14:paraId="7CD8BDF2">
            <w:pPr>
              <w:jc w:val="center"/>
            </w:pPr>
            <w:r>
              <w:t>36</w:t>
            </w:r>
          </w:p>
        </w:tc>
        <w:tc>
          <w:tcPr>
            <w:tcW w:w="1187" w:type="dxa"/>
            <w:vAlign w:val="center"/>
          </w:tcPr>
          <w:p w14:paraId="0A36689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28</w:t>
            </w:r>
          </w:p>
        </w:tc>
        <w:tc>
          <w:tcPr>
            <w:tcW w:w="838" w:type="dxa"/>
            <w:vAlign w:val="center"/>
          </w:tcPr>
          <w:p w14:paraId="2521ACA5">
            <w:pPr>
              <w:jc w:val="center"/>
            </w:pPr>
            <w:r>
              <w:t>77.8%</w:t>
            </w:r>
            <w:r>
              <w:rPr>
                <w:rFonts w:hint="eastAsia" w:eastAsia="宋体"/>
                <w:lang w:val="en-US" w:eastAsia="zh-CN"/>
              </w:rPr>
            </w:r>
            <w:r/>
            <w:r>
              <w:rPr>
                <w:rFonts w:hint="eastAsia" w:eastAsia="宋体"/>
                <w:lang w:val="en-US" w:eastAsia="zh-CN"/>
              </w:rPr>
            </w:r>
            <w:r/>
          </w:p>
        </w:tc>
        <w:tc>
          <w:tcPr>
            <w:tcW w:w="675" w:type="dxa"/>
            <w:vAlign w:val="center"/>
          </w:tcPr>
          <w:p w14:paraId="3C1DF92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0.635</w:t>
            </w:r>
            <w:r>
              <w:rPr>
                <w:rFonts w:hint="eastAsia" w:eastAsia="宋体"/>
                <w:lang w:val="en-US" w:eastAsia="zh-CN"/>
              </w:rPr>
            </w:r>
          </w:p>
        </w:tc>
        <w:tc>
          <w:tcPr>
            <w:tcW w:w="2087" w:type="dxa"/>
            <w:vAlign w:val="center"/>
          </w:tcPr>
          <w:p w14:paraId="2153E22F">
            <w:pPr>
              <w:jc w:val="center"/>
            </w:pPr>
            <w:r>
              <w:t>Substantial</w:t>
            </w:r>
          </w:p>
        </w:tc>
      </w:tr>
      <w:tr w14:paraId="78BC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7F327801">
            <w:pPr>
              <w:jc w:val="center"/>
            </w:pPr>
            <w:r>
              <w:t>Dimension C</w:t>
            </w:r>
          </w:p>
        </w:tc>
        <w:tc>
          <w:tcPr>
            <w:tcW w:w="1704" w:type="dxa"/>
            <w:vAlign w:val="center"/>
          </w:tcPr>
          <w:p w14:paraId="4D24D2EA">
            <w:pPr>
              <w:jc w:val="center"/>
            </w:pPr>
            <w:r>
              <w:t>C1-C2</w:t>
            </w:r>
          </w:p>
        </w:tc>
        <w:tc>
          <w:tcPr>
            <w:tcW w:w="1263" w:type="dxa"/>
            <w:vAlign w:val="center"/>
          </w:tcPr>
          <w:p w14:paraId="406F85CD">
            <w:pPr>
              <w:jc w:val="center"/>
            </w:pPr>
            <w:r>
              <w:t>36</w:t>
            </w:r>
          </w:p>
        </w:tc>
        <w:tc>
          <w:tcPr>
            <w:tcW w:w="1187" w:type="dxa"/>
            <w:vAlign w:val="center"/>
          </w:tcPr>
          <w:p w14:paraId="416D26FC">
            <w:pPr>
              <w:jc w:val="center"/>
            </w:pPr>
            <w:r>
              <w:t>30</w:t>
            </w:r>
          </w:p>
        </w:tc>
        <w:tc>
          <w:tcPr>
            <w:tcW w:w="838" w:type="dxa"/>
            <w:vAlign w:val="center"/>
          </w:tcPr>
          <w:p w14:paraId="5F05BED5">
            <w:pPr>
              <w:jc w:val="center"/>
            </w:pPr>
            <w:r>
              <w:t>83.3%</w:t>
            </w:r>
          </w:p>
        </w:tc>
        <w:tc>
          <w:tcPr>
            <w:tcW w:w="675" w:type="dxa"/>
            <w:vAlign w:val="center"/>
          </w:tcPr>
          <w:p w14:paraId="5123F1F6">
            <w:pPr>
              <w:jc w:val="center"/>
            </w:pPr>
            <w:r>
              <w:t>0.745</w:t>
            </w:r>
          </w:p>
        </w:tc>
        <w:tc>
          <w:tcPr>
            <w:tcW w:w="2087" w:type="dxa"/>
            <w:vAlign w:val="center"/>
          </w:tcPr>
          <w:p w14:paraId="1FCEE3CD">
            <w:pPr>
              <w:jc w:val="center"/>
            </w:pPr>
            <w:r>
              <w:t>Substantial</w:t>
            </w:r>
          </w:p>
        </w:tc>
      </w:tr>
      <w:tr w14:paraId="7A40E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461DF131">
            <w:pPr>
              <w:jc w:val="center"/>
            </w:pPr>
            <w:r>
              <w:t>Dimension D</w:t>
            </w:r>
          </w:p>
        </w:tc>
        <w:tc>
          <w:tcPr>
            <w:tcW w:w="1704" w:type="dxa"/>
            <w:vAlign w:val="center"/>
          </w:tcPr>
          <w:p w14:paraId="23251BC4">
            <w:pPr>
              <w:jc w:val="center"/>
            </w:pPr>
            <w:r>
              <w:t>D1-D3</w:t>
            </w:r>
          </w:p>
        </w:tc>
        <w:tc>
          <w:tcPr>
            <w:tcW w:w="1263" w:type="dxa"/>
            <w:vAlign w:val="center"/>
          </w:tcPr>
          <w:p w14:paraId="131C42B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24</w:t>
            </w:r>
          </w:p>
        </w:tc>
        <w:tc>
          <w:tcPr>
            <w:tcW w:w="1187" w:type="dxa"/>
            <w:vAlign w:val="center"/>
          </w:tcPr>
          <w:p w14:paraId="21B9FD9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19</w:t>
            </w:r>
          </w:p>
        </w:tc>
        <w:tc>
          <w:tcPr>
            <w:tcW w:w="838" w:type="dxa"/>
            <w:vAlign w:val="center"/>
          </w:tcPr>
          <w:p w14:paraId="0DFD9C92">
            <w:pPr>
              <w:jc w:val="center"/>
            </w:pPr>
            <w:r>
              <w:t>79.2%</w:t>
            </w:r>
            <w:r>
              <w:rPr>
                <w:rFonts w:hint="eastAsia" w:eastAsia="宋体"/>
                <w:lang w:val="en-US" w:eastAsia="zh-CN"/>
              </w:rPr>
            </w:r>
            <w:r/>
            <w:r>
              <w:rPr>
                <w:rFonts w:hint="eastAsia" w:eastAsia="宋体"/>
                <w:lang w:val="en-US" w:eastAsia="zh-CN"/>
              </w:rPr>
            </w:r>
            <w:r/>
          </w:p>
        </w:tc>
        <w:tc>
          <w:tcPr>
            <w:tcW w:w="675" w:type="dxa"/>
            <w:vAlign w:val="center"/>
          </w:tcPr>
          <w:p w14:paraId="1D92ACD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0.570</w:t>
            </w:r>
            <w:r>
              <w:rPr>
                <w:rFonts w:hint="eastAsia" w:eastAsia="宋体"/>
                <w:lang w:val="en-US" w:eastAsia="zh-CN"/>
              </w:rPr>
            </w:r>
          </w:p>
        </w:tc>
        <w:tc>
          <w:tcPr>
            <w:tcW w:w="2087" w:type="dxa"/>
            <w:vAlign w:val="center"/>
          </w:tcPr>
          <w:p w14:paraId="23E5F790">
            <w:pPr>
              <w:jc w:val="center"/>
            </w:pPr>
            <w:r>
              <w:t>Moderate</w:t>
            </w:r>
          </w:p>
        </w:tc>
      </w:tr>
      <w:tr w14:paraId="34B55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7E86B615">
            <w:pPr>
              <w:jc w:val="center"/>
            </w:pPr>
            <w:r>
              <w:t>Dimension E</w:t>
            </w:r>
          </w:p>
        </w:tc>
        <w:tc>
          <w:tcPr>
            <w:tcW w:w="1704" w:type="dxa"/>
            <w:vAlign w:val="center"/>
          </w:tcPr>
          <w:p w14:paraId="4D4FF065">
            <w:pPr>
              <w:jc w:val="center"/>
            </w:pPr>
            <w:r>
              <w:t>E1-E3</w:t>
            </w:r>
          </w:p>
        </w:tc>
        <w:tc>
          <w:tcPr>
            <w:tcW w:w="1263" w:type="dxa"/>
            <w:vAlign w:val="center"/>
          </w:tcPr>
          <w:p w14:paraId="646BB52D">
            <w:pPr>
              <w:jc w:val="center"/>
            </w:pPr>
            <w:r>
              <w:t>54</w:t>
            </w:r>
          </w:p>
        </w:tc>
        <w:tc>
          <w:tcPr>
            <w:tcW w:w="1187" w:type="dxa"/>
            <w:vAlign w:val="center"/>
          </w:tcPr>
          <w:p w14:paraId="0A562324">
            <w:pPr>
              <w:jc w:val="center"/>
            </w:pPr>
            <w:r>
              <w:t>52</w:t>
            </w:r>
          </w:p>
        </w:tc>
        <w:tc>
          <w:tcPr>
            <w:tcW w:w="838" w:type="dxa"/>
            <w:vAlign w:val="center"/>
          </w:tcPr>
          <w:p w14:paraId="46674971">
            <w:pPr>
              <w:jc w:val="center"/>
            </w:pPr>
            <w:r>
              <w:t>96.3%</w:t>
            </w:r>
          </w:p>
        </w:tc>
        <w:tc>
          <w:tcPr>
            <w:tcW w:w="675" w:type="dxa"/>
            <w:vAlign w:val="center"/>
          </w:tcPr>
          <w:p w14:paraId="6D30539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0.829</w:t>
            </w:r>
            <w:r>
              <w:rPr>
                <w:rFonts w:hint="eastAsia" w:eastAsia="宋体"/>
                <w:lang w:val="en-US" w:eastAsia="zh-CN"/>
              </w:rPr>
            </w:r>
          </w:p>
        </w:tc>
        <w:tc>
          <w:tcPr>
            <w:tcW w:w="2087" w:type="dxa"/>
            <w:vAlign w:val="center"/>
          </w:tcPr>
          <w:p w14:paraId="0511C04E">
            <w:pPr>
              <w:jc w:val="center"/>
            </w:pPr>
            <w:r>
              <w:t>Almost perfect</w:t>
            </w:r>
          </w:p>
        </w:tc>
      </w:tr>
    </w:tbl>
    <w:p w14:paraId="3B3ABE5D">
      <w:pPr>
        <w:spacing w:after="20"/>
      </w:pPr>
    </w:p>
    <w:p w14:paraId="1E197059">
      <w:pPr>
        <w:pStyle w:val="3"/>
      </w:pPr>
      <w:r>
        <w:rPr>
          <w:rFonts w:hint="eastAsia"/>
        </w:rPr>
        <w:t>3. Coding reliability (✓/○/× on Applicable cells): indicator level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0"/>
        <w:gridCol w:w="1375"/>
        <w:gridCol w:w="1250"/>
        <w:gridCol w:w="1075"/>
        <w:gridCol w:w="888"/>
        <w:gridCol w:w="1187"/>
        <w:gridCol w:w="1988"/>
      </w:tblGrid>
      <w:tr w14:paraId="7713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shd w:val="clear" w:color="auto" w:fill="DBEEF3" w:themeFill="accent5" w:themeFillTint="32"/>
            <w:vAlign w:val="center"/>
          </w:tcPr>
          <w:p w14:paraId="12F9C299">
            <w:pPr>
              <w:jc w:val="center"/>
            </w:pPr>
            <w:r>
              <w:rPr>
                <w:b/>
              </w:rPr>
              <w:t>Indicator</w:t>
            </w:r>
          </w:p>
        </w:tc>
        <w:tc>
          <w:tcPr>
            <w:tcW w:w="1375" w:type="dxa"/>
            <w:shd w:val="clear" w:color="auto" w:fill="DBEEF3" w:themeFill="accent5" w:themeFillTint="32"/>
            <w:vAlign w:val="center"/>
          </w:tcPr>
          <w:p w14:paraId="18261C5D"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1250" w:type="dxa"/>
            <w:shd w:val="clear" w:color="auto" w:fill="DBEEF3" w:themeFill="accent5" w:themeFillTint="32"/>
            <w:vAlign w:val="center"/>
          </w:tcPr>
          <w:p w14:paraId="06E43FD6">
            <w:pPr>
              <w:jc w:val="center"/>
            </w:pPr>
            <w:r>
              <w:rPr>
                <w:b/>
              </w:rPr>
              <w:t>Agreement</w:t>
            </w:r>
          </w:p>
        </w:tc>
        <w:tc>
          <w:tcPr>
            <w:tcW w:w="1075" w:type="dxa"/>
            <w:shd w:val="clear" w:color="auto" w:fill="DBEEF3" w:themeFill="accent5" w:themeFillTint="32"/>
            <w:vAlign w:val="center"/>
          </w:tcPr>
          <w:p w14:paraId="164A6502">
            <w:pPr>
              <w:jc w:val="center"/>
            </w:pPr>
            <w:r>
              <w:rPr>
                <w:b/>
              </w:rPr>
              <w:t>Po</w:t>
            </w:r>
          </w:p>
        </w:tc>
        <w:tc>
          <w:tcPr>
            <w:tcW w:w="888" w:type="dxa"/>
            <w:shd w:val="clear" w:color="auto" w:fill="DBEEF3" w:themeFill="accent5" w:themeFillTint="32"/>
            <w:vAlign w:val="center"/>
          </w:tcPr>
          <w:p w14:paraId="42502F14">
            <w:pPr>
              <w:jc w:val="center"/>
            </w:pPr>
            <w:r>
              <w:rPr>
                <w:b/>
              </w:rPr>
              <w:t>Pe</w:t>
            </w:r>
          </w:p>
        </w:tc>
        <w:tc>
          <w:tcPr>
            <w:tcW w:w="1187" w:type="dxa"/>
            <w:shd w:val="clear" w:color="auto" w:fill="DBEEF3" w:themeFill="accent5" w:themeFillTint="32"/>
            <w:vAlign w:val="center"/>
          </w:tcPr>
          <w:p w14:paraId="5638E706">
            <w:pPr>
              <w:jc w:val="center"/>
            </w:pPr>
            <w:r>
              <w:rPr>
                <w:b/>
              </w:rPr>
              <w:t>κ</w:t>
            </w:r>
          </w:p>
        </w:tc>
        <w:tc>
          <w:tcPr>
            <w:tcW w:w="1988" w:type="dxa"/>
            <w:shd w:val="clear" w:color="auto" w:fill="DBEEF3" w:themeFill="accent5" w:themeFillTint="32"/>
            <w:vAlign w:val="center"/>
          </w:tcPr>
          <w:p w14:paraId="4951AC92">
            <w:pPr>
              <w:jc w:val="center"/>
            </w:pPr>
            <w:r>
              <w:rPr>
                <w:b/>
              </w:rPr>
              <w:t>Note</w:t>
            </w:r>
          </w:p>
        </w:tc>
      </w:tr>
      <w:tr w14:paraId="7C8D1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vAlign w:val="center"/>
          </w:tcPr>
          <w:p w14:paraId="2319E9CD">
            <w:pPr>
              <w:jc w:val="center"/>
            </w:pPr>
            <w:r>
              <w:t>A1</w:t>
            </w:r>
          </w:p>
        </w:tc>
        <w:tc>
          <w:tcPr>
            <w:tcW w:w="1375" w:type="dxa"/>
            <w:vAlign w:val="center"/>
          </w:tcPr>
          <w:p w14:paraId="7127F04D">
            <w:pPr>
              <w:jc w:val="center"/>
            </w:pPr>
            <w:r>
              <w:t>18</w:t>
            </w:r>
          </w:p>
        </w:tc>
        <w:tc>
          <w:tcPr>
            <w:tcW w:w="1250" w:type="dxa"/>
            <w:vAlign w:val="center"/>
          </w:tcPr>
          <w:p w14:paraId="1EF38984">
            <w:pPr>
              <w:jc w:val="center"/>
            </w:pPr>
            <w:r>
              <w:t>16</w:t>
            </w:r>
          </w:p>
        </w:tc>
        <w:tc>
          <w:tcPr>
            <w:tcW w:w="1075" w:type="dxa"/>
            <w:vAlign w:val="center"/>
          </w:tcPr>
          <w:p w14:paraId="219FFE5D">
            <w:pPr>
              <w:jc w:val="center"/>
            </w:pPr>
            <w:r>
              <w:t>88.9%</w:t>
            </w:r>
          </w:p>
        </w:tc>
        <w:tc>
          <w:tcPr>
            <w:tcW w:w="888" w:type="dxa"/>
            <w:vAlign w:val="center"/>
          </w:tcPr>
          <w:p w14:paraId="1188210F">
            <w:pPr>
              <w:jc w:val="center"/>
            </w:pPr>
            <w:r>
              <w:rPr>
                <w:rFonts w:hint="eastAsia" w:eastAsia="宋体"/>
                <w:lang w:val="en-US" w:eastAsia="zh-CN"/>
              </w:rPr>
              <w:t>71.0%</w:t>
            </w:r>
            <w:r/>
          </w:p>
        </w:tc>
        <w:tc>
          <w:tcPr>
            <w:tcW w:w="1187" w:type="dxa"/>
            <w:vAlign w:val="center"/>
          </w:tcPr>
          <w:p w14:paraId="04BD6D1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0.617</w:t>
            </w:r>
          </w:p>
        </w:tc>
        <w:tc>
          <w:tcPr>
            <w:tcW w:w="1988" w:type="dxa"/>
            <w:vAlign w:val="center"/>
          </w:tcPr>
          <w:p w14:paraId="62E2AFC5">
            <w:pPr>
              <w:jc w:val="center"/>
            </w:pPr>
            <w:r>
              <w:rPr>
                <w:rFonts w:hint="eastAsia"/>
              </w:rPr>
              <w:t>Substantial</w:t>
            </w:r>
          </w:p>
        </w:tc>
      </w:tr>
      <w:tr w14:paraId="346C3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vAlign w:val="center"/>
          </w:tcPr>
          <w:p w14:paraId="4B36BFB4">
            <w:pPr>
              <w:jc w:val="center"/>
            </w:pPr>
            <w:r>
              <w:t>A2</w:t>
            </w:r>
          </w:p>
        </w:tc>
        <w:tc>
          <w:tcPr>
            <w:tcW w:w="1375" w:type="dxa"/>
            <w:vAlign w:val="center"/>
          </w:tcPr>
          <w:p w14:paraId="1A1E6B50">
            <w:pPr>
              <w:jc w:val="center"/>
            </w:pPr>
            <w:r>
              <w:t>18</w:t>
            </w:r>
          </w:p>
        </w:tc>
        <w:tc>
          <w:tcPr>
            <w:tcW w:w="1250" w:type="dxa"/>
            <w:vAlign w:val="center"/>
          </w:tcPr>
          <w:p w14:paraId="21A67CF2">
            <w:pPr>
              <w:jc w:val="center"/>
            </w:pPr>
            <w:r>
              <w:t>15</w:t>
            </w:r>
          </w:p>
        </w:tc>
        <w:tc>
          <w:tcPr>
            <w:tcW w:w="1075" w:type="dxa"/>
            <w:vAlign w:val="center"/>
          </w:tcPr>
          <w:p w14:paraId="29F408FF">
            <w:pPr>
              <w:jc w:val="center"/>
            </w:pPr>
            <w:r>
              <w:t>83.3%</w:t>
            </w:r>
          </w:p>
        </w:tc>
        <w:tc>
          <w:tcPr>
            <w:tcW w:w="888" w:type="dxa"/>
            <w:vAlign w:val="center"/>
          </w:tcPr>
          <w:p w14:paraId="612A60E4">
            <w:pPr>
              <w:jc w:val="center"/>
            </w:pPr>
            <w:r>
              <w:t>33.6%</w:t>
            </w:r>
          </w:p>
        </w:tc>
        <w:tc>
          <w:tcPr>
            <w:tcW w:w="1187" w:type="dxa"/>
            <w:vAlign w:val="center"/>
          </w:tcPr>
          <w:p w14:paraId="5ED06611">
            <w:pPr>
              <w:jc w:val="center"/>
            </w:pPr>
            <w:r>
              <w:t>0.749</w:t>
            </w:r>
          </w:p>
        </w:tc>
        <w:tc>
          <w:tcPr>
            <w:tcW w:w="1988" w:type="dxa"/>
            <w:vAlign w:val="center"/>
          </w:tcPr>
          <w:p w14:paraId="5E69CBD6">
            <w:pPr>
              <w:jc w:val="center"/>
            </w:pPr>
            <w:r>
              <w:t>Substantial</w:t>
            </w:r>
          </w:p>
        </w:tc>
      </w:tr>
      <w:tr w14:paraId="2B3CD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vAlign w:val="center"/>
          </w:tcPr>
          <w:p w14:paraId="75E953F1">
            <w:pPr>
              <w:jc w:val="center"/>
            </w:pPr>
            <w:r>
              <w:t>A3</w:t>
            </w:r>
          </w:p>
        </w:tc>
        <w:tc>
          <w:tcPr>
            <w:tcW w:w="1375" w:type="dxa"/>
            <w:vAlign w:val="center"/>
          </w:tcPr>
          <w:p w14:paraId="6A262A1F">
            <w:pPr>
              <w:jc w:val="center"/>
            </w:pPr>
            <w:r>
              <w:t>18</w:t>
            </w:r>
          </w:p>
        </w:tc>
        <w:tc>
          <w:tcPr>
            <w:tcW w:w="1250" w:type="dxa"/>
            <w:vAlign w:val="center"/>
          </w:tcPr>
          <w:p w14:paraId="4F4928C5">
            <w:pPr>
              <w:jc w:val="center"/>
            </w:pPr>
            <w:r>
              <w:t>18</w:t>
            </w:r>
          </w:p>
        </w:tc>
        <w:tc>
          <w:tcPr>
            <w:tcW w:w="1075" w:type="dxa"/>
            <w:vAlign w:val="center"/>
          </w:tcPr>
          <w:p w14:paraId="55406483">
            <w:pPr>
              <w:jc w:val="center"/>
            </w:pPr>
            <w:r>
              <w:t>100.0%</w:t>
            </w:r>
          </w:p>
        </w:tc>
        <w:tc>
          <w:tcPr>
            <w:tcW w:w="888" w:type="dxa"/>
            <w:vAlign w:val="center"/>
          </w:tcPr>
          <w:p w14:paraId="5FF17D8B">
            <w:pPr>
              <w:jc w:val="center"/>
            </w:pPr>
            <w:r>
              <w:rPr>
                <w:rFonts w:hint="eastAsia" w:eastAsia="宋体"/>
                <w:lang w:val="en-US" w:eastAsia="zh-CN"/>
              </w:rPr>
              <w:t>100.0%</w:t>
            </w:r>
            <w:r/>
          </w:p>
        </w:tc>
        <w:tc>
          <w:tcPr>
            <w:tcW w:w="1187" w:type="dxa"/>
            <w:vAlign w:val="center"/>
          </w:tcPr>
          <w:p w14:paraId="34FE638F">
            <w:pPr>
              <w:jc w:val="center"/>
            </w:pPr>
            <w:r>
              <w:rPr>
                <w:rFonts w:hint="eastAsia"/>
              </w:rPr>
              <w:t>Not estimable</w:t>
            </w:r>
          </w:p>
        </w:tc>
        <w:tc>
          <w:tcPr>
            <w:tcW w:w="1988" w:type="dxa"/>
            <w:vAlign w:val="center"/>
          </w:tcPr>
          <w:p w14:paraId="681CA519">
            <w:pPr>
              <w:jc w:val="center"/>
            </w:pPr>
            <w:r>
              <w:rPr>
                <w:rFonts w:hint="eastAsia"/>
              </w:rPr>
              <w:t>No category variation</w:t>
            </w:r>
          </w:p>
        </w:tc>
      </w:tr>
      <w:tr w14:paraId="3C8B3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7" w:hRule="atLeast"/>
        </w:trPr>
        <w:tc>
          <w:tcPr>
            <w:tcW w:w="1150" w:type="dxa"/>
            <w:vAlign w:val="center"/>
          </w:tcPr>
          <w:p w14:paraId="252DA860">
            <w:pPr>
              <w:jc w:val="center"/>
            </w:pPr>
            <w:r>
              <w:t>A4</w:t>
            </w:r>
          </w:p>
        </w:tc>
        <w:tc>
          <w:tcPr>
            <w:tcW w:w="1375" w:type="dxa"/>
            <w:vAlign w:val="center"/>
          </w:tcPr>
          <w:p w14:paraId="62940AF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  <w:tc>
          <w:tcPr>
            <w:tcW w:w="1250" w:type="dxa"/>
            <w:vAlign w:val="center"/>
          </w:tcPr>
          <w:p w14:paraId="79D15138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  <w:tc>
          <w:tcPr>
            <w:tcW w:w="1075" w:type="dxa"/>
            <w:vAlign w:val="center"/>
          </w:tcPr>
          <w:p w14:paraId="3148FA77">
            <w:pPr>
              <w:jc w:val="center"/>
            </w:pPr>
            <w:r>
              <w:t>100.0%</w:t>
            </w:r>
          </w:p>
        </w:tc>
        <w:tc>
          <w:tcPr>
            <w:tcW w:w="888" w:type="dxa"/>
            <w:vAlign w:val="center"/>
          </w:tcPr>
          <w:p w14:paraId="6E93124F">
            <w:pPr>
              <w:jc w:val="center"/>
            </w:pPr>
            <w:r>
              <w:t>100.0%</w:t>
            </w:r>
          </w:p>
        </w:tc>
        <w:tc>
          <w:tcPr>
            <w:tcW w:w="1187" w:type="dxa"/>
            <w:vAlign w:val="center"/>
          </w:tcPr>
          <w:p w14:paraId="391D8EA3">
            <w:pPr>
              <w:jc w:val="center"/>
              <w:rPr>
                <w:rFonts w:hint="eastAsia" w:eastAsia="宋体"/>
                <w:lang w:eastAsia="zh-CN"/>
              </w:rPr>
            </w:pPr>
            <w:r>
              <w:t>Not estimable</w:t>
            </w:r>
            <w:r>
              <w:rPr>
                <w:rFonts w:hint="eastAsia" w:eastAsia="宋体"/>
                <w:lang w:eastAsia="zh-CN"/>
              </w:rPr>
            </w:r>
          </w:p>
        </w:tc>
        <w:tc>
          <w:tcPr>
            <w:tcW w:w="1988" w:type="dxa"/>
            <w:vAlign w:val="center"/>
          </w:tcPr>
          <w:p w14:paraId="4B333B89">
            <w:pPr>
              <w:jc w:val="center"/>
            </w:pPr>
            <w:r>
              <w:t>No category variation</w:t>
            </w:r>
          </w:p>
        </w:tc>
      </w:tr>
      <w:tr w14:paraId="7BFC7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vAlign w:val="center"/>
          </w:tcPr>
          <w:p w14:paraId="6E3AECA4">
            <w:pPr>
              <w:jc w:val="center"/>
            </w:pPr>
            <w:r>
              <w:t>B1</w:t>
            </w:r>
          </w:p>
        </w:tc>
        <w:tc>
          <w:tcPr>
            <w:tcW w:w="1375" w:type="dxa"/>
            <w:vAlign w:val="center"/>
          </w:tcPr>
          <w:p w14:paraId="706F3418">
            <w:pPr>
              <w:jc w:val="center"/>
            </w:pPr>
            <w:r>
              <w:t>18</w:t>
            </w:r>
          </w:p>
        </w:tc>
        <w:tc>
          <w:tcPr>
            <w:tcW w:w="1250" w:type="dxa"/>
            <w:vAlign w:val="center"/>
          </w:tcPr>
          <w:p w14:paraId="63812BCE">
            <w:pPr>
              <w:jc w:val="center"/>
            </w:pPr>
            <w:r>
              <w:t>18</w:t>
            </w:r>
          </w:p>
        </w:tc>
        <w:tc>
          <w:tcPr>
            <w:tcW w:w="1075" w:type="dxa"/>
            <w:vAlign w:val="center"/>
          </w:tcPr>
          <w:p w14:paraId="7E5C81ED">
            <w:pPr>
              <w:jc w:val="center"/>
            </w:pPr>
            <w:r>
              <w:t>100.0%</w:t>
            </w:r>
          </w:p>
        </w:tc>
        <w:tc>
          <w:tcPr>
            <w:tcW w:w="888" w:type="dxa"/>
            <w:vAlign w:val="center"/>
          </w:tcPr>
          <w:p w14:paraId="5128BE2D">
            <w:pPr>
              <w:jc w:val="center"/>
            </w:pPr>
            <w:r>
              <w:t>80.2%</w:t>
            </w:r>
            <w:r>
              <w:rPr>
                <w:rFonts w:hint="eastAsia" w:eastAsia="宋体"/>
                <w:lang w:val="en-US" w:eastAsia="zh-CN"/>
              </w:rPr>
            </w:r>
            <w:r/>
            <w:r>
              <w:rPr>
                <w:rFonts w:hint="eastAsia" w:eastAsia="宋体"/>
                <w:lang w:val="en-US" w:eastAsia="zh-CN"/>
              </w:rPr>
            </w:r>
            <w:r/>
          </w:p>
        </w:tc>
        <w:tc>
          <w:tcPr>
            <w:tcW w:w="1187" w:type="dxa"/>
            <w:vAlign w:val="center"/>
          </w:tcPr>
          <w:p w14:paraId="31DD65F7">
            <w:pPr>
              <w:jc w:val="center"/>
            </w:pPr>
            <w:r>
              <w:t>1.000</w:t>
            </w:r>
          </w:p>
        </w:tc>
        <w:tc>
          <w:tcPr>
            <w:tcW w:w="1988" w:type="dxa"/>
            <w:vAlign w:val="center"/>
          </w:tcPr>
          <w:p w14:paraId="74EFBF2F">
            <w:pPr>
              <w:jc w:val="center"/>
            </w:pPr>
            <w:r>
              <w:t>Perfect</w:t>
            </w:r>
          </w:p>
        </w:tc>
      </w:tr>
      <w:tr w14:paraId="6DFF8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vAlign w:val="center"/>
          </w:tcPr>
          <w:p w14:paraId="5B515D8F">
            <w:pPr>
              <w:jc w:val="center"/>
            </w:pPr>
            <w:r>
              <w:t>B2</w:t>
            </w:r>
          </w:p>
        </w:tc>
        <w:tc>
          <w:tcPr>
            <w:tcW w:w="1375" w:type="dxa"/>
            <w:vAlign w:val="center"/>
          </w:tcPr>
          <w:p w14:paraId="247FEA44">
            <w:pPr>
              <w:jc w:val="center"/>
            </w:pPr>
            <w:r>
              <w:t>18</w:t>
            </w:r>
          </w:p>
        </w:tc>
        <w:tc>
          <w:tcPr>
            <w:tcW w:w="1250" w:type="dxa"/>
            <w:vAlign w:val="center"/>
          </w:tcPr>
          <w:p w14:paraId="336BC97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  <w:tc>
          <w:tcPr>
            <w:tcW w:w="1075" w:type="dxa"/>
            <w:vAlign w:val="center"/>
          </w:tcPr>
          <w:p w14:paraId="42F305DF">
            <w:pPr>
              <w:jc w:val="center"/>
            </w:pPr>
            <w:r>
              <w:t>55.6%</w:t>
            </w:r>
            <w:r>
              <w:rPr>
                <w:rFonts w:hint="eastAsia" w:eastAsia="宋体"/>
                <w:lang w:val="en-US" w:eastAsia="zh-CN"/>
              </w:rPr>
            </w:r>
            <w:r/>
            <w:r>
              <w:rPr>
                <w:rFonts w:hint="eastAsia" w:eastAsia="宋体"/>
                <w:lang w:val="en-US" w:eastAsia="zh-CN"/>
              </w:rPr>
            </w:r>
            <w:r/>
          </w:p>
        </w:tc>
        <w:tc>
          <w:tcPr>
            <w:tcW w:w="888" w:type="dxa"/>
            <w:vAlign w:val="center"/>
          </w:tcPr>
          <w:p w14:paraId="4FC763B4">
            <w:pPr>
              <w:jc w:val="center"/>
            </w:pPr>
            <w:r>
              <w:t>38.9%</w:t>
            </w:r>
            <w:r>
              <w:rPr>
                <w:rFonts w:hint="eastAsia" w:eastAsia="宋体"/>
                <w:lang w:val="en-US" w:eastAsia="zh-CN"/>
              </w:rPr>
            </w:r>
            <w:r/>
          </w:p>
        </w:tc>
        <w:tc>
          <w:tcPr>
            <w:tcW w:w="1187" w:type="dxa"/>
            <w:vAlign w:val="center"/>
          </w:tcPr>
          <w:p w14:paraId="045790B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0.273</w:t>
            </w:r>
            <w:r>
              <w:rPr>
                <w:rFonts w:hint="eastAsia" w:eastAsia="宋体"/>
                <w:lang w:val="en-US" w:eastAsia="zh-CN"/>
              </w:rPr>
            </w:r>
          </w:p>
        </w:tc>
        <w:tc>
          <w:tcPr>
            <w:tcW w:w="1988" w:type="dxa"/>
            <w:vAlign w:val="center"/>
          </w:tcPr>
          <w:p w14:paraId="72C99184">
            <w:pPr>
              <w:jc w:val="center"/>
            </w:pPr>
            <w:r>
              <w:rPr>
                <w:rFonts w:hint="eastAsia"/>
              </w:rPr>
              <w:t>Fair</w:t>
            </w:r>
          </w:p>
        </w:tc>
      </w:tr>
      <w:tr w14:paraId="0E088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vAlign w:val="center"/>
          </w:tcPr>
          <w:p w14:paraId="227217E6">
            <w:pPr>
              <w:jc w:val="center"/>
            </w:pPr>
            <w:r>
              <w:t>C1</w:t>
            </w:r>
          </w:p>
        </w:tc>
        <w:tc>
          <w:tcPr>
            <w:tcW w:w="1375" w:type="dxa"/>
            <w:vAlign w:val="center"/>
          </w:tcPr>
          <w:p w14:paraId="009B6F8E">
            <w:pPr>
              <w:jc w:val="center"/>
            </w:pPr>
            <w:r>
              <w:t>18</w:t>
            </w:r>
          </w:p>
        </w:tc>
        <w:tc>
          <w:tcPr>
            <w:tcW w:w="1250" w:type="dxa"/>
            <w:vAlign w:val="center"/>
          </w:tcPr>
          <w:p w14:paraId="42F9347D">
            <w:pPr>
              <w:jc w:val="center"/>
            </w:pPr>
            <w:r>
              <w:t>16</w:t>
            </w:r>
          </w:p>
        </w:tc>
        <w:tc>
          <w:tcPr>
            <w:tcW w:w="1075" w:type="dxa"/>
            <w:vAlign w:val="center"/>
          </w:tcPr>
          <w:p w14:paraId="4990E0FA">
            <w:pPr>
              <w:jc w:val="center"/>
            </w:pPr>
            <w:r>
              <w:t>88.9%</w:t>
            </w:r>
          </w:p>
        </w:tc>
        <w:tc>
          <w:tcPr>
            <w:tcW w:w="888" w:type="dxa"/>
            <w:vAlign w:val="center"/>
          </w:tcPr>
          <w:p w14:paraId="73DDC1B8">
            <w:pPr>
              <w:jc w:val="center"/>
            </w:pPr>
            <w:r>
              <w:t>53.4%</w:t>
            </w:r>
          </w:p>
        </w:tc>
        <w:tc>
          <w:tcPr>
            <w:tcW w:w="1187" w:type="dxa"/>
            <w:vAlign w:val="center"/>
          </w:tcPr>
          <w:p w14:paraId="1D9F9136">
            <w:pPr>
              <w:jc w:val="center"/>
            </w:pPr>
            <w:r>
              <w:t>0.762</w:t>
            </w:r>
          </w:p>
        </w:tc>
        <w:tc>
          <w:tcPr>
            <w:tcW w:w="1988" w:type="dxa"/>
            <w:vAlign w:val="center"/>
          </w:tcPr>
          <w:p w14:paraId="4DB0CE56">
            <w:pPr>
              <w:jc w:val="center"/>
            </w:pPr>
            <w:r>
              <w:t>Substantial</w:t>
            </w:r>
          </w:p>
        </w:tc>
      </w:tr>
      <w:tr w14:paraId="2A4B2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vAlign w:val="center"/>
          </w:tcPr>
          <w:p w14:paraId="6D3C72F6">
            <w:pPr>
              <w:jc w:val="center"/>
            </w:pPr>
            <w:r>
              <w:t>C2</w:t>
            </w:r>
          </w:p>
        </w:tc>
        <w:tc>
          <w:tcPr>
            <w:tcW w:w="1375" w:type="dxa"/>
            <w:vAlign w:val="center"/>
          </w:tcPr>
          <w:p w14:paraId="5BE40840">
            <w:pPr>
              <w:jc w:val="center"/>
            </w:pPr>
            <w:r>
              <w:t>18</w:t>
            </w:r>
          </w:p>
        </w:tc>
        <w:tc>
          <w:tcPr>
            <w:tcW w:w="1250" w:type="dxa"/>
            <w:vAlign w:val="center"/>
          </w:tcPr>
          <w:p w14:paraId="072EA648">
            <w:pPr>
              <w:jc w:val="center"/>
            </w:pPr>
            <w:r>
              <w:t>14</w:t>
            </w:r>
          </w:p>
        </w:tc>
        <w:tc>
          <w:tcPr>
            <w:tcW w:w="1075" w:type="dxa"/>
            <w:vAlign w:val="center"/>
          </w:tcPr>
          <w:p w14:paraId="7A266483">
            <w:pPr>
              <w:jc w:val="center"/>
            </w:pPr>
            <w:r>
              <w:t>77.8%</w:t>
            </w:r>
          </w:p>
        </w:tc>
        <w:tc>
          <w:tcPr>
            <w:tcW w:w="888" w:type="dxa"/>
            <w:vAlign w:val="center"/>
          </w:tcPr>
          <w:p w14:paraId="72A5159C">
            <w:pPr>
              <w:jc w:val="center"/>
            </w:pPr>
            <w:r>
              <w:t>36.7%</w:t>
            </w:r>
          </w:p>
        </w:tc>
        <w:tc>
          <w:tcPr>
            <w:tcW w:w="1187" w:type="dxa"/>
            <w:vAlign w:val="center"/>
          </w:tcPr>
          <w:p w14:paraId="49BBE85F">
            <w:pPr>
              <w:jc w:val="center"/>
            </w:pPr>
            <w:r>
              <w:t>0.649</w:t>
            </w:r>
          </w:p>
        </w:tc>
        <w:tc>
          <w:tcPr>
            <w:tcW w:w="1988" w:type="dxa"/>
            <w:vAlign w:val="center"/>
          </w:tcPr>
          <w:p w14:paraId="1375F652">
            <w:pPr>
              <w:jc w:val="center"/>
            </w:pPr>
            <w:r>
              <w:t>Substantial</w:t>
            </w:r>
          </w:p>
        </w:tc>
      </w:tr>
      <w:tr w14:paraId="083B2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vAlign w:val="center"/>
          </w:tcPr>
          <w:p w14:paraId="2C24E30E">
            <w:pPr>
              <w:jc w:val="center"/>
            </w:pPr>
            <w:r>
              <w:t>D1</w:t>
            </w:r>
          </w:p>
        </w:tc>
        <w:tc>
          <w:tcPr>
            <w:tcW w:w="1375" w:type="dxa"/>
            <w:vAlign w:val="center"/>
          </w:tcPr>
          <w:p w14:paraId="297A428F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  <w:tc>
          <w:tcPr>
            <w:tcW w:w="1250" w:type="dxa"/>
            <w:vAlign w:val="center"/>
          </w:tcPr>
          <w:p w14:paraId="31E69F6D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tcPr>
            <w:tcW w:w="1075" w:type="dxa"/>
            <w:vAlign w:val="center"/>
          </w:tcPr>
          <w:p w14:paraId="51236EE1">
            <w:pPr>
              <w:jc w:val="center"/>
            </w:pPr>
            <w:r>
              <w:rPr>
                <w:rFonts w:hint="eastAsia" w:eastAsia="宋体"/>
                <w:lang w:val="en-US" w:eastAsia="zh-CN"/>
              </w:rPr>
              <w:t>75.0%</w:t>
            </w:r>
            <w:r/>
          </w:p>
        </w:tc>
        <w:tc>
          <w:tcPr>
            <w:tcW w:w="888" w:type="dxa"/>
            <w:vAlign w:val="center"/>
          </w:tcPr>
          <w:p w14:paraId="172B72EB">
            <w:pPr>
              <w:jc w:val="center"/>
            </w:pPr>
            <w:r>
              <w:rPr>
                <w:rFonts w:hint="eastAsia" w:eastAsia="宋体"/>
                <w:lang w:val="en-US" w:eastAsia="zh-CN"/>
              </w:rPr>
              <w:t>75.0%</w:t>
            </w:r>
            <w:r/>
          </w:p>
        </w:tc>
        <w:tc>
          <w:tcPr>
            <w:tcW w:w="1187" w:type="dxa"/>
            <w:vAlign w:val="center"/>
          </w:tcPr>
          <w:p w14:paraId="67FAA7D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0.000</w:t>
            </w:r>
          </w:p>
        </w:tc>
        <w:tc>
          <w:tcPr>
            <w:tcW w:w="1988" w:type="dxa"/>
            <w:vAlign w:val="center"/>
          </w:tcPr>
          <w:p w14:paraId="69D80CEE">
            <w:pPr>
              <w:jc w:val="center"/>
            </w:pPr>
            <w:r>
              <w:t>κ = 0 from marginal imbalance (small n)</w:t>
            </w:r>
          </w:p>
        </w:tc>
      </w:tr>
      <w:tr w14:paraId="75FB8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vAlign w:val="center"/>
          </w:tcPr>
          <w:p w14:paraId="15514C69">
            <w:pPr>
              <w:jc w:val="center"/>
            </w:pPr>
            <w:r>
              <w:t>D2</w:t>
            </w:r>
          </w:p>
        </w:tc>
        <w:tc>
          <w:tcPr>
            <w:tcW w:w="1375" w:type="dxa"/>
            <w:vAlign w:val="center"/>
          </w:tcPr>
          <w:p w14:paraId="44015239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  <w:tc>
          <w:tcPr>
            <w:tcW w:w="1250" w:type="dxa"/>
            <w:vAlign w:val="center"/>
          </w:tcPr>
          <w:p w14:paraId="1974F3D9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  <w:tc>
          <w:tcPr>
            <w:tcW w:w="1075" w:type="dxa"/>
            <w:vAlign w:val="center"/>
          </w:tcPr>
          <w:p w14:paraId="51A2E45A">
            <w:pPr>
              <w:jc w:val="center"/>
            </w:pPr>
            <w:r>
              <w:rPr>
                <w:rFonts w:hint="eastAsia" w:eastAsia="宋体"/>
                <w:lang w:val="en-US" w:eastAsia="zh-CN"/>
              </w:rPr>
              <w:t>90.0%</w:t>
            </w:r>
            <w:r/>
          </w:p>
        </w:tc>
        <w:tc>
          <w:tcPr>
            <w:tcW w:w="888" w:type="dxa"/>
            <w:vAlign w:val="center"/>
          </w:tcPr>
          <w:p w14:paraId="616C0307">
            <w:pPr>
              <w:jc w:val="center"/>
            </w:pPr>
            <w:r>
              <w:rPr>
                <w:rFonts w:hint="eastAsia" w:eastAsia="宋体"/>
                <w:lang w:val="en-US" w:eastAsia="zh-CN"/>
              </w:rPr>
              <w:t>62.0%</w:t>
            </w:r>
            <w:r/>
          </w:p>
        </w:tc>
        <w:tc>
          <w:tcPr>
            <w:tcW w:w="1187" w:type="dxa"/>
            <w:vAlign w:val="center"/>
          </w:tcPr>
          <w:p w14:paraId="1CB12B3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0.737</w:t>
            </w:r>
            <w:r>
              <w:rPr>
                <w:rFonts w:hint="eastAsia" w:eastAsia="宋体"/>
                <w:lang w:val="en-US" w:eastAsia="zh-CN"/>
              </w:rPr>
            </w:r>
          </w:p>
        </w:tc>
        <w:tc>
          <w:tcPr>
            <w:tcW w:w="1988" w:type="dxa"/>
            <w:vAlign w:val="center"/>
          </w:tcPr>
          <w:p w14:paraId="0DC1090B">
            <w:pPr>
              <w:jc w:val="center"/>
            </w:pPr>
            <w:r>
              <w:t>Substantial (small n)</w:t>
            </w:r>
          </w:p>
        </w:tc>
      </w:tr>
      <w:tr w14:paraId="7B70C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vAlign w:val="center"/>
          </w:tcPr>
          <w:p w14:paraId="50DB9C8B">
            <w:pPr>
              <w:jc w:val="center"/>
            </w:pPr>
            <w:r>
              <w:t>D3</w:t>
            </w:r>
          </w:p>
        </w:tc>
        <w:tc>
          <w:tcPr>
            <w:tcW w:w="1375" w:type="dxa"/>
            <w:vAlign w:val="center"/>
          </w:tcPr>
          <w:p w14:paraId="7C831178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  <w:tc>
          <w:tcPr>
            <w:tcW w:w="1250" w:type="dxa"/>
            <w:vAlign w:val="center"/>
          </w:tcPr>
          <w:p w14:paraId="79D95AB1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  <w:tc>
          <w:tcPr>
            <w:tcW w:w="1075" w:type="dxa"/>
            <w:vAlign w:val="center"/>
          </w:tcPr>
          <w:p w14:paraId="2B4C7B17">
            <w:pPr>
              <w:jc w:val="center"/>
            </w:pPr>
            <w:r>
              <w:rPr>
                <w:rFonts w:hint="eastAsia" w:eastAsia="宋体"/>
                <w:lang w:val="en-US" w:eastAsia="zh-CN"/>
              </w:rPr>
              <w:t>70.0%</w:t>
            </w:r>
            <w:r/>
          </w:p>
        </w:tc>
        <w:tc>
          <w:tcPr>
            <w:tcW w:w="888" w:type="dxa"/>
            <w:vAlign w:val="center"/>
          </w:tcPr>
          <w:p w14:paraId="70DF1262">
            <w:pPr>
              <w:jc w:val="center"/>
            </w:pPr>
            <w:r>
              <w:rPr>
                <w:rFonts w:hint="eastAsia" w:eastAsia="宋体"/>
                <w:lang w:val="en-US" w:eastAsia="zh-CN"/>
              </w:rPr>
              <w:t>62.0%</w:t>
            </w:r>
            <w:r/>
          </w:p>
        </w:tc>
        <w:tc>
          <w:tcPr>
            <w:tcW w:w="1187" w:type="dxa"/>
            <w:vAlign w:val="center"/>
          </w:tcPr>
          <w:p w14:paraId="1586DD2F">
            <w:pPr>
              <w:jc w:val="center"/>
            </w:pPr>
            <w:r>
              <w:t>0.211</w:t>
            </w:r>
            <w:r>
              <w:rPr>
                <w:rFonts w:hint="eastAsia" w:eastAsia="宋体"/>
                <w:lang w:val="en-US" w:eastAsia="zh-CN"/>
              </w:rPr>
            </w:r>
            <w:r/>
          </w:p>
        </w:tc>
        <w:tc>
          <w:tcPr>
            <w:tcW w:w="1988" w:type="dxa"/>
            <w:vAlign w:val="center"/>
          </w:tcPr>
          <w:p w14:paraId="38CFD517">
            <w:pPr>
              <w:jc w:val="center"/>
            </w:pPr>
            <w:r>
              <w:rPr>
                <w:rFonts w:hint="eastAsia"/>
              </w:rPr>
              <w:t>Fair/low (small n)</w:t>
            </w:r>
          </w:p>
        </w:tc>
      </w:tr>
      <w:tr w14:paraId="0C076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vAlign w:val="center"/>
          </w:tcPr>
          <w:p w14:paraId="41B82484">
            <w:pPr>
              <w:jc w:val="center"/>
            </w:pPr>
            <w:r>
              <w:t>E1</w:t>
            </w:r>
          </w:p>
        </w:tc>
        <w:tc>
          <w:tcPr>
            <w:tcW w:w="1375" w:type="dxa"/>
            <w:vAlign w:val="center"/>
          </w:tcPr>
          <w:p w14:paraId="3B561F72">
            <w:pPr>
              <w:jc w:val="center"/>
            </w:pPr>
            <w:r>
              <w:t>18</w:t>
            </w:r>
          </w:p>
        </w:tc>
        <w:tc>
          <w:tcPr>
            <w:tcW w:w="1250" w:type="dxa"/>
            <w:vAlign w:val="center"/>
          </w:tcPr>
          <w:p w14:paraId="7E782522">
            <w:pPr>
              <w:jc w:val="center"/>
            </w:pPr>
            <w:r>
              <w:t>17</w:t>
            </w:r>
          </w:p>
        </w:tc>
        <w:tc>
          <w:tcPr>
            <w:tcW w:w="1075" w:type="dxa"/>
            <w:vAlign w:val="center"/>
          </w:tcPr>
          <w:p w14:paraId="26B34184">
            <w:pPr>
              <w:jc w:val="center"/>
            </w:pPr>
            <w:r>
              <w:t>94.4%</w:t>
            </w:r>
          </w:p>
        </w:tc>
        <w:tc>
          <w:tcPr>
            <w:tcW w:w="888" w:type="dxa"/>
            <w:vAlign w:val="center"/>
          </w:tcPr>
          <w:p w14:paraId="0C0F881E">
            <w:pPr>
              <w:jc w:val="center"/>
            </w:pPr>
            <w:r>
              <w:t>79.6%</w:t>
            </w:r>
          </w:p>
        </w:tc>
        <w:tc>
          <w:tcPr>
            <w:tcW w:w="1187" w:type="dxa"/>
            <w:vAlign w:val="center"/>
          </w:tcPr>
          <w:p w14:paraId="6318D358">
            <w:pPr>
              <w:jc w:val="center"/>
            </w:pPr>
            <w:r>
              <w:t>0.727</w:t>
            </w:r>
          </w:p>
        </w:tc>
        <w:tc>
          <w:tcPr>
            <w:tcW w:w="1988" w:type="dxa"/>
            <w:vAlign w:val="center"/>
          </w:tcPr>
          <w:p w14:paraId="5388328E">
            <w:pPr>
              <w:jc w:val="center"/>
            </w:pPr>
            <w:r>
              <w:t>Substantial</w:t>
            </w:r>
          </w:p>
        </w:tc>
      </w:tr>
      <w:tr w14:paraId="6B9CD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vAlign w:val="center"/>
          </w:tcPr>
          <w:p w14:paraId="6ECBF9B7">
            <w:pPr>
              <w:jc w:val="center"/>
            </w:pPr>
            <w:r>
              <w:t>E2</w:t>
            </w:r>
          </w:p>
        </w:tc>
        <w:tc>
          <w:tcPr>
            <w:tcW w:w="1375" w:type="dxa"/>
            <w:vAlign w:val="center"/>
          </w:tcPr>
          <w:p w14:paraId="077FD476">
            <w:pPr>
              <w:jc w:val="center"/>
            </w:pPr>
            <w:r>
              <w:t>18</w:t>
            </w:r>
          </w:p>
        </w:tc>
        <w:tc>
          <w:tcPr>
            <w:tcW w:w="1250" w:type="dxa"/>
            <w:vAlign w:val="center"/>
          </w:tcPr>
          <w:p w14:paraId="2B9DE583">
            <w:pPr>
              <w:jc w:val="center"/>
            </w:pPr>
            <w:r>
              <w:t>17</w:t>
            </w:r>
          </w:p>
        </w:tc>
        <w:tc>
          <w:tcPr>
            <w:tcW w:w="1075" w:type="dxa"/>
            <w:vAlign w:val="center"/>
          </w:tcPr>
          <w:p w14:paraId="2F30EC56">
            <w:pPr>
              <w:jc w:val="center"/>
            </w:pPr>
            <w:r>
              <w:t>94.4%</w:t>
            </w:r>
          </w:p>
        </w:tc>
        <w:tc>
          <w:tcPr>
            <w:tcW w:w="888" w:type="dxa"/>
            <w:vAlign w:val="center"/>
          </w:tcPr>
          <w:p w14:paraId="2D2FEB09">
            <w:pPr>
              <w:jc w:val="center"/>
            </w:pPr>
            <w:r>
              <w:t>67.0%</w:t>
            </w:r>
          </w:p>
        </w:tc>
        <w:tc>
          <w:tcPr>
            <w:tcW w:w="1187" w:type="dxa"/>
            <w:vAlign w:val="center"/>
          </w:tcPr>
          <w:p w14:paraId="79764703">
            <w:pPr>
              <w:jc w:val="center"/>
            </w:pPr>
            <w:r>
              <w:t>0.832</w:t>
            </w:r>
          </w:p>
        </w:tc>
        <w:tc>
          <w:tcPr>
            <w:tcW w:w="1988" w:type="dxa"/>
            <w:vAlign w:val="center"/>
          </w:tcPr>
          <w:p w14:paraId="58122670">
            <w:pPr>
              <w:jc w:val="center"/>
            </w:pPr>
            <w:r>
              <w:t>Almost perfect</w:t>
            </w:r>
          </w:p>
        </w:tc>
      </w:tr>
      <w:tr w14:paraId="3EEEC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vAlign w:val="center"/>
          </w:tcPr>
          <w:p w14:paraId="344AAB89">
            <w:pPr>
              <w:jc w:val="center"/>
            </w:pPr>
            <w:r>
              <w:t>E3</w:t>
            </w:r>
          </w:p>
        </w:tc>
        <w:tc>
          <w:tcPr>
            <w:tcW w:w="1375" w:type="dxa"/>
            <w:vAlign w:val="center"/>
          </w:tcPr>
          <w:p w14:paraId="397EE5C3">
            <w:pPr>
              <w:jc w:val="center"/>
            </w:pPr>
            <w:r>
              <w:t>18</w:t>
            </w:r>
          </w:p>
        </w:tc>
        <w:tc>
          <w:tcPr>
            <w:tcW w:w="1250" w:type="dxa"/>
            <w:vAlign w:val="center"/>
          </w:tcPr>
          <w:p w14:paraId="663D217F">
            <w:pPr>
              <w:jc w:val="center"/>
            </w:pPr>
            <w:r>
              <w:t>18</w:t>
            </w:r>
          </w:p>
        </w:tc>
        <w:tc>
          <w:tcPr>
            <w:tcW w:w="1075" w:type="dxa"/>
            <w:vAlign w:val="center"/>
          </w:tcPr>
          <w:p w14:paraId="3D220A98">
            <w:pPr>
              <w:jc w:val="center"/>
            </w:pPr>
            <w:r>
              <w:t>100.0%</w:t>
            </w:r>
          </w:p>
        </w:tc>
        <w:tc>
          <w:tcPr>
            <w:tcW w:w="888" w:type="dxa"/>
            <w:vAlign w:val="center"/>
          </w:tcPr>
          <w:p w14:paraId="3C728822">
            <w:pPr>
              <w:jc w:val="center"/>
            </w:pPr>
            <w:r>
              <w:rPr>
                <w:rFonts w:hint="eastAsia" w:eastAsia="宋体"/>
                <w:lang w:val="en-US" w:eastAsia="zh-CN"/>
              </w:rPr>
              <w:t>89.5%</w:t>
            </w:r>
            <w:r/>
          </w:p>
        </w:tc>
        <w:tc>
          <w:tcPr>
            <w:tcW w:w="1187" w:type="dxa"/>
            <w:vAlign w:val="center"/>
          </w:tcPr>
          <w:p w14:paraId="592F9AE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1.000</w:t>
            </w:r>
          </w:p>
        </w:tc>
        <w:tc>
          <w:tcPr>
            <w:tcW w:w="1988" w:type="dxa"/>
            <w:vAlign w:val="center"/>
          </w:tcPr>
          <w:p w14:paraId="68B1E250">
            <w:pPr>
              <w:jc w:val="center"/>
            </w:pPr>
            <w:r>
              <w:rPr>
                <w:rFonts w:hint="eastAsia"/>
              </w:rPr>
              <w:t>Perfect</w:t>
            </w:r>
          </w:p>
        </w:tc>
      </w:tr>
    </w:tbl>
    <w:p w14:paraId="59EE0F2B">
      <w:pPr>
        <w:spacing w:after="20"/>
      </w:pPr>
    </w:p>
    <w:p w14:paraId="4D877954">
      <w:pPr>
        <w:pStyle w:val="3"/>
      </w:pPr>
      <w:r>
        <w:t>Interpretation of Distribution Related Results</w:t>
      </w:r>
    </w:p>
    <w:p w14:paraId="074EDE89">
      <w:pPr>
        <w:spacing w:after="100" w:line="276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Two indicator-level results require specific interpretation. For A3, κ was not estimable because both coders assigned ✓ to all 18 cases. For A4, κ was likewise not estimable: the nine cells with paired Applicable-state ratings were all coded ✓ by both coders. AG3-A4 and AG3-D1 remain excluded because no paired historical Applicable-state ✓/○/× ratings exist; no post hoc rating was imputed.</w:t>
      </w:r>
    </w:p>
    <w:p w14:paraId="45EFC1B9">
      <w:pPr>
        <w:spacing w:after="100" w:line="276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D1, κ was 0.000 despite observed agreement of 75.0% (3/4), reflecting marginal imbalance in a very small denominator. For D2, κ was 0.737 with observed agreement of 90.0% (9/10). For D3, κ was 0.211 with observed agreement of 70.0% (7/10): Coder 1 assigned ✓ to eight and ○ to two cases, while Coder 2 assigned ✓ to seven and ○ to three. These values should be interpreted together with observed agreement and the small applicable denominators.</w:t>
      </w:r>
    </w:p>
    <w:p w14:paraId="6752E634">
      <w:pPr>
        <w:spacing w:after="100" w:line="276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Overall, applicability determination showed almost-perfect agreement (κ = 0.821; 64/72; 88.9%). The coding analysis showed substantial overall agreement (κ = 0.745; 187/213; 87.8%), with dimension-level κ values ranging from 0.570 to 0.829. Indicator-level κ ranged from 0.000 to 1.000 where estimable. The two-level report keeps distribution-related limitations and the source-correction recoding transparent.</w:t>
      </w:r>
      <w:r>
        <w:rPr>
          <w:rFonts w:hint="eastAsia" w:eastAsia="宋体"/>
          <w:sz w:val="21"/>
          <w:lang w:val="en-US" w:eastAsia="zh-CN"/>
        </w:rPr>
      </w:r>
      <w:r>
        <w:rPr>
          <w:rFonts w:hint="eastAsia" w:ascii="Times New Roman" w:hAnsi="Times New Roman"/>
          <w:sz w:val="21"/>
        </w:rPr>
      </w:r>
      <w:r>
        <w:rPr>
          <w:rFonts w:hint="eastAsia" w:eastAsia="宋体"/>
          <w:sz w:val="21"/>
          <w:lang w:val="en-US" w:eastAsia="zh-CN"/>
        </w:rPr>
      </w:r>
      <w:r>
        <w:rPr>
          <w:rFonts w:hint="eastAsia" w:ascii="Times New Roman" w:hAnsi="Times New Roman"/>
          <w:sz w:val="21"/>
        </w:rPr>
      </w:r>
      <w:r>
        <w:rPr>
          <w:rFonts w:hint="eastAsia" w:eastAsia="宋体"/>
          <w:sz w:val="21"/>
          <w:lang w:val="en-US" w:eastAsia="zh-CN"/>
        </w:rPr>
      </w:r>
      <w:r>
        <w:rPr>
          <w:rFonts w:hint="eastAsia" w:ascii="Times New Roman" w:hAnsi="Times New Roman"/>
          <w:sz w:val="21"/>
        </w:rPr>
      </w:r>
      <w:r>
        <w:rPr>
          <w:rFonts w:hint="eastAsia" w:eastAsia="宋体"/>
          <w:sz w:val="21"/>
          <w:lang w:val="en-US" w:eastAsia="zh-CN"/>
        </w:rPr>
      </w:r>
      <w:r>
        <w:rPr>
          <w:rFonts w:hint="eastAsia" w:ascii="Times New Roman" w:hAnsi="Times New Roman"/>
          <w:sz w:val="21"/>
        </w:rPr>
      </w:r>
    </w:p>
    <w:p w14:paraId="018D369C">
      <w:pPr>
        <w:spacing w:after="100" w:line="276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Following a clarification of the coding rule for A1 (what counts as a 'complete' itemisation of the categories of data collected), both coders independently re-coded A1 from the archived documents before consensus. The A1 pre-consensus classifications and reliability estimate reported here are from this fresh independent coding round; no earlier pre-consensus code was carried forward or retrospectively altered to match the consensus decision.</w:t>
      </w:r>
    </w:p>
    <w:p w14:paraId="26BFFC2E">
      <w:pPr>
        <w:spacing w:after="100" w:line="276" w:lineRule="auto"/>
        <w:rPr>
          <w:rFonts w:hint="eastAsia" w:ascii="Times New Roman" w:hAnsi="Times New Roman"/>
          <w:sz w:val="21"/>
        </w:rPr>
      </w:pPr>
    </w:p>
    <w:sectPr>
      <w:pgSz w:w="12240" w:h="15840"/>
      <w:pgMar w:top="1008" w:right="1080" w:bottom="1008" w:left="1080" w:header="720" w:footer="720" w:gutter="0"/>
      <w:lnNumType w:countBy="1" w:restart="continuous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491B94"/>
    <w:rsid w:val="152A3472"/>
    <w:rsid w:val="190960A2"/>
    <w:rsid w:val="192F7B85"/>
    <w:rsid w:val="345C2C36"/>
    <w:rsid w:val="34E614B1"/>
    <w:rsid w:val="3A031C2C"/>
    <w:rsid w:val="3F782E9C"/>
    <w:rsid w:val="439A57DF"/>
    <w:rsid w:val="4751439A"/>
    <w:rsid w:val="4B35647E"/>
    <w:rsid w:val="4DAA0943"/>
    <w:rsid w:val="4FD66ED8"/>
    <w:rsid w:val="523E560F"/>
    <w:rsid w:val="58494138"/>
    <w:rsid w:val="60074BE5"/>
    <w:rsid w:val="63526223"/>
    <w:rsid w:val="6C81394E"/>
    <w:rsid w:val="6DD057B3"/>
    <w:rsid w:val="6E396833"/>
    <w:rsid w:val="76B13D52"/>
    <w:rsid w:val="7A54143B"/>
    <w:rsid w:val="7CCB310E"/>
    <w:rsid w:val="7CE8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5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747</Words>
  <Characters>3860</Characters>
  <Lines>0</Lines>
  <Paragraphs>0</Paragraphs>
  <TotalTime>15</TotalTime>
  <ScaleCrop>false</ScaleCrop>
  <LinksUpToDate>false</LinksUpToDate>
  <CharactersWithSpaces>4391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邵滨0837</cp:lastModifiedBy>
  <dcterms:modified xsi:type="dcterms:W3CDTF">2026-09-25T18:35:18Z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54191A181FD34D03ADB8742407C100B3_13</vt:lpwstr>
  </property>
  <property fmtid="{D5CDD505-2E9C-101B-9397-08002B2CF9AE}" pid="4" name="KSOTemplateDocerSaveRecord">
    <vt:lpwstr>eyJoZGlkIjoiMmE2NWJjMWQxZTY5MTBlZWNlODQ2ZGE0NjJlYTdlMjUiLCJ1c2VySWQiOiIxODIyNDE0NzIwIn0=</vt:lpwstr>
  </property>
</Properties>
</file>