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E81A82">
      <w:pPr>
        <w:pStyle w:val="15"/>
      </w:pPr>
      <w:r>
        <w:t>Device and Document Applicability Inventory</w:t>
      </w:r>
    </w:p>
    <w:p w14:paraId="7B4DEFAC">
      <w:pPr>
        <w:jc w:val="center"/>
      </w:pPr>
      <w:r>
        <w:t>Manuscript: Safeguarding Informed Consent in the Collection of Personal Health Data by Wearable Smart Devices: An Empirical Study of User Agreements from Chinese Devices</w:t>
      </w:r>
    </w:p>
    <w:p w14:paraId="77F0A2D3">
      <w:pPr>
        <w:pStyle w:val="2"/>
      </w:pPr>
      <w:r>
        <w:t>1 Purpose and unit of analysis</w:t>
      </w:r>
    </w:p>
    <w:p w14:paraId="65A376E8">
      <w:r>
        <w:t>The primary unit is a device–document case: one wearable device or device category paired with the archived document set used to govern or describe its personal-information processing. The set consists of the available user agreement and/or privacy policy and any incorporated third-party information list. Missing fields are stated explicitly and are not inferred.</w:t>
      </w:r>
    </w:p>
    <w:p w14:paraId="4B157EAB">
      <w:r>
        <w:t>The ✓/○/× codes and applicability states were checked against the corrected archived sources. During revision, the existing AG12 document set was supplemented with a product-specific Lenovo Health Life policy effective before the analytical cut-off. The supplementary source-matching search closed on 25 September 2026, and the files were archived on 27 September 2026. The product-specific policy replaced the overly broad statement as the primary AG12 source, while the general statement was retained only within the scope expressly incorporated by it. Both coders independently re-coded AG12 before consensus; other genuine pre-consensus classifications were not retrospectively altered.</w:t>
      </w:r>
    </w:p>
    <w:p w14:paraId="12A93E8A">
      <w:r>
        <w:rPr>
          <w:rFonts w:hint="eastAsia"/>
        </w:rPr>
        <w:t>Applicability Determination Rules:(1) Applicable (activity established). The archived document set establishes a sufficiently clear connection between the processing activity presupposed by the indicator and the health/physiological data examined in this study. Only in this state is the safeguard assessed and coded ✓, ○, or ×.(2) Insufficient (activity referenced, connection not established). The document refers to an activity resembling the indicator’s subject matter, but the archived evidence does not establish that it involves the health-related data or the wearable-device context under analysis, or does not provide enough information to judge whether the safeguard is complete. Such cases are recorded as “insufficient to determine” and are not coded × as non-compliance.(3) Not applicable (N/A). The available documents do not establish that the presupposed activity occurs. The case is coded N/A and is excluded from the indicator’s denominator. Documentary silence is never treated as non-compliance.</w:t>
      </w:r>
    </w:p>
    <w:p w14:paraId="01D0F480">
      <w:r>
        <w:rPr>
          <w:rFonts w:hint="eastAsia"/>
        </w:rPr>
        <w:t>Decisive rule. × may be assigned only in state (1). A missing mechanism must never be inferred from documentary silence alone.</w:t>
      </w:r>
    </w:p>
    <w:p w14:paraId="48408719">
      <w:pPr>
        <w:pStyle w:val="2"/>
      </w:pPr>
      <w:r>
        <w:t>2 Case identity and governing documents</w:t>
      </w:r>
    </w:p>
    <w:tbl>
      <w:tblPr>
        <w:tblStyle w:val="19"/>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941"/>
        <w:gridCol w:w="1943"/>
        <w:gridCol w:w="1943"/>
        <w:gridCol w:w="1943"/>
        <w:gridCol w:w="1943"/>
        <w:gridCol w:w="1943"/>
        <w:gridCol w:w="1943"/>
        <w:gridCol w:w="1943"/>
      </w:tblGrid>
      <w:tr w14:paraId="0BBF67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jc w:val="center"/>
        </w:trPr>
        <w:tc>
          <w:tcPr>
            <w:tcW w:w="1944" w:type="dxa"/>
            <w:shd w:val="clear" w:color="auto" w:fill="1F4E78"/>
            <w:tcMar>
              <w:top w:w="70" w:type="dxa"/>
              <w:left w:w="80" w:type="dxa"/>
              <w:bottom w:w="70" w:type="dxa"/>
              <w:right w:w="80" w:type="dxa"/>
            </w:tcMar>
            <w:vAlign w:val="center"/>
          </w:tcPr>
          <w:p w14:paraId="6E8BB78D">
            <w:pPr>
              <w:spacing w:after="0"/>
            </w:pPr>
            <w:r>
              <w:rPr>
                <w:rFonts w:ascii="Arial" w:hAnsi="Arial"/>
                <w:b/>
                <w:color w:val="FFFFFF"/>
                <w:sz w:val="13"/>
              </w:rPr>
              <w:t>Case</w:t>
            </w:r>
          </w:p>
        </w:tc>
        <w:tc>
          <w:tcPr>
            <w:tcW w:w="1944" w:type="dxa"/>
            <w:shd w:val="clear" w:color="auto" w:fill="1F4E78"/>
            <w:tcMar>
              <w:top w:w="70" w:type="dxa"/>
              <w:left w:w="80" w:type="dxa"/>
              <w:bottom w:w="70" w:type="dxa"/>
              <w:right w:w="80" w:type="dxa"/>
            </w:tcMar>
            <w:vAlign w:val="center"/>
          </w:tcPr>
          <w:p w14:paraId="010D9B88">
            <w:pPr>
              <w:spacing w:after="0"/>
            </w:pPr>
            <w:r>
              <w:rPr>
                <w:rFonts w:ascii="Arial" w:hAnsi="Arial"/>
                <w:b/>
                <w:color w:val="FFFFFF"/>
                <w:sz w:val="13"/>
              </w:rPr>
              <w:t>Manufacturer / brand</w:t>
            </w:r>
          </w:p>
        </w:tc>
        <w:tc>
          <w:tcPr>
            <w:tcW w:w="1944" w:type="dxa"/>
            <w:shd w:val="clear" w:color="auto" w:fill="1F4E78"/>
            <w:tcMar>
              <w:top w:w="70" w:type="dxa"/>
              <w:left w:w="80" w:type="dxa"/>
              <w:bottom w:w="70" w:type="dxa"/>
              <w:right w:w="80" w:type="dxa"/>
            </w:tcMar>
            <w:vAlign w:val="center"/>
          </w:tcPr>
          <w:p w14:paraId="021454E7">
            <w:pPr>
              <w:spacing w:after="0"/>
            </w:pPr>
            <w:r>
              <w:rPr>
                <w:rFonts w:ascii="Arial" w:hAnsi="Arial"/>
                <w:b/>
                <w:color w:val="FFFFFF"/>
                <w:sz w:val="13"/>
              </w:rPr>
              <w:t>Device / category</w:t>
            </w:r>
          </w:p>
        </w:tc>
        <w:tc>
          <w:tcPr>
            <w:tcW w:w="1944" w:type="dxa"/>
            <w:shd w:val="clear" w:color="auto" w:fill="1F4E78"/>
            <w:tcMar>
              <w:top w:w="70" w:type="dxa"/>
              <w:left w:w="80" w:type="dxa"/>
              <w:bottom w:w="70" w:type="dxa"/>
              <w:right w:w="80" w:type="dxa"/>
            </w:tcMar>
            <w:vAlign w:val="center"/>
          </w:tcPr>
          <w:p w14:paraId="6109C0A3">
            <w:pPr>
              <w:spacing w:after="0"/>
            </w:pPr>
            <w:r>
              <w:rPr>
                <w:rFonts w:ascii="Arial" w:hAnsi="Arial"/>
                <w:b/>
                <w:color w:val="FFFFFF"/>
                <w:sz w:val="13"/>
              </w:rPr>
              <w:t>Companion application</w:t>
            </w:r>
          </w:p>
        </w:tc>
        <w:tc>
          <w:tcPr>
            <w:tcW w:w="1944" w:type="dxa"/>
            <w:shd w:val="clear" w:color="auto" w:fill="1F4E78"/>
            <w:tcMar>
              <w:top w:w="70" w:type="dxa"/>
              <w:left w:w="80" w:type="dxa"/>
              <w:bottom w:w="70" w:type="dxa"/>
              <w:right w:w="80" w:type="dxa"/>
            </w:tcMar>
            <w:vAlign w:val="center"/>
          </w:tcPr>
          <w:p w14:paraId="4E3024AF">
            <w:pPr>
              <w:spacing w:after="0"/>
            </w:pPr>
            <w:r>
              <w:rPr>
                <w:rFonts w:ascii="Arial" w:hAnsi="Arial"/>
                <w:b/>
                <w:color w:val="FFFFFF"/>
                <w:sz w:val="13"/>
              </w:rPr>
              <w:t>Policy owner</w:t>
            </w:r>
          </w:p>
        </w:tc>
        <w:tc>
          <w:tcPr>
            <w:tcW w:w="1944" w:type="dxa"/>
            <w:shd w:val="clear" w:color="auto" w:fill="1F4E78"/>
            <w:tcMar>
              <w:top w:w="70" w:type="dxa"/>
              <w:left w:w="80" w:type="dxa"/>
              <w:bottom w:w="70" w:type="dxa"/>
              <w:right w:w="80" w:type="dxa"/>
            </w:tcMar>
            <w:vAlign w:val="center"/>
          </w:tcPr>
          <w:p w14:paraId="27FC3BA5">
            <w:pPr>
              <w:spacing w:after="0"/>
            </w:pPr>
            <w:r>
              <w:rPr>
                <w:rFonts w:ascii="Arial" w:hAnsi="Arial"/>
                <w:b/>
                <w:color w:val="FFFFFF"/>
                <w:sz w:val="13"/>
              </w:rPr>
              <w:t>User agreement title</w:t>
            </w:r>
          </w:p>
        </w:tc>
        <w:tc>
          <w:tcPr>
            <w:tcW w:w="1944" w:type="dxa"/>
            <w:shd w:val="clear" w:color="auto" w:fill="1F4E78"/>
            <w:tcMar>
              <w:top w:w="70" w:type="dxa"/>
              <w:left w:w="80" w:type="dxa"/>
              <w:bottom w:w="70" w:type="dxa"/>
              <w:right w:w="80" w:type="dxa"/>
            </w:tcMar>
            <w:vAlign w:val="center"/>
          </w:tcPr>
          <w:p w14:paraId="1288FC44">
            <w:pPr>
              <w:spacing w:after="0"/>
            </w:pPr>
            <w:r>
              <w:rPr>
                <w:rFonts w:ascii="Arial" w:hAnsi="Arial"/>
                <w:b/>
                <w:color w:val="FFFFFF"/>
                <w:sz w:val="13"/>
              </w:rPr>
              <w:t>Privacy policy title</w:t>
            </w:r>
          </w:p>
        </w:tc>
        <w:tc>
          <w:tcPr>
            <w:tcW w:w="1944" w:type="dxa"/>
            <w:shd w:val="clear" w:color="auto" w:fill="1F4E78"/>
            <w:tcMar>
              <w:top w:w="70" w:type="dxa"/>
              <w:left w:w="80" w:type="dxa"/>
              <w:bottom w:w="70" w:type="dxa"/>
              <w:right w:w="80" w:type="dxa"/>
            </w:tcMar>
            <w:vAlign w:val="center"/>
          </w:tcPr>
          <w:p w14:paraId="2C426F95">
            <w:pPr>
              <w:spacing w:after="0"/>
            </w:pPr>
            <w:r>
              <w:rPr>
                <w:rFonts w:ascii="Arial" w:hAnsi="Arial"/>
                <w:b/>
                <w:color w:val="FFFFFF"/>
                <w:sz w:val="13"/>
              </w:rPr>
              <w:t>Third-party list</w:t>
            </w:r>
          </w:p>
        </w:tc>
      </w:tr>
      <w:tr w14:paraId="58142F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44" w:type="dxa"/>
            <w:tcMar>
              <w:top w:w="70" w:type="dxa"/>
              <w:left w:w="80" w:type="dxa"/>
              <w:bottom w:w="70" w:type="dxa"/>
              <w:right w:w="80" w:type="dxa"/>
            </w:tcMar>
            <w:vAlign w:val="center"/>
          </w:tcPr>
          <w:p w14:paraId="48EF47DE">
            <w:pPr>
              <w:spacing w:after="0"/>
            </w:pPr>
            <w:r>
              <w:rPr>
                <w:rFonts w:ascii="Arial" w:hAnsi="Arial"/>
                <w:sz w:val="13"/>
              </w:rPr>
              <w:t>AG1</w:t>
            </w:r>
          </w:p>
        </w:tc>
        <w:tc>
          <w:tcPr>
            <w:tcW w:w="1944" w:type="dxa"/>
            <w:tcMar>
              <w:top w:w="70" w:type="dxa"/>
              <w:left w:w="80" w:type="dxa"/>
              <w:bottom w:w="70" w:type="dxa"/>
              <w:right w:w="80" w:type="dxa"/>
            </w:tcMar>
            <w:vAlign w:val="center"/>
          </w:tcPr>
          <w:p w14:paraId="1EA4DAE1">
            <w:pPr>
              <w:spacing w:after="0"/>
            </w:pPr>
            <w:r>
              <w:rPr>
                <w:rFonts w:ascii="Arial" w:hAnsi="Arial"/>
                <w:sz w:val="13"/>
              </w:rPr>
              <w:t>Huawei</w:t>
            </w:r>
          </w:p>
        </w:tc>
        <w:tc>
          <w:tcPr>
            <w:tcW w:w="1944" w:type="dxa"/>
            <w:tcMar>
              <w:top w:w="70" w:type="dxa"/>
              <w:left w:w="80" w:type="dxa"/>
              <w:bottom w:w="70" w:type="dxa"/>
              <w:right w:w="80" w:type="dxa"/>
            </w:tcMar>
            <w:vAlign w:val="center"/>
          </w:tcPr>
          <w:p w14:paraId="356DAB4D">
            <w:pPr>
              <w:spacing w:after="0"/>
            </w:pPr>
            <w:r>
              <w:rPr>
                <w:rFonts w:ascii="Arial" w:hAnsi="Arial"/>
                <w:sz w:val="13"/>
              </w:rPr>
              <w:t>Smartwatch/band</w:t>
            </w:r>
          </w:p>
        </w:tc>
        <w:tc>
          <w:tcPr>
            <w:tcW w:w="1944" w:type="dxa"/>
            <w:tcMar>
              <w:top w:w="70" w:type="dxa"/>
              <w:left w:w="80" w:type="dxa"/>
              <w:bottom w:w="70" w:type="dxa"/>
              <w:right w:w="80" w:type="dxa"/>
            </w:tcMar>
            <w:vAlign w:val="center"/>
          </w:tcPr>
          <w:p w14:paraId="4B518057">
            <w:pPr>
              <w:spacing w:after="0"/>
            </w:pPr>
            <w:r>
              <w:rPr>
                <w:rFonts w:ascii="Arial" w:hAnsi="Arial"/>
                <w:sz w:val="13"/>
              </w:rPr>
              <w:t>Huawei Health</w:t>
            </w:r>
          </w:p>
        </w:tc>
        <w:tc>
          <w:tcPr>
            <w:tcW w:w="1944" w:type="dxa"/>
            <w:tcMar>
              <w:top w:w="70" w:type="dxa"/>
              <w:left w:w="80" w:type="dxa"/>
              <w:bottom w:w="70" w:type="dxa"/>
              <w:right w:w="80" w:type="dxa"/>
            </w:tcMar>
            <w:vAlign w:val="center"/>
          </w:tcPr>
          <w:p w14:paraId="10B55B81">
            <w:pPr>
              <w:spacing w:after="0"/>
            </w:pPr>
            <w:r>
              <w:rPr>
                <w:rFonts w:ascii="Arial" w:hAnsi="Arial"/>
                <w:sz w:val="13"/>
              </w:rPr>
              <w:t>Huawei Software Technologies Co., Ltd.</w:t>
            </w:r>
          </w:p>
        </w:tc>
        <w:tc>
          <w:tcPr>
            <w:tcW w:w="1944" w:type="dxa"/>
            <w:tcMar>
              <w:top w:w="70" w:type="dxa"/>
              <w:left w:w="80" w:type="dxa"/>
              <w:bottom w:w="70" w:type="dxa"/>
              <w:right w:w="80" w:type="dxa"/>
            </w:tcMar>
            <w:vAlign w:val="center"/>
          </w:tcPr>
          <w:p w14:paraId="18842BCC">
            <w:pPr>
              <w:spacing w:after="0"/>
            </w:pPr>
            <w:r>
              <w:rPr>
                <w:rFonts w:ascii="Arial" w:hAnsi="Arial"/>
                <w:sz w:val="13"/>
              </w:rPr>
              <w:t>Not separately identified in the archived case set</w:t>
            </w:r>
          </w:p>
        </w:tc>
        <w:tc>
          <w:tcPr>
            <w:tcW w:w="1944" w:type="dxa"/>
            <w:tcMar>
              <w:top w:w="70" w:type="dxa"/>
              <w:left w:w="80" w:type="dxa"/>
              <w:bottom w:w="70" w:type="dxa"/>
              <w:right w:w="80" w:type="dxa"/>
            </w:tcMar>
            <w:vAlign w:val="center"/>
          </w:tcPr>
          <w:p w14:paraId="2190F2F9">
            <w:pPr>
              <w:spacing w:after="0"/>
            </w:pPr>
            <w:r>
              <w:rPr>
                <w:rFonts w:ascii="Arial" w:hAnsi="Arial"/>
                <w:sz w:val="13"/>
              </w:rPr>
              <w:t>About Huawei Health and Privacy Statement</w:t>
            </w:r>
          </w:p>
        </w:tc>
        <w:tc>
          <w:tcPr>
            <w:tcW w:w="1944" w:type="dxa"/>
            <w:tcMar>
              <w:top w:w="70" w:type="dxa"/>
              <w:left w:w="80" w:type="dxa"/>
              <w:bottom w:w="70" w:type="dxa"/>
              <w:right w:w="80" w:type="dxa"/>
            </w:tcMar>
            <w:vAlign w:val="center"/>
          </w:tcPr>
          <w:p w14:paraId="50C60755">
            <w:pPr>
              <w:spacing w:after="0"/>
            </w:pPr>
            <w:r>
              <w:rPr>
                <w:rFonts w:ascii="Arial" w:hAnsi="Arial"/>
                <w:sz w:val="13"/>
              </w:rPr>
              <w:t xml:space="preserve">Huawei Health supporting statements and the List of Information Shared with Third Parties (archived separately; the preserved list is truncated after the Apple HealthKit entry and its second page is blank; exact filenames are recorded in Table 2)</w:t>
            </w:r>
          </w:p>
        </w:tc>
      </w:tr>
      <w:tr w14:paraId="54D905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44" w:type="dxa"/>
            <w:shd w:val="clear" w:color="auto" w:fill="EEF4FA"/>
            <w:tcMar>
              <w:top w:w="70" w:type="dxa"/>
              <w:left w:w="80" w:type="dxa"/>
              <w:bottom w:w="70" w:type="dxa"/>
              <w:right w:w="80" w:type="dxa"/>
            </w:tcMar>
            <w:vAlign w:val="center"/>
          </w:tcPr>
          <w:p w14:paraId="19750977">
            <w:pPr>
              <w:spacing w:after="0"/>
            </w:pPr>
            <w:r>
              <w:rPr>
                <w:rFonts w:ascii="Arial" w:hAnsi="Arial"/>
                <w:sz w:val="13"/>
              </w:rPr>
              <w:t>AG2</w:t>
            </w:r>
          </w:p>
        </w:tc>
        <w:tc>
          <w:tcPr>
            <w:tcW w:w="1944" w:type="dxa"/>
            <w:shd w:val="clear" w:color="auto" w:fill="EEF4FA"/>
            <w:tcMar>
              <w:top w:w="70" w:type="dxa"/>
              <w:left w:w="80" w:type="dxa"/>
              <w:bottom w:w="70" w:type="dxa"/>
              <w:right w:w="80" w:type="dxa"/>
            </w:tcMar>
            <w:vAlign w:val="center"/>
          </w:tcPr>
          <w:p w14:paraId="39F8CE02">
            <w:pPr>
              <w:spacing w:after="0"/>
            </w:pPr>
            <w:r>
              <w:rPr>
                <w:rFonts w:ascii="Arial" w:hAnsi="Arial"/>
                <w:sz w:val="13"/>
              </w:rPr>
              <w:t>Xiaomi</w:t>
            </w:r>
          </w:p>
        </w:tc>
        <w:tc>
          <w:tcPr>
            <w:tcW w:w="1944" w:type="dxa"/>
            <w:shd w:val="clear" w:color="auto" w:fill="EEF4FA"/>
            <w:tcMar>
              <w:top w:w="70" w:type="dxa"/>
              <w:left w:w="80" w:type="dxa"/>
              <w:bottom w:w="70" w:type="dxa"/>
              <w:right w:w="80" w:type="dxa"/>
            </w:tcMar>
            <w:vAlign w:val="center"/>
          </w:tcPr>
          <w:p w14:paraId="1903E9E9">
            <w:pPr>
              <w:spacing w:after="0"/>
            </w:pPr>
            <w:r>
              <w:rPr>
                <w:rFonts w:ascii="Arial" w:hAnsi="Arial"/>
                <w:sz w:val="13"/>
              </w:rPr>
              <w:t>Smartwatch/band</w:t>
            </w:r>
          </w:p>
        </w:tc>
        <w:tc>
          <w:tcPr>
            <w:tcW w:w="1944" w:type="dxa"/>
            <w:shd w:val="clear" w:color="auto" w:fill="EEF4FA"/>
            <w:tcMar>
              <w:top w:w="70" w:type="dxa"/>
              <w:left w:w="80" w:type="dxa"/>
              <w:bottom w:w="70" w:type="dxa"/>
              <w:right w:w="80" w:type="dxa"/>
            </w:tcMar>
            <w:vAlign w:val="center"/>
          </w:tcPr>
          <w:p w14:paraId="4631588D">
            <w:pPr>
              <w:spacing w:after="0"/>
            </w:pPr>
            <w:r>
              <w:rPr>
                <w:rFonts w:ascii="Arial" w:hAnsi="Arial"/>
                <w:sz w:val="13"/>
              </w:rPr>
              <w:t>Mi Fitness / Xiaomi Fitness</w:t>
            </w:r>
          </w:p>
        </w:tc>
        <w:tc>
          <w:tcPr>
            <w:tcW w:w="1944" w:type="dxa"/>
            <w:shd w:val="clear" w:color="auto" w:fill="EEF4FA"/>
            <w:tcMar>
              <w:top w:w="70" w:type="dxa"/>
              <w:left w:w="80" w:type="dxa"/>
              <w:bottom w:w="70" w:type="dxa"/>
              <w:right w:w="80" w:type="dxa"/>
            </w:tcMar>
            <w:vAlign w:val="center"/>
          </w:tcPr>
          <w:p w14:paraId="6E1EE8F2">
            <w:pPr>
              <w:spacing w:after="0"/>
            </w:pPr>
            <w:r>
              <w:rPr>
                <w:rFonts w:ascii="Arial" w:hAnsi="Arial"/>
                <w:sz w:val="13"/>
              </w:rPr>
              <w:t>Xiaomi Technology Co., Ltd.</w:t>
            </w:r>
          </w:p>
        </w:tc>
        <w:tc>
          <w:tcPr>
            <w:tcW w:w="1944" w:type="dxa"/>
            <w:shd w:val="clear" w:color="auto" w:fill="EEF4FA"/>
            <w:tcMar>
              <w:top w:w="70" w:type="dxa"/>
              <w:left w:w="80" w:type="dxa"/>
              <w:bottom w:w="70" w:type="dxa"/>
              <w:right w:w="80" w:type="dxa"/>
            </w:tcMar>
            <w:vAlign w:val="center"/>
          </w:tcPr>
          <w:p w14:paraId="32DB6FF2">
            <w:pPr>
              <w:spacing w:after="0"/>
            </w:pPr>
            <w:r>
              <w:rPr>
                <w:rFonts w:ascii="Arial" w:hAnsi="Arial"/>
                <w:sz w:val="13"/>
              </w:rPr>
              <w:t>Not separately identified in the archived case set</w:t>
            </w:r>
          </w:p>
        </w:tc>
        <w:tc>
          <w:tcPr>
            <w:tcW w:w="1944" w:type="dxa"/>
            <w:shd w:val="clear" w:color="auto" w:fill="EEF4FA"/>
            <w:tcMar>
              <w:top w:w="70" w:type="dxa"/>
              <w:left w:w="80" w:type="dxa"/>
              <w:bottom w:w="70" w:type="dxa"/>
              <w:right w:w="80" w:type="dxa"/>
            </w:tcMar>
            <w:vAlign w:val="center"/>
          </w:tcPr>
          <w:p w14:paraId="27625D46">
            <w:pPr>
              <w:spacing w:after="0"/>
            </w:pPr>
            <w:r>
              <w:rPr>
                <w:rFonts w:ascii="Arial" w:hAnsi="Arial"/>
                <w:sz w:val="13"/>
              </w:rPr>
              <w:t>Mi Fitness Privacy Policy</w:t>
            </w:r>
          </w:p>
        </w:tc>
        <w:tc>
          <w:tcPr>
            <w:tcW w:w="1944" w:type="dxa"/>
            <w:shd w:val="clear" w:color="auto" w:fill="EEF4FA"/>
            <w:tcMar>
              <w:top w:w="70" w:type="dxa"/>
              <w:left w:w="80" w:type="dxa"/>
              <w:bottom w:w="70" w:type="dxa"/>
              <w:right w:w="80" w:type="dxa"/>
            </w:tcMar>
            <w:vAlign w:val="center"/>
          </w:tcPr>
          <w:p w14:paraId="03A10F6A">
            <w:pPr>
              <w:spacing w:after="0"/>
            </w:pPr>
            <w:r>
              <w:rPr>
                <w:rFonts w:ascii="Arial" w:hAnsi="Arial"/>
                <w:sz w:val="13"/>
              </w:rPr>
              <w:t xml:space="preserve">Mi Fitness App Third-party Data Sharing Statement (archived separately)</w:t>
            </w:r>
          </w:p>
        </w:tc>
      </w:tr>
      <w:tr w14:paraId="5331CB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44" w:type="dxa"/>
            <w:tcMar>
              <w:top w:w="70" w:type="dxa"/>
              <w:left w:w="80" w:type="dxa"/>
              <w:bottom w:w="70" w:type="dxa"/>
              <w:right w:w="80" w:type="dxa"/>
            </w:tcMar>
            <w:vAlign w:val="center"/>
          </w:tcPr>
          <w:p w14:paraId="24C1C2A7">
            <w:pPr>
              <w:spacing w:after="0"/>
            </w:pPr>
            <w:r>
              <w:rPr>
                <w:rFonts w:ascii="Arial" w:hAnsi="Arial"/>
                <w:sz w:val="13"/>
              </w:rPr>
              <w:t>AG3</w:t>
            </w:r>
          </w:p>
        </w:tc>
        <w:tc>
          <w:tcPr>
            <w:tcW w:w="1944" w:type="dxa"/>
            <w:tcMar>
              <w:top w:w="70" w:type="dxa"/>
              <w:left w:w="80" w:type="dxa"/>
              <w:bottom w:w="70" w:type="dxa"/>
              <w:right w:w="80" w:type="dxa"/>
            </w:tcMar>
            <w:vAlign w:val="center"/>
          </w:tcPr>
          <w:p w14:paraId="38554753">
            <w:pPr>
              <w:spacing w:after="0"/>
            </w:pPr>
            <w:r>
              <w:rPr>
                <w:rFonts w:ascii="Arial" w:hAnsi="Arial"/>
                <w:sz w:val="13"/>
              </w:rPr>
              <w:t>OPPO</w:t>
            </w:r>
          </w:p>
        </w:tc>
        <w:tc>
          <w:tcPr>
            <w:tcW w:w="1944" w:type="dxa"/>
            <w:tcMar>
              <w:top w:w="70" w:type="dxa"/>
              <w:left w:w="80" w:type="dxa"/>
              <w:bottom w:w="70" w:type="dxa"/>
              <w:right w:w="80" w:type="dxa"/>
            </w:tcMar>
            <w:vAlign w:val="center"/>
          </w:tcPr>
          <w:p w14:paraId="3A9E2002">
            <w:pPr>
              <w:spacing w:after="0"/>
            </w:pPr>
            <w:r>
              <w:rPr>
                <w:rFonts w:ascii="Arial" w:hAnsi="Arial"/>
                <w:sz w:val="13"/>
              </w:rPr>
              <w:t>Smartwatch/band</w:t>
            </w:r>
          </w:p>
        </w:tc>
        <w:tc>
          <w:tcPr>
            <w:tcW w:w="1944" w:type="dxa"/>
            <w:tcMar>
              <w:top w:w="70" w:type="dxa"/>
              <w:left w:w="80" w:type="dxa"/>
              <w:bottom w:w="70" w:type="dxa"/>
              <w:right w:w="80" w:type="dxa"/>
            </w:tcMar>
            <w:vAlign w:val="center"/>
          </w:tcPr>
          <w:p w14:paraId="5F3EB2EF">
            <w:pPr>
              <w:spacing w:after="0"/>
            </w:pPr>
            <w:r>
              <w:rPr>
                <w:rFonts w:hint="eastAsia" w:ascii="Arial" w:hAnsi="Arial"/>
                <w:sz w:val="13"/>
              </w:rPr>
              <w:t>OPPO Health App</w:t>
            </w:r>
          </w:p>
        </w:tc>
        <w:tc>
          <w:tcPr>
            <w:tcW w:w="1944" w:type="dxa"/>
            <w:tcMar>
              <w:top w:w="70" w:type="dxa"/>
              <w:left w:w="80" w:type="dxa"/>
              <w:bottom w:w="70" w:type="dxa"/>
              <w:right w:w="80" w:type="dxa"/>
            </w:tcMar>
            <w:vAlign w:val="center"/>
          </w:tcPr>
          <w:p w14:paraId="03635C3C">
            <w:pPr>
              <w:spacing w:after="0"/>
            </w:pPr>
            <w:r>
              <w:rPr>
                <w:rFonts w:ascii="Arial" w:hAnsi="Arial"/>
                <w:sz w:val="13"/>
              </w:rPr>
              <w:t>Guangdong HeyTap Technology Co., Ltd. and affiliates</w:t>
            </w:r>
          </w:p>
        </w:tc>
        <w:tc>
          <w:tcPr>
            <w:tcW w:w="1944" w:type="dxa"/>
            <w:tcMar>
              <w:top w:w="70" w:type="dxa"/>
              <w:left w:w="80" w:type="dxa"/>
              <w:bottom w:w="70" w:type="dxa"/>
              <w:right w:w="80" w:type="dxa"/>
            </w:tcMar>
            <w:vAlign w:val="center"/>
          </w:tcPr>
          <w:p w14:paraId="15D6225F">
            <w:pPr>
              <w:spacing w:after="0"/>
            </w:pPr>
            <w:r>
              <w:rPr>
                <w:rFonts w:ascii="Arial" w:hAnsi="Arial"/>
                <w:sz w:val="13"/>
              </w:rPr>
              <w:t>Not separately identified in the archived case set</w:t>
            </w:r>
          </w:p>
        </w:tc>
        <w:tc>
          <w:tcPr>
            <w:tcW w:w="1944" w:type="dxa"/>
            <w:tcMar>
              <w:top w:w="70" w:type="dxa"/>
              <w:left w:w="80" w:type="dxa"/>
              <w:bottom w:w="70" w:type="dxa"/>
              <w:right w:w="80" w:type="dxa"/>
            </w:tcMar>
            <w:vAlign w:val="center"/>
          </w:tcPr>
          <w:p w14:paraId="52F14F4E">
            <w:pPr>
              <w:spacing w:after="0"/>
            </w:pPr>
            <w:r>
              <w:rPr>
                <w:rFonts w:hint="eastAsia" w:ascii="Arial" w:hAnsi="Arial"/>
                <w:sz w:val="13"/>
              </w:rPr>
              <w:t>OPPO Health App Personal Information Protection Policy</w:t>
            </w:r>
          </w:p>
        </w:tc>
        <w:tc>
          <w:tcPr>
            <w:tcW w:w="1944" w:type="dxa"/>
            <w:tcMar>
              <w:top w:w="70" w:type="dxa"/>
              <w:left w:w="80" w:type="dxa"/>
              <w:bottom w:w="70" w:type="dxa"/>
              <w:right w:w="80" w:type="dxa"/>
            </w:tcMar>
            <w:vAlign w:val="center"/>
          </w:tcPr>
          <w:p w14:paraId="0E7C5767">
            <w:pPr>
              <w:spacing w:after="0"/>
            </w:pPr>
            <w:r>
              <w:rPr>
                <w:rFonts w:ascii="Arial" w:hAnsi="Arial"/>
                <w:sz w:val="13"/>
              </w:rPr>
              <w:t xml:space="preserve">List of Third-party SDKs and List of Other Third-party Information Sharing (archived separately)</w:t>
            </w:r>
          </w:p>
        </w:tc>
      </w:tr>
      <w:tr w14:paraId="27F17C9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44" w:type="dxa"/>
            <w:shd w:val="clear" w:color="auto" w:fill="EEF4FA"/>
            <w:tcMar>
              <w:top w:w="70" w:type="dxa"/>
              <w:left w:w="80" w:type="dxa"/>
              <w:bottom w:w="70" w:type="dxa"/>
              <w:right w:w="80" w:type="dxa"/>
            </w:tcMar>
            <w:vAlign w:val="center"/>
          </w:tcPr>
          <w:p w14:paraId="386293F0">
            <w:pPr>
              <w:spacing w:after="0"/>
            </w:pPr>
            <w:r>
              <w:rPr>
                <w:rFonts w:ascii="Arial" w:hAnsi="Arial"/>
                <w:sz w:val="13"/>
              </w:rPr>
              <w:t>AG4</w:t>
            </w:r>
          </w:p>
        </w:tc>
        <w:tc>
          <w:tcPr>
            <w:tcW w:w="1944" w:type="dxa"/>
            <w:shd w:val="clear" w:color="auto" w:fill="EEF4FA"/>
            <w:tcMar>
              <w:top w:w="70" w:type="dxa"/>
              <w:left w:w="80" w:type="dxa"/>
              <w:bottom w:w="70" w:type="dxa"/>
              <w:right w:w="80" w:type="dxa"/>
            </w:tcMar>
            <w:vAlign w:val="center"/>
          </w:tcPr>
          <w:p w14:paraId="38D23C73">
            <w:pPr>
              <w:spacing w:after="0"/>
            </w:pPr>
            <w:r>
              <w:rPr>
                <w:rFonts w:ascii="Arial" w:hAnsi="Arial"/>
                <w:sz w:val="13"/>
              </w:rPr>
              <w:t>vivo</w:t>
            </w:r>
          </w:p>
        </w:tc>
        <w:tc>
          <w:tcPr>
            <w:tcW w:w="1944" w:type="dxa"/>
            <w:shd w:val="clear" w:color="auto" w:fill="EEF4FA"/>
            <w:tcMar>
              <w:top w:w="70" w:type="dxa"/>
              <w:left w:w="80" w:type="dxa"/>
              <w:bottom w:w="70" w:type="dxa"/>
              <w:right w:w="80" w:type="dxa"/>
            </w:tcMar>
            <w:vAlign w:val="center"/>
          </w:tcPr>
          <w:p w14:paraId="7465CE95">
            <w:pPr>
              <w:spacing w:after="0"/>
            </w:pPr>
            <w:r>
              <w:rPr>
                <w:rFonts w:ascii="Arial" w:hAnsi="Arial"/>
                <w:sz w:val="13"/>
              </w:rPr>
              <w:t>Smartwatch/band</w:t>
            </w:r>
          </w:p>
        </w:tc>
        <w:tc>
          <w:tcPr>
            <w:tcW w:w="1944" w:type="dxa"/>
            <w:shd w:val="clear" w:color="auto" w:fill="EEF4FA"/>
            <w:tcMar>
              <w:top w:w="70" w:type="dxa"/>
              <w:left w:w="80" w:type="dxa"/>
              <w:bottom w:w="70" w:type="dxa"/>
              <w:right w:w="80" w:type="dxa"/>
            </w:tcMar>
            <w:vAlign w:val="center"/>
          </w:tcPr>
          <w:p w14:paraId="00B31CEC">
            <w:pPr>
              <w:spacing w:after="0"/>
            </w:pPr>
            <w:r>
              <w:rPr>
                <w:rFonts w:ascii="Arial" w:hAnsi="Arial"/>
                <w:sz w:val="13"/>
              </w:rPr>
              <w:t>vivo Health</w:t>
            </w:r>
          </w:p>
        </w:tc>
        <w:tc>
          <w:tcPr>
            <w:tcW w:w="1944" w:type="dxa"/>
            <w:shd w:val="clear" w:color="auto" w:fill="EEF4FA"/>
            <w:tcMar>
              <w:top w:w="70" w:type="dxa"/>
              <w:left w:w="80" w:type="dxa"/>
              <w:bottom w:w="70" w:type="dxa"/>
              <w:right w:w="80" w:type="dxa"/>
            </w:tcMar>
            <w:vAlign w:val="center"/>
          </w:tcPr>
          <w:p w14:paraId="726947B3">
            <w:pPr>
              <w:spacing w:after="0"/>
            </w:pPr>
            <w:r>
              <w:rPr>
                <w:rFonts w:ascii="Arial" w:hAnsi="Arial"/>
                <w:sz w:val="13"/>
              </w:rPr>
              <w:t>Guangdong Tianchen Network Technology Co., Ltd. and affiliates</w:t>
            </w:r>
          </w:p>
        </w:tc>
        <w:tc>
          <w:tcPr>
            <w:tcW w:w="1944" w:type="dxa"/>
            <w:shd w:val="clear" w:color="auto" w:fill="EEF4FA"/>
            <w:tcMar>
              <w:top w:w="70" w:type="dxa"/>
              <w:left w:w="80" w:type="dxa"/>
              <w:bottom w:w="70" w:type="dxa"/>
              <w:right w:w="80" w:type="dxa"/>
            </w:tcMar>
            <w:vAlign w:val="center"/>
          </w:tcPr>
          <w:p w14:paraId="4BF0802F">
            <w:pPr>
              <w:spacing w:after="0"/>
            </w:pPr>
            <w:r>
              <w:rPr>
                <w:rFonts w:ascii="Arial" w:hAnsi="Arial"/>
                <w:sz w:val="13"/>
              </w:rPr>
              <w:t>Not separately identified in the archived case set</w:t>
            </w:r>
          </w:p>
        </w:tc>
        <w:tc>
          <w:tcPr>
            <w:tcW w:w="1944" w:type="dxa"/>
            <w:shd w:val="clear" w:color="auto" w:fill="EEF4FA"/>
            <w:tcMar>
              <w:top w:w="70" w:type="dxa"/>
              <w:left w:w="80" w:type="dxa"/>
              <w:bottom w:w="70" w:type="dxa"/>
              <w:right w:w="80" w:type="dxa"/>
            </w:tcMar>
            <w:vAlign w:val="center"/>
          </w:tcPr>
          <w:p w14:paraId="64726E81">
            <w:pPr>
              <w:spacing w:after="0"/>
            </w:pPr>
            <w:r>
              <w:rPr>
                <w:rFonts w:ascii="Arial" w:hAnsi="Arial"/>
                <w:sz w:val="13"/>
              </w:rPr>
              <w:t>vivo Health Personal Information Protection Policy</w:t>
            </w:r>
          </w:p>
        </w:tc>
        <w:tc>
          <w:tcPr>
            <w:tcW w:w="1944" w:type="dxa"/>
            <w:shd w:val="clear" w:color="auto" w:fill="EEF4FA"/>
            <w:tcMar>
              <w:top w:w="70" w:type="dxa"/>
              <w:left w:w="80" w:type="dxa"/>
              <w:bottom w:w="70" w:type="dxa"/>
              <w:right w:w="80" w:type="dxa"/>
            </w:tcMar>
            <w:vAlign w:val="center"/>
          </w:tcPr>
          <w:p w14:paraId="15062621">
            <w:pPr>
              <w:spacing w:after="0"/>
            </w:pPr>
            <w:r>
              <w:rPr>
                <w:rFonts w:ascii="Arial" w:hAnsi="Arial"/>
                <w:sz w:val="13"/>
              </w:rPr>
              <w:t>Third-party SDK table within the policy</w:t>
            </w:r>
          </w:p>
        </w:tc>
      </w:tr>
      <w:tr w14:paraId="7429D2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44" w:type="dxa"/>
            <w:tcMar>
              <w:top w:w="70" w:type="dxa"/>
              <w:left w:w="80" w:type="dxa"/>
              <w:bottom w:w="70" w:type="dxa"/>
              <w:right w:w="80" w:type="dxa"/>
            </w:tcMar>
            <w:vAlign w:val="center"/>
          </w:tcPr>
          <w:p w14:paraId="76461E1F">
            <w:pPr>
              <w:spacing w:after="0"/>
            </w:pPr>
            <w:r>
              <w:rPr>
                <w:rFonts w:ascii="Arial" w:hAnsi="Arial"/>
                <w:sz w:val="13"/>
              </w:rPr>
              <w:t>AG5</w:t>
            </w:r>
          </w:p>
        </w:tc>
        <w:tc>
          <w:tcPr>
            <w:tcW w:w="1944" w:type="dxa"/>
            <w:tcMar>
              <w:top w:w="70" w:type="dxa"/>
              <w:left w:w="80" w:type="dxa"/>
              <w:bottom w:w="70" w:type="dxa"/>
              <w:right w:w="80" w:type="dxa"/>
            </w:tcMar>
            <w:vAlign w:val="center"/>
          </w:tcPr>
          <w:p w14:paraId="7AFE86F7">
            <w:pPr>
              <w:spacing w:after="0"/>
            </w:pPr>
            <w:r>
              <w:rPr>
                <w:rFonts w:ascii="Arial" w:hAnsi="Arial"/>
                <w:sz w:val="13"/>
              </w:rPr>
              <w:t>Honor</w:t>
            </w:r>
          </w:p>
        </w:tc>
        <w:tc>
          <w:tcPr>
            <w:tcW w:w="1944" w:type="dxa"/>
            <w:tcMar>
              <w:top w:w="70" w:type="dxa"/>
              <w:left w:w="80" w:type="dxa"/>
              <w:bottom w:w="70" w:type="dxa"/>
              <w:right w:w="80" w:type="dxa"/>
            </w:tcMar>
            <w:vAlign w:val="center"/>
          </w:tcPr>
          <w:p w14:paraId="118CADBD">
            <w:pPr>
              <w:spacing w:after="0"/>
            </w:pPr>
            <w:r>
              <w:rPr>
                <w:rFonts w:ascii="Arial" w:hAnsi="Arial"/>
                <w:sz w:val="13"/>
              </w:rPr>
              <w:t>Smartwatch/band</w:t>
            </w:r>
          </w:p>
        </w:tc>
        <w:tc>
          <w:tcPr>
            <w:tcW w:w="1944" w:type="dxa"/>
            <w:tcMar>
              <w:top w:w="70" w:type="dxa"/>
              <w:left w:w="80" w:type="dxa"/>
              <w:bottom w:w="70" w:type="dxa"/>
              <w:right w:w="80" w:type="dxa"/>
            </w:tcMar>
            <w:vAlign w:val="center"/>
          </w:tcPr>
          <w:p w14:paraId="5CF1F6D0">
            <w:pPr>
              <w:spacing w:after="0"/>
            </w:pPr>
            <w:r>
              <w:rPr>
                <w:rFonts w:ascii="Arial" w:hAnsi="Arial"/>
                <w:sz w:val="13"/>
              </w:rPr>
              <w:t>Honor Health</w:t>
            </w:r>
          </w:p>
        </w:tc>
        <w:tc>
          <w:tcPr>
            <w:tcW w:w="1944" w:type="dxa"/>
            <w:tcMar>
              <w:top w:w="70" w:type="dxa"/>
              <w:left w:w="80" w:type="dxa"/>
              <w:bottom w:w="70" w:type="dxa"/>
              <w:right w:w="80" w:type="dxa"/>
            </w:tcMar>
            <w:vAlign w:val="center"/>
          </w:tcPr>
          <w:p w14:paraId="49966A85">
            <w:pPr>
              <w:spacing w:after="0"/>
            </w:pPr>
            <w:r>
              <w:rPr>
                <w:rFonts w:ascii="Arial" w:hAnsi="Arial"/>
                <w:sz w:val="13"/>
              </w:rPr>
              <w:t>Shenzhen Honor Software Technologies Co., Ltd.</w:t>
            </w:r>
          </w:p>
        </w:tc>
        <w:tc>
          <w:tcPr>
            <w:tcW w:w="1944" w:type="dxa"/>
            <w:tcMar>
              <w:top w:w="70" w:type="dxa"/>
              <w:left w:w="80" w:type="dxa"/>
              <w:bottom w:w="70" w:type="dxa"/>
              <w:right w:w="80" w:type="dxa"/>
            </w:tcMar>
            <w:vAlign w:val="center"/>
          </w:tcPr>
          <w:p w14:paraId="2A814BCE">
            <w:pPr>
              <w:spacing w:after="0"/>
            </w:pPr>
            <w:r>
              <w:rPr>
                <w:rFonts w:ascii="Arial" w:hAnsi="Arial"/>
                <w:sz w:val="13"/>
              </w:rPr>
              <w:t>Not separately identified in the archived case set</w:t>
            </w:r>
          </w:p>
        </w:tc>
        <w:tc>
          <w:tcPr>
            <w:tcW w:w="1944" w:type="dxa"/>
            <w:tcMar>
              <w:top w:w="70" w:type="dxa"/>
              <w:left w:w="80" w:type="dxa"/>
              <w:bottom w:w="70" w:type="dxa"/>
              <w:right w:w="80" w:type="dxa"/>
            </w:tcMar>
            <w:vAlign w:val="center"/>
          </w:tcPr>
          <w:p w14:paraId="3D45EF5C">
            <w:pPr>
              <w:spacing w:after="0"/>
            </w:pPr>
            <w:r>
              <w:rPr>
                <w:rFonts w:ascii="Arial" w:hAnsi="Arial"/>
                <w:sz w:val="13"/>
              </w:rPr>
              <w:t>Honor Health privacy statement (title not separately displayed in archived text)</w:t>
            </w:r>
          </w:p>
        </w:tc>
        <w:tc>
          <w:tcPr>
            <w:tcW w:w="1944" w:type="dxa"/>
            <w:tcMar>
              <w:top w:w="70" w:type="dxa"/>
              <w:left w:w="80" w:type="dxa"/>
              <w:bottom w:w="70" w:type="dxa"/>
              <w:right w:w="80" w:type="dxa"/>
            </w:tcMar>
            <w:vAlign w:val="center"/>
          </w:tcPr>
          <w:p w14:paraId="3EFC67E0">
            <w:pPr>
              <w:spacing w:after="0"/>
            </w:pPr>
            <w:r>
              <w:rPr>
                <w:rFonts w:ascii="Arial" w:hAnsi="Arial"/>
                <w:sz w:val="13"/>
              </w:rPr>
              <w:t xml:space="preserve">Honor Health Personal Information Sharing List is referenced in the policy but was not separately accessible or archived; coding relies on the primary policy text</w:t>
            </w:r>
          </w:p>
        </w:tc>
      </w:tr>
      <w:tr w14:paraId="460CBA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44" w:type="dxa"/>
            <w:shd w:val="clear" w:color="auto" w:fill="EEF4FA"/>
            <w:tcMar>
              <w:top w:w="70" w:type="dxa"/>
              <w:left w:w="80" w:type="dxa"/>
              <w:bottom w:w="70" w:type="dxa"/>
              <w:right w:w="80" w:type="dxa"/>
            </w:tcMar>
            <w:vAlign w:val="center"/>
          </w:tcPr>
          <w:p w14:paraId="038A737A">
            <w:pPr>
              <w:spacing w:after="0"/>
            </w:pPr>
            <w:r>
              <w:rPr>
                <w:rFonts w:ascii="Arial" w:hAnsi="Arial"/>
                <w:sz w:val="13"/>
              </w:rPr>
              <w:t>AG6</w:t>
            </w:r>
          </w:p>
        </w:tc>
        <w:tc>
          <w:tcPr>
            <w:tcW w:w="1944" w:type="dxa"/>
            <w:shd w:val="clear" w:color="auto" w:fill="EEF4FA"/>
            <w:tcMar>
              <w:top w:w="70" w:type="dxa"/>
              <w:left w:w="80" w:type="dxa"/>
              <w:bottom w:w="70" w:type="dxa"/>
              <w:right w:w="80" w:type="dxa"/>
            </w:tcMar>
            <w:vAlign w:val="center"/>
          </w:tcPr>
          <w:p w14:paraId="717CBC0D">
            <w:pPr>
              <w:spacing w:after="0"/>
            </w:pPr>
            <w:r>
              <w:rPr>
                <w:rFonts w:ascii="Arial" w:hAnsi="Arial"/>
                <w:sz w:val="13"/>
              </w:rPr>
              <w:t>Amazfit</w:t>
            </w:r>
          </w:p>
        </w:tc>
        <w:tc>
          <w:tcPr>
            <w:tcW w:w="1944" w:type="dxa"/>
            <w:shd w:val="clear" w:color="auto" w:fill="EEF4FA"/>
            <w:tcMar>
              <w:top w:w="70" w:type="dxa"/>
              <w:left w:w="80" w:type="dxa"/>
              <w:bottom w:w="70" w:type="dxa"/>
              <w:right w:w="80" w:type="dxa"/>
            </w:tcMar>
            <w:vAlign w:val="center"/>
          </w:tcPr>
          <w:p w14:paraId="5947296B">
            <w:pPr>
              <w:spacing w:after="0"/>
            </w:pPr>
            <w:r>
              <w:rPr>
                <w:rFonts w:ascii="Arial" w:hAnsi="Arial"/>
                <w:sz w:val="13"/>
              </w:rPr>
              <w:t>Smartwatch/band</w:t>
            </w:r>
          </w:p>
        </w:tc>
        <w:tc>
          <w:tcPr>
            <w:tcW w:w="1944" w:type="dxa"/>
            <w:shd w:val="clear" w:color="auto" w:fill="EEF4FA"/>
            <w:tcMar>
              <w:top w:w="70" w:type="dxa"/>
              <w:left w:w="80" w:type="dxa"/>
              <w:bottom w:w="70" w:type="dxa"/>
              <w:right w:w="80" w:type="dxa"/>
            </w:tcMar>
            <w:vAlign w:val="center"/>
          </w:tcPr>
          <w:p w14:paraId="1A0CE0E3">
            <w:pPr>
              <w:spacing w:after="0"/>
            </w:pPr>
            <w:r>
              <w:rPr>
                <w:rFonts w:ascii="Arial" w:hAnsi="Arial"/>
                <w:sz w:val="13"/>
              </w:rPr>
              <w:t>Amazfit Watch App</w:t>
            </w:r>
          </w:p>
        </w:tc>
        <w:tc>
          <w:tcPr>
            <w:tcW w:w="1944" w:type="dxa"/>
            <w:shd w:val="clear" w:color="auto" w:fill="EEF4FA"/>
            <w:tcMar>
              <w:top w:w="70" w:type="dxa"/>
              <w:left w:w="80" w:type="dxa"/>
              <w:bottom w:w="70" w:type="dxa"/>
              <w:right w:w="80" w:type="dxa"/>
            </w:tcMar>
            <w:vAlign w:val="center"/>
          </w:tcPr>
          <w:p w14:paraId="7B1C3755">
            <w:pPr>
              <w:spacing w:after="0"/>
            </w:pPr>
            <w:r>
              <w:rPr>
                <w:rFonts w:ascii="Arial" w:hAnsi="Arial"/>
                <w:sz w:val="13"/>
              </w:rPr>
              <w:t>Anhui Huami Information Technology Co., Ltd.</w:t>
            </w:r>
          </w:p>
        </w:tc>
        <w:tc>
          <w:tcPr>
            <w:tcW w:w="1944" w:type="dxa"/>
            <w:shd w:val="clear" w:color="auto" w:fill="EEF4FA"/>
            <w:tcMar>
              <w:top w:w="70" w:type="dxa"/>
              <w:left w:w="80" w:type="dxa"/>
              <w:bottom w:w="70" w:type="dxa"/>
              <w:right w:w="80" w:type="dxa"/>
            </w:tcMar>
            <w:vAlign w:val="center"/>
          </w:tcPr>
          <w:p w14:paraId="0483B40A">
            <w:pPr>
              <w:spacing w:after="0"/>
            </w:pPr>
            <w:r>
              <w:rPr>
                <w:rFonts w:ascii="Arial" w:hAnsi="Arial"/>
                <w:sz w:val="13"/>
              </w:rPr>
              <w:t>Not separately identified in the archived case set</w:t>
            </w:r>
          </w:p>
        </w:tc>
        <w:tc>
          <w:tcPr>
            <w:tcW w:w="1944" w:type="dxa"/>
            <w:shd w:val="clear" w:color="auto" w:fill="EEF4FA"/>
            <w:tcMar>
              <w:top w:w="70" w:type="dxa"/>
              <w:left w:w="80" w:type="dxa"/>
              <w:bottom w:w="70" w:type="dxa"/>
              <w:right w:w="80" w:type="dxa"/>
            </w:tcMar>
            <w:vAlign w:val="center"/>
          </w:tcPr>
          <w:p w14:paraId="4B9E965C">
            <w:pPr>
              <w:spacing w:after="0"/>
            </w:pPr>
            <w:r>
              <w:rPr>
                <w:rFonts w:ascii="Arial" w:hAnsi="Arial"/>
                <w:sz w:val="13"/>
              </w:rPr>
              <w:t>Privacy Policy</w:t>
            </w:r>
          </w:p>
        </w:tc>
        <w:tc>
          <w:tcPr>
            <w:tcW w:w="1944" w:type="dxa"/>
            <w:shd w:val="clear" w:color="auto" w:fill="EEF4FA"/>
            <w:tcMar>
              <w:top w:w="70" w:type="dxa"/>
              <w:left w:w="80" w:type="dxa"/>
              <w:bottom w:w="70" w:type="dxa"/>
              <w:right w:w="80" w:type="dxa"/>
            </w:tcMar>
            <w:vAlign w:val="center"/>
          </w:tcPr>
          <w:p w14:paraId="1DFB2024">
            <w:pPr>
              <w:spacing w:after="0"/>
            </w:pPr>
            <w:r>
              <w:rPr>
                <w:rFonts w:ascii="Arial" w:hAnsi="Arial"/>
                <w:sz w:val="13"/>
              </w:rPr>
              <w:t>No separate incorporated list identified; APIs, SDKs and social features are described within the policy</w:t>
            </w:r>
          </w:p>
        </w:tc>
      </w:tr>
      <w:tr w14:paraId="257754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44" w:type="dxa"/>
            <w:tcMar>
              <w:top w:w="70" w:type="dxa"/>
              <w:left w:w="80" w:type="dxa"/>
              <w:bottom w:w="70" w:type="dxa"/>
              <w:right w:w="80" w:type="dxa"/>
            </w:tcMar>
            <w:vAlign w:val="center"/>
          </w:tcPr>
          <w:p w14:paraId="716CED1E">
            <w:pPr>
              <w:spacing w:after="0"/>
            </w:pPr>
            <w:r>
              <w:rPr>
                <w:rFonts w:ascii="Arial" w:hAnsi="Arial"/>
                <w:sz w:val="13"/>
              </w:rPr>
              <w:t>AG7</w:t>
            </w:r>
          </w:p>
        </w:tc>
        <w:tc>
          <w:tcPr>
            <w:tcW w:w="1944" w:type="dxa"/>
            <w:tcMar>
              <w:top w:w="70" w:type="dxa"/>
              <w:left w:w="80" w:type="dxa"/>
              <w:bottom w:w="70" w:type="dxa"/>
              <w:right w:w="80" w:type="dxa"/>
            </w:tcMar>
            <w:vAlign w:val="center"/>
          </w:tcPr>
          <w:p w14:paraId="7AD186DD">
            <w:pPr>
              <w:spacing w:after="0"/>
            </w:pPr>
            <w:r>
              <w:rPr>
                <w:rFonts w:ascii="Arial" w:hAnsi="Arial"/>
                <w:sz w:val="13"/>
              </w:rPr>
              <w:t>Keep</w:t>
            </w:r>
          </w:p>
        </w:tc>
        <w:tc>
          <w:tcPr>
            <w:tcW w:w="1944" w:type="dxa"/>
            <w:tcMar>
              <w:top w:w="70" w:type="dxa"/>
              <w:left w:w="80" w:type="dxa"/>
              <w:bottom w:w="70" w:type="dxa"/>
              <w:right w:w="80" w:type="dxa"/>
            </w:tcMar>
            <w:vAlign w:val="center"/>
          </w:tcPr>
          <w:p w14:paraId="532FCCF0">
            <w:pPr>
              <w:spacing w:after="0"/>
            </w:pPr>
            <w:r>
              <w:rPr>
                <w:rFonts w:ascii="Arial" w:hAnsi="Arial"/>
                <w:sz w:val="13"/>
              </w:rPr>
              <w:t>Smartwatch/band</w:t>
            </w:r>
          </w:p>
        </w:tc>
        <w:tc>
          <w:tcPr>
            <w:tcW w:w="1944" w:type="dxa"/>
            <w:tcMar>
              <w:top w:w="70" w:type="dxa"/>
              <w:left w:w="80" w:type="dxa"/>
              <w:bottom w:w="70" w:type="dxa"/>
              <w:right w:w="80" w:type="dxa"/>
            </w:tcMar>
            <w:vAlign w:val="center"/>
          </w:tcPr>
          <w:p w14:paraId="6BD5E861">
            <w:pPr>
              <w:spacing w:after="0"/>
            </w:pPr>
            <w:r>
              <w:rPr>
                <w:rFonts w:ascii="Arial" w:hAnsi="Arial"/>
                <w:sz w:val="13"/>
              </w:rPr>
              <w:t>Keep</w:t>
            </w:r>
          </w:p>
        </w:tc>
        <w:tc>
          <w:tcPr>
            <w:tcW w:w="1944" w:type="dxa"/>
            <w:tcMar>
              <w:top w:w="70" w:type="dxa"/>
              <w:left w:w="80" w:type="dxa"/>
              <w:bottom w:w="70" w:type="dxa"/>
              <w:right w:w="80" w:type="dxa"/>
            </w:tcMar>
            <w:vAlign w:val="center"/>
          </w:tcPr>
          <w:p w14:paraId="0840BF3D">
            <w:pPr>
              <w:spacing w:after="0"/>
            </w:pPr>
            <w:r>
              <w:rPr>
                <w:rFonts w:ascii="Arial" w:hAnsi="Arial"/>
                <w:sz w:val="13"/>
              </w:rPr>
              <w:t>Beijing Calorie Technology Co., Ltd. and affiliates</w:t>
            </w:r>
          </w:p>
        </w:tc>
        <w:tc>
          <w:tcPr>
            <w:tcW w:w="1944" w:type="dxa"/>
            <w:tcMar>
              <w:top w:w="70" w:type="dxa"/>
              <w:left w:w="80" w:type="dxa"/>
              <w:bottom w:w="70" w:type="dxa"/>
              <w:right w:w="80" w:type="dxa"/>
            </w:tcMar>
            <w:vAlign w:val="center"/>
          </w:tcPr>
          <w:p w14:paraId="36F52D26">
            <w:pPr>
              <w:spacing w:after="0"/>
            </w:pPr>
            <w:r>
              <w:rPr>
                <w:rFonts w:ascii="Arial" w:hAnsi="Arial"/>
                <w:sz w:val="13"/>
              </w:rPr>
              <w:t>Not separately identified in the archived case set</w:t>
            </w:r>
          </w:p>
        </w:tc>
        <w:tc>
          <w:tcPr>
            <w:tcW w:w="1944" w:type="dxa"/>
            <w:tcMar>
              <w:top w:w="70" w:type="dxa"/>
              <w:left w:w="80" w:type="dxa"/>
              <w:bottom w:w="70" w:type="dxa"/>
              <w:right w:w="80" w:type="dxa"/>
            </w:tcMar>
            <w:vAlign w:val="center"/>
          </w:tcPr>
          <w:p w14:paraId="76D1E82A">
            <w:pPr>
              <w:spacing w:after="0"/>
            </w:pPr>
            <w:r>
              <w:rPr>
                <w:rFonts w:ascii="Arial" w:hAnsi="Arial"/>
                <w:sz w:val="13"/>
              </w:rPr>
              <w:t>Privacy Policy</w:t>
            </w:r>
          </w:p>
        </w:tc>
        <w:tc>
          <w:tcPr>
            <w:tcW w:w="1944" w:type="dxa"/>
            <w:tcMar>
              <w:top w:w="70" w:type="dxa"/>
              <w:left w:w="80" w:type="dxa"/>
              <w:bottom w:w="70" w:type="dxa"/>
              <w:right w:w="80" w:type="dxa"/>
            </w:tcMar>
            <w:vAlign w:val="center"/>
          </w:tcPr>
          <w:p w14:paraId="6DC47988">
            <w:pPr>
              <w:spacing w:after="0"/>
            </w:pPr>
            <w:r>
              <w:rPr>
                <w:rFonts w:ascii="Arial" w:hAnsi="Arial"/>
                <w:sz w:val="13"/>
              </w:rPr>
              <w:t xml:space="preserve">Third-party SDK and data-sharing disclosures are contained within the archived policy; no separate attachment was accessible or archived</w:t>
            </w:r>
          </w:p>
        </w:tc>
      </w:tr>
      <w:tr w14:paraId="23220E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44" w:type="dxa"/>
            <w:shd w:val="clear" w:color="auto" w:fill="EEF4FA"/>
            <w:tcMar>
              <w:top w:w="70" w:type="dxa"/>
              <w:left w:w="80" w:type="dxa"/>
              <w:bottom w:w="70" w:type="dxa"/>
              <w:right w:w="80" w:type="dxa"/>
            </w:tcMar>
            <w:vAlign w:val="center"/>
          </w:tcPr>
          <w:p w14:paraId="6DEC344C">
            <w:pPr>
              <w:spacing w:after="0"/>
            </w:pPr>
            <w:r>
              <w:rPr>
                <w:rFonts w:ascii="Arial" w:hAnsi="Arial"/>
                <w:sz w:val="13"/>
              </w:rPr>
              <w:t>AG8</w:t>
            </w:r>
          </w:p>
        </w:tc>
        <w:tc>
          <w:tcPr>
            <w:tcW w:w="1944" w:type="dxa"/>
            <w:shd w:val="clear" w:color="auto" w:fill="EEF4FA"/>
            <w:tcMar>
              <w:top w:w="70" w:type="dxa"/>
              <w:left w:w="80" w:type="dxa"/>
              <w:bottom w:w="70" w:type="dxa"/>
              <w:right w:w="80" w:type="dxa"/>
            </w:tcMar>
            <w:vAlign w:val="center"/>
          </w:tcPr>
          <w:p w14:paraId="199F3083">
            <w:pPr>
              <w:spacing w:after="0"/>
            </w:pPr>
            <w:r>
              <w:rPr>
                <w:rFonts w:ascii="Arial" w:hAnsi="Arial"/>
                <w:sz w:val="13"/>
              </w:rPr>
              <w:t>RingConn</w:t>
            </w:r>
          </w:p>
        </w:tc>
        <w:tc>
          <w:tcPr>
            <w:tcW w:w="1944" w:type="dxa"/>
            <w:shd w:val="clear" w:color="auto" w:fill="EEF4FA"/>
            <w:tcMar>
              <w:top w:w="70" w:type="dxa"/>
              <w:left w:w="80" w:type="dxa"/>
              <w:bottom w:w="70" w:type="dxa"/>
              <w:right w:w="80" w:type="dxa"/>
            </w:tcMar>
            <w:vAlign w:val="center"/>
          </w:tcPr>
          <w:p>
            <w:r>
              <w:t>Smart ring</w:t>
            </w:r>
          </w:p>
        </w:tc>
        <w:tc>
          <w:tcPr>
            <w:tcW w:w="1944" w:type="dxa"/>
            <w:shd w:val="clear" w:color="auto" w:fill="EEF4FA"/>
            <w:tcMar>
              <w:top w:w="70" w:type="dxa"/>
              <w:left w:w="80" w:type="dxa"/>
              <w:bottom w:w="70" w:type="dxa"/>
              <w:right w:w="80" w:type="dxa"/>
            </w:tcMar>
            <w:vAlign w:val="center"/>
          </w:tcPr>
          <w:p w14:paraId="388DDB31">
            <w:pPr>
              <w:spacing w:after="0"/>
            </w:pPr>
            <w:r>
              <w:rPr>
                <w:rFonts w:ascii="Arial" w:hAnsi="Arial"/>
                <w:sz w:val="13"/>
              </w:rPr>
              <w:t>RingConn App</w:t>
            </w:r>
          </w:p>
        </w:tc>
        <w:tc>
          <w:tcPr>
            <w:tcW w:w="1944" w:type="dxa"/>
            <w:shd w:val="clear" w:color="auto" w:fill="EEF4FA"/>
            <w:tcMar>
              <w:top w:w="70" w:type="dxa"/>
              <w:left w:w="80" w:type="dxa"/>
              <w:bottom w:w="70" w:type="dxa"/>
              <w:right w:w="80" w:type="dxa"/>
            </w:tcMar>
            <w:vAlign w:val="center"/>
          </w:tcPr>
          <w:p w14:paraId="351EB39A">
            <w:pPr>
              <w:spacing w:after="0"/>
            </w:pPr>
            <w:r>
              <w:rPr>
                <w:rFonts w:ascii="Arial" w:hAnsi="Arial"/>
                <w:sz w:val="13"/>
              </w:rPr>
              <w:t>Shenzhen Ninenovo Technology Limited</w:t>
            </w:r>
          </w:p>
        </w:tc>
        <w:tc>
          <w:tcPr>
            <w:tcW w:w="1944" w:type="dxa"/>
            <w:shd w:val="clear" w:color="auto" w:fill="EEF4FA"/>
            <w:tcMar>
              <w:top w:w="70" w:type="dxa"/>
              <w:left w:w="80" w:type="dxa"/>
              <w:bottom w:w="70" w:type="dxa"/>
              <w:right w:w="80" w:type="dxa"/>
            </w:tcMar>
            <w:vAlign w:val="center"/>
          </w:tcPr>
          <w:p w14:paraId="75DCFBC0">
            <w:pPr>
              <w:spacing w:after="0"/>
            </w:pPr>
            <w:r>
              <w:rPr>
                <w:rFonts w:ascii="Arial" w:hAnsi="Arial"/>
                <w:sz w:val="13"/>
              </w:rPr>
              <w:t>RingConn Terms of Use is referenced but not separately archived</w:t>
            </w:r>
          </w:p>
        </w:tc>
        <w:tc>
          <w:tcPr>
            <w:tcW w:w="1944" w:type="dxa"/>
            <w:shd w:val="clear" w:color="auto" w:fill="EEF4FA"/>
            <w:tcMar>
              <w:top w:w="70" w:type="dxa"/>
              <w:left w:w="80" w:type="dxa"/>
              <w:bottom w:w="70" w:type="dxa"/>
              <w:right w:w="80" w:type="dxa"/>
            </w:tcMar>
            <w:vAlign w:val="center"/>
          </w:tcPr>
          <w:p w14:paraId="39B2E8AA">
            <w:pPr>
              <w:spacing w:after="0"/>
            </w:pPr>
            <w:r>
              <w:rPr>
                <w:rFonts w:hint="eastAsia" w:ascii="Arial" w:hAnsi="Arial"/>
                <w:sz w:val="13"/>
              </w:rPr>
              <w:t>RingConn App Privacy Policy</w:t>
            </w:r>
          </w:p>
        </w:tc>
        <w:tc>
          <w:tcPr>
            <w:tcW w:w="1944" w:type="dxa"/>
            <w:shd w:val="clear" w:color="auto" w:fill="EEF4FA"/>
            <w:tcMar>
              <w:top w:w="70" w:type="dxa"/>
              <w:left w:w="80" w:type="dxa"/>
              <w:bottom w:w="70" w:type="dxa"/>
              <w:right w:w="80" w:type="dxa"/>
            </w:tcMar>
            <w:vAlign w:val="center"/>
          </w:tcPr>
          <w:p w14:paraId="1F949B99">
            <w:pPr>
              <w:spacing w:after="0"/>
            </w:pPr>
            <w:r>
              <w:rPr>
                <w:rFonts w:ascii="Arial" w:hAnsi="Arial"/>
                <w:sz w:val="13"/>
              </w:rPr>
              <w:t>Third-party service/SDK disclosures within the policy; no separate incorporated file identified</w:t>
            </w:r>
          </w:p>
        </w:tc>
      </w:tr>
      <w:tr w14:paraId="6A879A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44" w:type="dxa"/>
            <w:tcMar>
              <w:top w:w="70" w:type="dxa"/>
              <w:left w:w="80" w:type="dxa"/>
              <w:bottom w:w="70" w:type="dxa"/>
              <w:right w:w="80" w:type="dxa"/>
            </w:tcMar>
            <w:vAlign w:val="center"/>
          </w:tcPr>
          <w:p w14:paraId="6C89AD00">
            <w:pPr>
              <w:spacing w:after="0"/>
            </w:pPr>
            <w:r>
              <w:rPr>
                <w:rFonts w:ascii="Arial" w:hAnsi="Arial"/>
                <w:sz w:val="13"/>
              </w:rPr>
              <w:t>AG9</w:t>
            </w:r>
          </w:p>
        </w:tc>
        <w:tc>
          <w:tcPr>
            <w:tcW w:w="1944" w:type="dxa"/>
            <w:tcMar>
              <w:top w:w="70" w:type="dxa"/>
              <w:left w:w="80" w:type="dxa"/>
              <w:bottom w:w="70" w:type="dxa"/>
              <w:right w:w="80" w:type="dxa"/>
            </w:tcMar>
            <w:vAlign w:val="center"/>
          </w:tcPr>
          <w:p w14:paraId="78BECD96">
            <w:pPr>
              <w:spacing w:after="0"/>
            </w:pPr>
            <w:r>
              <w:rPr>
                <w:rFonts w:ascii="Arial" w:hAnsi="Arial"/>
                <w:sz w:val="13"/>
              </w:rPr>
              <w:t>Dreame</w:t>
            </w:r>
          </w:p>
        </w:tc>
        <w:tc>
          <w:tcPr>
            <w:tcW w:w="1944" w:type="dxa"/>
            <w:tcMar>
              <w:top w:w="70" w:type="dxa"/>
              <w:left w:w="80" w:type="dxa"/>
              <w:bottom w:w="70" w:type="dxa"/>
              <w:right w:w="80" w:type="dxa"/>
            </w:tcMar>
            <w:vAlign w:val="center"/>
          </w:tcPr>
          <w:p>
            <w:r>
              <w:t>Smart ring</w:t>
            </w:r>
          </w:p>
        </w:tc>
        <w:tc>
          <w:tcPr>
            <w:tcW w:w="1944" w:type="dxa"/>
            <w:tcMar>
              <w:top w:w="70" w:type="dxa"/>
              <w:left w:w="80" w:type="dxa"/>
              <w:bottom w:w="70" w:type="dxa"/>
              <w:right w:w="80" w:type="dxa"/>
            </w:tcMar>
            <w:vAlign w:val="center"/>
          </w:tcPr>
          <w:p w14:paraId="57325DB9">
            <w:pPr>
              <w:spacing w:after="0"/>
            </w:pPr>
            <w:r>
              <w:rPr>
                <w:rFonts w:ascii="Arial" w:hAnsi="Arial"/>
                <w:sz w:val="13"/>
              </w:rPr>
              <w:t>Dreame Health</w:t>
            </w:r>
          </w:p>
        </w:tc>
        <w:tc>
          <w:tcPr>
            <w:tcW w:w="1944" w:type="dxa"/>
            <w:tcMar>
              <w:top w:w="70" w:type="dxa"/>
              <w:left w:w="80" w:type="dxa"/>
              <w:bottom w:w="70" w:type="dxa"/>
              <w:right w:w="80" w:type="dxa"/>
            </w:tcMar>
            <w:vAlign w:val="center"/>
          </w:tcPr>
          <w:p w14:paraId="42426A0F">
            <w:pPr>
              <w:spacing w:after="0"/>
            </w:pPr>
            <w:r>
              <w:rPr>
                <w:rFonts w:ascii="Arial" w:hAnsi="Arial"/>
                <w:sz w:val="13"/>
              </w:rPr>
              <w:t>Dreametech (Suzhou) Co., Ltd., Shenzhen Branch, and affiliates</w:t>
            </w:r>
          </w:p>
        </w:tc>
        <w:tc>
          <w:tcPr>
            <w:tcW w:w="1944" w:type="dxa"/>
            <w:tcMar>
              <w:top w:w="70" w:type="dxa"/>
              <w:left w:w="80" w:type="dxa"/>
              <w:bottom w:w="70" w:type="dxa"/>
              <w:right w:w="80" w:type="dxa"/>
            </w:tcMar>
            <w:vAlign w:val="center"/>
          </w:tcPr>
          <w:p w14:paraId="08EB91DA">
            <w:pPr>
              <w:spacing w:after="0"/>
            </w:pPr>
            <w:r>
              <w:rPr>
                <w:rFonts w:ascii="Arial" w:hAnsi="Arial"/>
                <w:sz w:val="13"/>
              </w:rPr>
              <w:t>Not separately identified in the archived case set</w:t>
            </w:r>
          </w:p>
        </w:tc>
        <w:tc>
          <w:tcPr>
            <w:tcW w:w="1944" w:type="dxa"/>
            <w:tcMar>
              <w:top w:w="70" w:type="dxa"/>
              <w:left w:w="80" w:type="dxa"/>
              <w:bottom w:w="70" w:type="dxa"/>
              <w:right w:w="80" w:type="dxa"/>
            </w:tcMar>
            <w:vAlign w:val="center"/>
          </w:tcPr>
          <w:p w14:paraId="504707D9">
            <w:pPr>
              <w:spacing w:after="0"/>
            </w:pPr>
            <w:r>
              <w:rPr>
                <w:rFonts w:hint="eastAsia" w:ascii="Arial" w:hAnsi="Arial"/>
                <w:sz w:val="13"/>
              </w:rPr>
              <w:t>Dreame Health Privacy Policy</w:t>
            </w:r>
          </w:p>
        </w:tc>
        <w:tc>
          <w:tcPr>
            <w:tcW w:w="1944" w:type="dxa"/>
            <w:tcMar>
              <w:top w:w="70" w:type="dxa"/>
              <w:left w:w="80" w:type="dxa"/>
              <w:bottom w:w="70" w:type="dxa"/>
              <w:right w:w="80" w:type="dxa"/>
            </w:tcMar>
            <w:vAlign w:val="center"/>
          </w:tcPr>
          <w:p w14:paraId="5004FDC0">
            <w:pPr>
              <w:spacing w:after="0"/>
            </w:pPr>
            <w:r>
              <w:rPr>
                <w:rFonts w:ascii="Arial" w:hAnsi="Arial"/>
                <w:sz w:val="13"/>
              </w:rPr>
              <w:t xml:space="preserve">Dreame Health third-party SDK information list (archived separately)</w:t>
            </w:r>
          </w:p>
        </w:tc>
      </w:tr>
      <w:tr w14:paraId="145694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44" w:type="dxa"/>
            <w:shd w:val="clear" w:color="auto" w:fill="EEF4FA"/>
            <w:tcMar>
              <w:top w:w="70" w:type="dxa"/>
              <w:left w:w="80" w:type="dxa"/>
              <w:bottom w:w="70" w:type="dxa"/>
              <w:right w:w="80" w:type="dxa"/>
            </w:tcMar>
            <w:vAlign w:val="center"/>
          </w:tcPr>
          <w:p w14:paraId="6F3EDB9E">
            <w:pPr>
              <w:spacing w:after="0"/>
            </w:pPr>
            <w:r>
              <w:rPr>
                <w:rFonts w:ascii="Arial" w:hAnsi="Arial"/>
                <w:sz w:val="13"/>
              </w:rPr>
              <w:t>AG10</w:t>
            </w:r>
          </w:p>
        </w:tc>
        <w:tc>
          <w:tcPr>
            <w:tcW w:w="1944" w:type="dxa"/>
            <w:shd w:val="clear" w:color="auto" w:fill="EEF4FA"/>
            <w:tcMar>
              <w:top w:w="70" w:type="dxa"/>
              <w:left w:w="80" w:type="dxa"/>
              <w:bottom w:w="70" w:type="dxa"/>
              <w:right w:w="80" w:type="dxa"/>
            </w:tcMar>
            <w:vAlign w:val="center"/>
          </w:tcPr>
          <w:p w14:paraId="597C224D">
            <w:pPr>
              <w:spacing w:after="0"/>
            </w:pPr>
            <w:r>
              <w:rPr>
                <w:rFonts w:ascii="Arial" w:hAnsi="Arial"/>
                <w:sz w:val="13"/>
              </w:rPr>
              <w:t>Meizu (MYVU)</w:t>
            </w:r>
          </w:p>
        </w:tc>
        <w:tc>
          <w:tcPr>
            <w:tcW w:w="1944" w:type="dxa"/>
            <w:shd w:val="clear" w:color="auto" w:fill="EEF4FA"/>
            <w:tcMar>
              <w:top w:w="70" w:type="dxa"/>
              <w:left w:w="80" w:type="dxa"/>
              <w:bottom w:w="70" w:type="dxa"/>
              <w:right w:w="80" w:type="dxa"/>
            </w:tcMar>
            <w:vAlign w:val="center"/>
          </w:tcPr>
          <w:p>
            <w:r>
              <w:t>Smart ring</w:t>
            </w:r>
          </w:p>
        </w:tc>
        <w:tc>
          <w:tcPr>
            <w:tcW w:w="1944" w:type="dxa"/>
            <w:shd w:val="clear" w:color="auto" w:fill="EEF4FA"/>
            <w:tcMar>
              <w:top w:w="70" w:type="dxa"/>
              <w:left w:w="80" w:type="dxa"/>
              <w:bottom w:w="70" w:type="dxa"/>
              <w:right w:w="80" w:type="dxa"/>
            </w:tcMar>
            <w:vAlign w:val="center"/>
          </w:tcPr>
          <w:p w14:paraId="5778A42A">
            <w:pPr>
              <w:spacing w:after="0"/>
            </w:pPr>
            <w:r>
              <w:rPr>
                <w:rFonts w:ascii="Arial" w:hAnsi="Arial"/>
                <w:sz w:val="13"/>
              </w:rPr>
              <w:t>MYVU</w:t>
            </w:r>
          </w:p>
        </w:tc>
        <w:tc>
          <w:tcPr>
            <w:tcW w:w="1944" w:type="dxa"/>
            <w:shd w:val="clear" w:color="auto" w:fill="EEF4FA"/>
            <w:tcMar>
              <w:top w:w="70" w:type="dxa"/>
              <w:left w:w="80" w:type="dxa"/>
              <w:bottom w:w="70" w:type="dxa"/>
              <w:right w:w="80" w:type="dxa"/>
            </w:tcMar>
            <w:vAlign w:val="center"/>
          </w:tcPr>
          <w:p w14:paraId="4A3EC370">
            <w:pPr>
              <w:spacing w:after="0"/>
            </w:pPr>
            <w:r>
              <w:rPr>
                <w:rFonts w:ascii="Arial" w:hAnsi="Arial"/>
                <w:sz w:val="13"/>
              </w:rPr>
              <w:t>Hubei Xingji Meizu Network Technology Co., Ltd. and affiliates</w:t>
            </w:r>
          </w:p>
        </w:tc>
        <w:tc>
          <w:tcPr>
            <w:tcW w:w="1944" w:type="dxa"/>
            <w:shd w:val="clear" w:color="auto" w:fill="EEF4FA"/>
            <w:tcMar>
              <w:top w:w="70" w:type="dxa"/>
              <w:left w:w="80" w:type="dxa"/>
              <w:bottom w:w="70" w:type="dxa"/>
              <w:right w:w="80" w:type="dxa"/>
            </w:tcMar>
            <w:vAlign w:val="center"/>
          </w:tcPr>
          <w:p w14:paraId="64DC73E8">
            <w:pPr>
              <w:spacing w:after="0"/>
            </w:pPr>
            <w:r>
              <w:rPr>
                <w:rFonts w:ascii="Arial" w:hAnsi="Arial"/>
                <w:sz w:val="13"/>
              </w:rPr>
              <w:t>Not separately identified in the archived case set</w:t>
            </w:r>
          </w:p>
        </w:tc>
        <w:tc>
          <w:tcPr>
            <w:tcW w:w="1944" w:type="dxa"/>
            <w:shd w:val="clear" w:color="auto" w:fill="EEF4FA"/>
            <w:tcMar>
              <w:top w:w="70" w:type="dxa"/>
              <w:left w:w="80" w:type="dxa"/>
              <w:bottom w:w="70" w:type="dxa"/>
              <w:right w:w="80" w:type="dxa"/>
            </w:tcMar>
            <w:vAlign w:val="center"/>
          </w:tcPr>
          <w:p w14:paraId="78576B69">
            <w:pPr>
              <w:spacing w:after="0"/>
            </w:pPr>
            <w:r>
              <w:rPr>
                <w:rFonts w:ascii="Arial" w:hAnsi="Arial"/>
                <w:sz w:val="13"/>
              </w:rPr>
              <w:t>MYVU Privacy Policy</w:t>
            </w:r>
          </w:p>
        </w:tc>
        <w:tc>
          <w:tcPr>
            <w:tcW w:w="1944" w:type="dxa"/>
            <w:shd w:val="clear" w:color="auto" w:fill="EEF4FA"/>
            <w:tcMar>
              <w:top w:w="70" w:type="dxa"/>
              <w:left w:w="80" w:type="dxa"/>
              <w:bottom w:w="70" w:type="dxa"/>
              <w:right w:w="80" w:type="dxa"/>
            </w:tcMar>
            <w:vAlign w:val="center"/>
          </w:tcPr>
          <w:p w14:paraId="4CC09D12">
            <w:pPr>
              <w:spacing w:after="0"/>
            </w:pPr>
            <w:r>
              <w:rPr>
                <w:rFonts w:ascii="Arial" w:hAnsi="Arial"/>
                <w:sz w:val="13"/>
              </w:rPr>
              <w:t xml:space="preserve">Personal Information Collection List and Third-party Information Sharing List (archived separately)</w:t>
            </w:r>
          </w:p>
        </w:tc>
      </w:tr>
      <w:tr w14:paraId="0C8D7C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44" w:type="dxa"/>
            <w:tcMar>
              <w:top w:w="70" w:type="dxa"/>
              <w:left w:w="80" w:type="dxa"/>
              <w:bottom w:w="70" w:type="dxa"/>
              <w:right w:w="80" w:type="dxa"/>
            </w:tcMar>
            <w:vAlign w:val="center"/>
          </w:tcPr>
          <w:p w14:paraId="5879BE3D">
            <w:pPr>
              <w:spacing w:after="0"/>
            </w:pPr>
            <w:r>
              <w:rPr>
                <w:rFonts w:ascii="Arial" w:hAnsi="Arial"/>
                <w:sz w:val="13"/>
              </w:rPr>
              <w:t>AG11</w:t>
            </w:r>
          </w:p>
        </w:tc>
        <w:tc>
          <w:tcPr>
            <w:tcW w:w="1944" w:type="dxa"/>
            <w:tcMar>
              <w:top w:w="70" w:type="dxa"/>
              <w:left w:w="80" w:type="dxa"/>
              <w:bottom w:w="70" w:type="dxa"/>
              <w:right w:w="80" w:type="dxa"/>
            </w:tcMar>
            <w:vAlign w:val="center"/>
          </w:tcPr>
          <w:p w14:paraId="51840100">
            <w:pPr>
              <w:spacing w:after="0"/>
            </w:pPr>
            <w:r>
              <w:rPr>
                <w:rFonts w:ascii="Arial" w:hAnsi="Arial"/>
                <w:sz w:val="13"/>
              </w:rPr>
              <w:t>Black Shark</w:t>
            </w:r>
          </w:p>
        </w:tc>
        <w:tc>
          <w:tcPr>
            <w:tcW w:w="1944" w:type="dxa"/>
            <w:tcMar>
              <w:top w:w="70" w:type="dxa"/>
              <w:left w:w="80" w:type="dxa"/>
              <w:bottom w:w="70" w:type="dxa"/>
              <w:right w:w="80" w:type="dxa"/>
            </w:tcMar>
            <w:vAlign w:val="center"/>
          </w:tcPr>
          <w:p>
            <w:r>
              <w:t>Smart ring</w:t>
            </w:r>
          </w:p>
        </w:tc>
        <w:tc>
          <w:tcPr>
            <w:tcW w:w="1944" w:type="dxa"/>
            <w:tcMar>
              <w:top w:w="70" w:type="dxa"/>
              <w:left w:w="80" w:type="dxa"/>
              <w:bottom w:w="70" w:type="dxa"/>
              <w:right w:w="80" w:type="dxa"/>
            </w:tcMar>
            <w:vAlign w:val="center"/>
          </w:tcPr>
          <w:p w14:paraId="0E6F2540">
            <w:pPr>
              <w:spacing w:after="0"/>
              <w:rPr>
                <w:rFonts w:hint="default" w:eastAsiaTheme="minorEastAsia"/>
                <w:lang w:val="en-US" w:eastAsia="zh-CN"/>
              </w:rPr>
            </w:pPr>
            <w:r>
              <w:rPr>
                <w:rFonts w:hint="eastAsia" w:ascii="Arial" w:hAnsi="Arial"/>
                <w:sz w:val="13"/>
                <w:lang w:val="en-US" w:eastAsia="zh-CN"/>
              </w:rPr>
              <w:t>Black Shark Ring</w:t>
            </w:r>
          </w:p>
        </w:tc>
        <w:tc>
          <w:tcPr>
            <w:tcW w:w="1944" w:type="dxa"/>
            <w:tcMar>
              <w:top w:w="70" w:type="dxa"/>
              <w:left w:w="80" w:type="dxa"/>
              <w:bottom w:w="70" w:type="dxa"/>
              <w:right w:w="80" w:type="dxa"/>
            </w:tcMar>
            <w:vAlign w:val="center"/>
          </w:tcPr>
          <w:p w14:paraId="58F4C77D">
            <w:pPr>
              <w:spacing w:after="0"/>
            </w:pPr>
            <w:r>
              <w:rPr>
                <w:rFonts w:ascii="Arial" w:hAnsi="Arial"/>
                <w:sz w:val="13"/>
              </w:rPr>
              <w:t>Nanchang Black Shark Technology Co., Ltd. and affiliates</w:t>
            </w:r>
          </w:p>
        </w:tc>
        <w:tc>
          <w:tcPr>
            <w:tcW w:w="1944" w:type="dxa"/>
            <w:tcMar>
              <w:top w:w="70" w:type="dxa"/>
              <w:left w:w="80" w:type="dxa"/>
              <w:bottom w:w="70" w:type="dxa"/>
              <w:right w:w="80" w:type="dxa"/>
            </w:tcMar>
            <w:vAlign w:val="center"/>
          </w:tcPr>
          <w:p w14:paraId="4195EBF0">
            <w:pPr>
              <w:spacing w:after="0"/>
            </w:pPr>
            <w:r>
              <w:rPr>
                <w:rFonts w:hint="eastAsia" w:ascii="Arial" w:hAnsi="Arial"/>
                <w:sz w:val="13"/>
              </w:rPr>
              <w:t>Black Shark Ring App</w:t>
            </w:r>
          </w:p>
        </w:tc>
        <w:tc>
          <w:tcPr>
            <w:tcW w:w="1944" w:type="dxa"/>
            <w:tcMar>
              <w:top w:w="70" w:type="dxa"/>
              <w:left w:w="80" w:type="dxa"/>
              <w:bottom w:w="70" w:type="dxa"/>
              <w:right w:w="80" w:type="dxa"/>
            </w:tcMar>
            <w:vAlign w:val="center"/>
          </w:tcPr>
          <w:p w14:paraId="2F8934C0">
            <w:pPr>
              <w:spacing w:after="0"/>
            </w:pPr>
            <w:r>
              <w:rPr>
                <w:rFonts w:hint="eastAsia" w:ascii="Arial" w:hAnsi="Arial"/>
                <w:sz w:val="13"/>
              </w:rPr>
              <w:t>Black Shark Smart Ring Privacy Policy</w:t>
            </w:r>
          </w:p>
        </w:tc>
        <w:tc>
          <w:tcPr>
            <w:tcW w:w="1944" w:type="dxa"/>
            <w:tcMar>
              <w:top w:w="70" w:type="dxa"/>
              <w:left w:w="80" w:type="dxa"/>
              <w:bottom w:w="70" w:type="dxa"/>
              <w:right w:w="80" w:type="dxa"/>
            </w:tcMar>
            <w:vAlign w:val="center"/>
          </w:tcPr>
          <w:p w14:paraId="3DB96611">
            <w:pPr>
              <w:spacing w:after="0"/>
            </w:pPr>
            <w:r>
              <w:rPr>
                <w:rFonts w:ascii="Arial" w:hAnsi="Arial"/>
                <w:sz w:val="13"/>
              </w:rPr>
              <w:t>Selected third-party service/SDK disclosures within the policy; no complete separate list identified</w:t>
            </w:r>
          </w:p>
        </w:tc>
      </w:tr>
      <w:tr w14:paraId="4BA9DF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44" w:type="dxa"/>
            <w:shd w:val="clear" w:color="auto" w:fill="EEF4FA"/>
            <w:tcMar>
              <w:top w:w="70" w:type="dxa"/>
              <w:left w:w="80" w:type="dxa"/>
              <w:bottom w:w="70" w:type="dxa"/>
              <w:right w:w="80" w:type="dxa"/>
            </w:tcMar>
            <w:vAlign w:val="center"/>
          </w:tcPr>
          <w:p w14:paraId="2AED6083">
            <w:pPr>
              <w:spacing w:after="0"/>
            </w:pPr>
            <w:r>
              <w:rPr>
                <w:rFonts w:ascii="Arial" w:hAnsi="Arial"/>
                <w:sz w:val="13"/>
              </w:rPr>
              <w:t>AG12</w:t>
            </w:r>
          </w:p>
        </w:tc>
        <w:tc>
          <w:tcPr>
            <w:tcW w:w="1944" w:type="dxa"/>
            <w:shd w:val="clear" w:color="auto" w:fill="EEF4FA"/>
            <w:tcMar>
              <w:top w:w="70" w:type="dxa"/>
              <w:left w:w="80" w:type="dxa"/>
              <w:bottom w:w="70" w:type="dxa"/>
              <w:right w:w="80" w:type="dxa"/>
            </w:tcMar>
            <w:vAlign w:val="center"/>
          </w:tcPr>
          <w:p w14:paraId="6F9C55A8">
            <w:pPr>
              <w:spacing w:after="0"/>
            </w:pPr>
            <w:r>
              <w:rPr>
                <w:rFonts w:ascii="Arial" w:hAnsi="Arial"/>
                <w:sz w:val="13"/>
              </w:rPr>
              <w:t>Lenovo</w:t>
            </w:r>
          </w:p>
        </w:tc>
        <w:tc>
          <w:tcPr>
            <w:tcW w:w="1944" w:type="dxa"/>
            <w:shd w:val="clear" w:color="auto" w:fill="EEF4FA"/>
            <w:tcMar>
              <w:top w:w="70" w:type="dxa"/>
              <w:left w:w="80" w:type="dxa"/>
              <w:bottom w:w="70" w:type="dxa"/>
              <w:right w:w="80" w:type="dxa"/>
            </w:tcMar>
            <w:vAlign w:val="center"/>
          </w:tcPr>
          <w:p w14:paraId="5B8F0697">
            <w:pPr>
              <w:spacing w:after="0"/>
            </w:pPr>
            <w:r>
              <w:rPr>
                <w:rFonts w:ascii="Arial" w:hAnsi="Arial"/>
                <w:sz w:val="13"/>
              </w:rPr>
              <w:t>Smartwatch/band</w:t>
            </w:r>
          </w:p>
        </w:tc>
        <w:tc>
          <w:tcPr>
            <w:tcW w:w="1944" w:type="dxa"/>
            <w:shd w:val="clear" w:color="auto" w:fill="EEF4FA"/>
            <w:tcMar>
              <w:top w:w="70" w:type="dxa"/>
              <w:left w:w="80" w:type="dxa"/>
              <w:bottom w:w="70" w:type="dxa"/>
              <w:right w:w="80" w:type="dxa"/>
            </w:tcMar>
            <w:vAlign w:val="center"/>
          </w:tcPr>
          <w:p w14:paraId="18FCB2BD">
            <w:pPr>
              <w:spacing w:after="0"/>
            </w:pPr>
            <w:r>
              <w:rPr>
                <w:rFonts w:ascii="Arial" w:hAnsi="Arial"/>
                <w:sz w:val="13"/>
              </w:rPr>
              <w:t>Lenovo Health Life</w:t>
            </w:r>
          </w:p>
        </w:tc>
        <w:tc>
          <w:tcPr>
            <w:tcW w:w="1944" w:type="dxa"/>
            <w:shd w:val="clear" w:color="auto" w:fill="EEF4FA"/>
            <w:tcMar>
              <w:top w:w="70" w:type="dxa"/>
              <w:left w:w="80" w:type="dxa"/>
              <w:bottom w:w="70" w:type="dxa"/>
              <w:right w:w="80" w:type="dxa"/>
            </w:tcMar>
            <w:vAlign w:val="center"/>
          </w:tcPr>
          <w:p w14:paraId="3161B502">
            <w:pPr>
              <w:spacing w:after="0"/>
            </w:pPr>
            <w:r>
              <w:rPr>
                <w:rFonts w:ascii="Arial" w:hAnsi="Arial"/>
                <w:sz w:val="13"/>
              </w:rPr>
              <w:t>Lenovo (Beijing) Co., Ltd.</w:t>
            </w:r>
          </w:p>
        </w:tc>
        <w:tc>
          <w:tcPr>
            <w:tcW w:w="1944" w:type="dxa"/>
            <w:shd w:val="clear" w:color="auto" w:fill="EEF4FA"/>
            <w:tcMar>
              <w:top w:w="70" w:type="dxa"/>
              <w:left w:w="80" w:type="dxa"/>
              <w:bottom w:w="70" w:type="dxa"/>
              <w:right w:w="80" w:type="dxa"/>
            </w:tcMar>
            <w:vAlign w:val="center"/>
          </w:tcPr>
          <w:p w14:paraId="0C69D7FC">
            <w:pPr>
              <w:spacing w:after="0"/>
            </w:pPr>
            <w:r>
              <w:rPr>
                <w:rFonts w:ascii="Arial" w:hAnsi="Arial"/>
                <w:sz w:val="13"/>
              </w:rPr>
              <w:t>Not separately identified in the archived case set</w:t>
            </w:r>
          </w:p>
        </w:tc>
        <w:tc>
          <w:tcPr>
            <w:tcW w:w="1944" w:type="dxa"/>
            <w:shd w:val="clear" w:color="auto" w:fill="EEF4FA"/>
            <w:tcMar>
              <w:top w:w="70" w:type="dxa"/>
              <w:left w:w="80" w:type="dxa"/>
              <w:bottom w:w="70" w:type="dxa"/>
              <w:right w:w="80" w:type="dxa"/>
            </w:tcMar>
            <w:vAlign w:val="center"/>
          </w:tcPr>
          <w:p w14:paraId="538F923F">
            <w:pPr>
              <w:spacing w:after="0"/>
            </w:pPr>
            <w:r>
              <w:rPr>
                <w:rFonts w:ascii="Arial" w:hAnsi="Arial"/>
                <w:sz w:val="13"/>
              </w:rPr>
              <w:t>Lenovo Health Life Privacy Policy; incorporated supplement: Lenovo and Motorola Products Privacy Statement</w:t>
            </w:r>
          </w:p>
        </w:tc>
        <w:tc>
          <w:tcPr>
            <w:tcW w:w="1944" w:type="dxa"/>
            <w:shd w:val="clear" w:color="auto" w:fill="EEF4FA"/>
            <w:tcMar>
              <w:top w:w="70" w:type="dxa"/>
              <w:left w:w="80" w:type="dxa"/>
              <w:bottom w:w="70" w:type="dxa"/>
              <w:right w:w="80" w:type="dxa"/>
            </w:tcMar>
            <w:vAlign w:val="center"/>
          </w:tcPr>
          <w:p w14:paraId="45EA6177">
            <w:pPr>
              <w:spacing w:after="0"/>
            </w:pPr>
            <w:r>
              <w:rPr>
                <w:rFonts w:ascii="Arial" w:hAnsi="Arial"/>
                <w:sz w:val="13"/>
              </w:rPr>
              <w:t>Structured third-party SDK table within the product-specific policy</w:t>
            </w:r>
          </w:p>
        </w:tc>
      </w:tr>
      <w:tr w14:paraId="44B5B4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44" w:type="dxa"/>
            <w:tcMar>
              <w:top w:w="70" w:type="dxa"/>
              <w:left w:w="80" w:type="dxa"/>
              <w:bottom w:w="70" w:type="dxa"/>
              <w:right w:w="80" w:type="dxa"/>
            </w:tcMar>
            <w:vAlign w:val="center"/>
          </w:tcPr>
          <w:p w14:paraId="4EE6B653">
            <w:pPr>
              <w:spacing w:after="0"/>
            </w:pPr>
            <w:r>
              <w:rPr>
                <w:rFonts w:ascii="Arial" w:hAnsi="Arial"/>
                <w:sz w:val="13"/>
              </w:rPr>
              <w:t>AG13</w:t>
            </w:r>
          </w:p>
        </w:tc>
        <w:tc>
          <w:tcPr>
            <w:tcW w:w="1944" w:type="dxa"/>
            <w:tcMar>
              <w:top w:w="70" w:type="dxa"/>
              <w:left w:w="80" w:type="dxa"/>
              <w:bottom w:w="70" w:type="dxa"/>
              <w:right w:w="80" w:type="dxa"/>
            </w:tcMar>
            <w:vAlign w:val="center"/>
          </w:tcPr>
          <w:p w14:paraId="03ED75B5">
            <w:pPr>
              <w:spacing w:after="0"/>
            </w:pPr>
            <w:r>
              <w:rPr>
                <w:rFonts w:ascii="Arial" w:hAnsi="Arial"/>
                <w:sz w:val="13"/>
              </w:rPr>
              <w:t>Baidu (Xiaodu)</w:t>
            </w:r>
          </w:p>
        </w:tc>
        <w:tc>
          <w:tcPr>
            <w:tcW w:w="1944" w:type="dxa"/>
            <w:tcMar>
              <w:top w:w="70" w:type="dxa"/>
              <w:left w:w="80" w:type="dxa"/>
              <w:bottom w:w="70" w:type="dxa"/>
              <w:right w:w="80" w:type="dxa"/>
            </w:tcMar>
            <w:vAlign w:val="center"/>
          </w:tcPr>
          <w:p w14:paraId="47C95547">
            <w:pPr>
              <w:spacing w:after="0"/>
            </w:pPr>
            <w:r>
              <w:rPr>
                <w:rFonts w:ascii="Arial" w:hAnsi="Arial"/>
                <w:sz w:val="13"/>
              </w:rPr>
              <w:t>Smartwatch/band</w:t>
            </w:r>
          </w:p>
        </w:tc>
        <w:tc>
          <w:tcPr>
            <w:tcW w:w="1944" w:type="dxa"/>
            <w:tcMar>
              <w:top w:w="70" w:type="dxa"/>
              <w:left w:w="80" w:type="dxa"/>
              <w:bottom w:w="70" w:type="dxa"/>
              <w:right w:w="80" w:type="dxa"/>
            </w:tcMar>
            <w:vAlign w:val="center"/>
          </w:tcPr>
          <w:p w14:paraId="11D96B4C">
            <w:pPr>
              <w:spacing w:after="0"/>
            </w:pPr>
            <w:r>
              <w:rPr>
                <w:rFonts w:ascii="Arial" w:hAnsi="Arial"/>
                <w:sz w:val="13"/>
              </w:rPr>
              <w:t>Xiaodu App / DuerOS services</w:t>
            </w:r>
          </w:p>
        </w:tc>
        <w:tc>
          <w:tcPr>
            <w:tcW w:w="1944" w:type="dxa"/>
            <w:tcMar>
              <w:top w:w="70" w:type="dxa"/>
              <w:left w:w="80" w:type="dxa"/>
              <w:bottom w:w="70" w:type="dxa"/>
              <w:right w:w="80" w:type="dxa"/>
            </w:tcMar>
            <w:vAlign w:val="center"/>
          </w:tcPr>
          <w:p w14:paraId="5CF608AA">
            <w:pPr>
              <w:spacing w:after="0"/>
            </w:pPr>
            <w:r>
              <w:rPr>
                <w:rFonts w:ascii="Arial" w:hAnsi="Arial"/>
                <w:sz w:val="13"/>
              </w:rPr>
              <w:t>Shanghai Xiaodu Artificial Intelligence Co., Ltd. and affiliates</w:t>
            </w:r>
          </w:p>
        </w:tc>
        <w:tc>
          <w:tcPr>
            <w:tcW w:w="1944" w:type="dxa"/>
            <w:tcMar>
              <w:top w:w="70" w:type="dxa"/>
              <w:left w:w="80" w:type="dxa"/>
              <w:bottom w:w="70" w:type="dxa"/>
              <w:right w:w="80" w:type="dxa"/>
            </w:tcMar>
            <w:vAlign w:val="center"/>
          </w:tcPr>
          <w:p w14:paraId="65B75B97">
            <w:pPr>
              <w:spacing w:after="0"/>
            </w:pPr>
            <w:r>
              <w:rPr>
                <w:rFonts w:ascii="Arial" w:hAnsi="Arial"/>
                <w:sz w:val="13"/>
              </w:rPr>
              <w:t>Not separately identified in the archived case set</w:t>
            </w:r>
          </w:p>
        </w:tc>
        <w:tc>
          <w:tcPr>
            <w:tcW w:w="1944" w:type="dxa"/>
            <w:tcMar>
              <w:top w:w="70" w:type="dxa"/>
              <w:left w:w="80" w:type="dxa"/>
              <w:bottom w:w="70" w:type="dxa"/>
              <w:right w:w="80" w:type="dxa"/>
            </w:tcMar>
            <w:vAlign w:val="center"/>
          </w:tcPr>
          <w:p w14:paraId="46419708">
            <w:pPr>
              <w:spacing w:after="0"/>
            </w:pPr>
            <w:r>
              <w:rPr>
                <w:rFonts w:ascii="Arial" w:hAnsi="Arial"/>
                <w:sz w:val="13"/>
              </w:rPr>
              <w:t>DuerOS Privacy Policy</w:t>
            </w:r>
          </w:p>
        </w:tc>
        <w:tc>
          <w:tcPr>
            <w:tcW w:w="1944" w:type="dxa"/>
            <w:tcMar>
              <w:top w:w="70" w:type="dxa"/>
              <w:left w:w="80" w:type="dxa"/>
              <w:bottom w:w="70" w:type="dxa"/>
              <w:right w:w="80" w:type="dxa"/>
            </w:tcMar>
            <w:vAlign w:val="center"/>
          </w:tcPr>
          <w:p w14:paraId="5D4BEC50">
            <w:pPr>
              <w:spacing w:after="0"/>
            </w:pPr>
            <w:r>
              <w:rPr>
                <w:rFonts w:ascii="Arial" w:hAnsi="Arial"/>
                <w:sz w:val="13"/>
              </w:rPr>
              <w:t xml:space="preserve">Xiaodu App Third-party Personal Information Sharing List (archived separately)</w:t>
            </w:r>
          </w:p>
        </w:tc>
      </w:tr>
      <w:tr w14:paraId="2763DA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44" w:type="dxa"/>
            <w:shd w:val="clear" w:color="auto" w:fill="EEF4FA"/>
            <w:tcMar>
              <w:top w:w="70" w:type="dxa"/>
              <w:left w:w="80" w:type="dxa"/>
              <w:bottom w:w="70" w:type="dxa"/>
              <w:right w:w="80" w:type="dxa"/>
            </w:tcMar>
            <w:vAlign w:val="center"/>
          </w:tcPr>
          <w:p w14:paraId="09CDC02C">
            <w:pPr>
              <w:spacing w:after="0"/>
            </w:pPr>
            <w:r>
              <w:rPr>
                <w:rFonts w:ascii="Arial" w:hAnsi="Arial"/>
                <w:sz w:val="13"/>
              </w:rPr>
              <w:t>AG14</w:t>
            </w:r>
          </w:p>
        </w:tc>
        <w:tc>
          <w:tcPr>
            <w:tcW w:w="1944" w:type="dxa"/>
            <w:shd w:val="clear" w:color="auto" w:fill="EEF4FA"/>
            <w:tcMar>
              <w:top w:w="70" w:type="dxa"/>
              <w:left w:w="80" w:type="dxa"/>
              <w:bottom w:w="70" w:type="dxa"/>
              <w:right w:w="80" w:type="dxa"/>
            </w:tcMar>
            <w:vAlign w:val="center"/>
          </w:tcPr>
          <w:p w14:paraId="355216B3">
            <w:pPr>
              <w:spacing w:after="0"/>
            </w:pPr>
            <w:r>
              <w:rPr>
                <w:rFonts w:ascii="Arial" w:hAnsi="Arial"/>
                <w:sz w:val="13"/>
              </w:rPr>
              <w:t>Huawei Audio</w:t>
            </w:r>
          </w:p>
        </w:tc>
        <w:tc>
          <w:tcPr>
            <w:tcW w:w="1944" w:type="dxa"/>
            <w:shd w:val="clear" w:color="auto" w:fill="EEF4FA"/>
            <w:tcMar>
              <w:top w:w="70" w:type="dxa"/>
              <w:left w:w="80" w:type="dxa"/>
              <w:bottom w:w="70" w:type="dxa"/>
              <w:right w:w="80" w:type="dxa"/>
            </w:tcMar>
            <w:vAlign w:val="center"/>
          </w:tcPr>
          <w:p w14:paraId="293DAC24">
            <w:pPr>
              <w:spacing w:after="0"/>
            </w:pPr>
            <w:r>
              <w:rPr>
                <w:rFonts w:ascii="Arial" w:hAnsi="Arial"/>
                <w:sz w:val="13"/>
              </w:rPr>
              <w:t>Smart earbuds</w:t>
            </w:r>
          </w:p>
        </w:tc>
        <w:tc>
          <w:tcPr>
            <w:tcW w:w="1944" w:type="dxa"/>
            <w:shd w:val="clear" w:color="auto" w:fill="EEF4FA"/>
            <w:tcMar>
              <w:top w:w="70" w:type="dxa"/>
              <w:left w:w="80" w:type="dxa"/>
              <w:bottom w:w="70" w:type="dxa"/>
              <w:right w:w="80" w:type="dxa"/>
            </w:tcMar>
            <w:vAlign w:val="center"/>
          </w:tcPr>
          <w:p w14:paraId="3E01B61F">
            <w:pPr>
              <w:spacing w:after="0"/>
            </w:pPr>
            <w:r>
              <w:rPr>
                <w:rFonts w:ascii="Arial" w:hAnsi="Arial"/>
                <w:sz w:val="13"/>
              </w:rPr>
              <w:t>Huawei Smart Audio</w:t>
            </w:r>
          </w:p>
        </w:tc>
        <w:tc>
          <w:tcPr>
            <w:tcW w:w="1944" w:type="dxa"/>
            <w:shd w:val="clear" w:color="auto" w:fill="EEF4FA"/>
            <w:tcMar>
              <w:top w:w="70" w:type="dxa"/>
              <w:left w:w="80" w:type="dxa"/>
              <w:bottom w:w="70" w:type="dxa"/>
              <w:right w:w="80" w:type="dxa"/>
            </w:tcMar>
            <w:vAlign w:val="center"/>
          </w:tcPr>
          <w:p w14:paraId="62B4A351">
            <w:pPr>
              <w:spacing w:after="0"/>
            </w:pPr>
            <w:r>
              <w:rPr>
                <w:rFonts w:ascii="Arial" w:hAnsi="Arial"/>
                <w:sz w:val="13"/>
              </w:rPr>
              <w:t>Huawei Software Technologies Co., Ltd.</w:t>
            </w:r>
          </w:p>
        </w:tc>
        <w:tc>
          <w:tcPr>
            <w:tcW w:w="1944" w:type="dxa"/>
            <w:shd w:val="clear" w:color="auto" w:fill="EEF4FA"/>
            <w:tcMar>
              <w:top w:w="70" w:type="dxa"/>
              <w:left w:w="80" w:type="dxa"/>
              <w:bottom w:w="70" w:type="dxa"/>
              <w:right w:w="80" w:type="dxa"/>
            </w:tcMar>
            <w:vAlign w:val="center"/>
          </w:tcPr>
          <w:p w14:paraId="46EA5562">
            <w:pPr>
              <w:spacing w:after="0"/>
            </w:pPr>
            <w:r>
              <w:rPr>
                <w:rFonts w:ascii="Arial" w:hAnsi="Arial"/>
                <w:sz w:val="13"/>
              </w:rPr>
              <w:t>Not separately identified in the archived case set</w:t>
            </w:r>
          </w:p>
        </w:tc>
        <w:tc>
          <w:tcPr>
            <w:tcW w:w="1944" w:type="dxa"/>
            <w:shd w:val="clear" w:color="auto" w:fill="EEF4FA"/>
            <w:tcMar>
              <w:top w:w="70" w:type="dxa"/>
              <w:left w:w="80" w:type="dxa"/>
              <w:bottom w:w="70" w:type="dxa"/>
              <w:right w:w="80" w:type="dxa"/>
            </w:tcMar>
            <w:vAlign w:val="center"/>
          </w:tcPr>
          <w:p w14:paraId="26DA6D37">
            <w:pPr>
              <w:spacing w:after="0"/>
            </w:pPr>
            <w:r>
              <w:rPr>
                <w:rFonts w:ascii="Arial" w:hAnsi="Arial"/>
                <w:sz w:val="13"/>
              </w:rPr>
              <w:t>Huawei Smart Audio Privacy Statement</w:t>
            </w:r>
          </w:p>
        </w:tc>
        <w:tc>
          <w:tcPr>
            <w:tcW w:w="1944" w:type="dxa"/>
            <w:shd w:val="clear" w:color="auto" w:fill="EEF4FA"/>
            <w:tcMar>
              <w:top w:w="70" w:type="dxa"/>
              <w:left w:w="80" w:type="dxa"/>
              <w:bottom w:w="70" w:type="dxa"/>
              <w:right w:w="80" w:type="dxa"/>
            </w:tcMar>
            <w:vAlign w:val="center"/>
          </w:tcPr>
          <w:p w14:paraId="249C9DF1">
            <w:pPr>
              <w:spacing w:after="0"/>
            </w:pPr>
            <w:r>
              <w:rPr>
                <w:rFonts w:ascii="Arial" w:hAnsi="Arial"/>
                <w:sz w:val="13"/>
              </w:rPr>
              <w:t>No third-party information list identified in the archived case set</w:t>
            </w:r>
          </w:p>
        </w:tc>
      </w:tr>
      <w:tr w14:paraId="20E3896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44" w:type="dxa"/>
            <w:tcMar>
              <w:top w:w="70" w:type="dxa"/>
              <w:left w:w="80" w:type="dxa"/>
              <w:bottom w:w="70" w:type="dxa"/>
              <w:right w:w="80" w:type="dxa"/>
            </w:tcMar>
            <w:vAlign w:val="center"/>
          </w:tcPr>
          <w:p w14:paraId="3CC42F4F">
            <w:pPr>
              <w:spacing w:after="0"/>
            </w:pPr>
            <w:r>
              <w:rPr>
                <w:rFonts w:ascii="Arial" w:hAnsi="Arial"/>
                <w:sz w:val="13"/>
              </w:rPr>
              <w:t>AG15</w:t>
            </w:r>
          </w:p>
        </w:tc>
        <w:tc>
          <w:tcPr>
            <w:tcW w:w="1944" w:type="dxa"/>
            <w:tcMar>
              <w:top w:w="70" w:type="dxa"/>
              <w:left w:w="80" w:type="dxa"/>
              <w:bottom w:w="70" w:type="dxa"/>
              <w:right w:w="80" w:type="dxa"/>
            </w:tcMar>
            <w:vAlign w:val="center"/>
          </w:tcPr>
          <w:p w14:paraId="4D57CC9B">
            <w:pPr>
              <w:spacing w:after="0"/>
            </w:pPr>
            <w:r>
              <w:rPr>
                <w:rFonts w:ascii="Arial" w:hAnsi="Arial"/>
                <w:sz w:val="13"/>
              </w:rPr>
              <w:t>Edifier</w:t>
            </w:r>
          </w:p>
        </w:tc>
        <w:tc>
          <w:tcPr>
            <w:tcW w:w="1944" w:type="dxa"/>
            <w:tcMar>
              <w:top w:w="70" w:type="dxa"/>
              <w:left w:w="80" w:type="dxa"/>
              <w:bottom w:w="70" w:type="dxa"/>
              <w:right w:w="80" w:type="dxa"/>
            </w:tcMar>
            <w:vAlign w:val="center"/>
          </w:tcPr>
          <w:p w14:paraId="3C512728">
            <w:pPr>
              <w:spacing w:after="0"/>
            </w:pPr>
            <w:r>
              <w:rPr>
                <w:rFonts w:ascii="Arial" w:hAnsi="Arial"/>
                <w:sz w:val="13"/>
              </w:rPr>
              <w:t>Smart earbuds</w:t>
            </w:r>
          </w:p>
        </w:tc>
        <w:tc>
          <w:tcPr>
            <w:tcW w:w="1944" w:type="dxa"/>
            <w:tcMar>
              <w:top w:w="70" w:type="dxa"/>
              <w:left w:w="80" w:type="dxa"/>
              <w:bottom w:w="70" w:type="dxa"/>
              <w:right w:w="80" w:type="dxa"/>
            </w:tcMar>
            <w:vAlign w:val="center"/>
          </w:tcPr>
          <w:p w14:paraId="10580300">
            <w:pPr>
              <w:spacing w:after="0"/>
            </w:pPr>
            <w:r>
              <w:rPr>
                <w:rFonts w:ascii="Arial" w:hAnsi="Arial"/>
                <w:sz w:val="13"/>
              </w:rPr>
              <w:t>Edifier Connect</w:t>
            </w:r>
          </w:p>
        </w:tc>
        <w:tc>
          <w:tcPr>
            <w:tcW w:w="1944" w:type="dxa"/>
            <w:tcMar>
              <w:top w:w="70" w:type="dxa"/>
              <w:left w:w="80" w:type="dxa"/>
              <w:bottom w:w="70" w:type="dxa"/>
              <w:right w:w="80" w:type="dxa"/>
            </w:tcMar>
            <w:vAlign w:val="center"/>
          </w:tcPr>
          <w:p w14:paraId="1B77C5D5">
            <w:pPr>
              <w:spacing w:after="0"/>
            </w:pPr>
            <w:r>
              <w:rPr>
                <w:rFonts w:ascii="Arial" w:hAnsi="Arial"/>
                <w:sz w:val="13"/>
              </w:rPr>
              <w:t>Beijing Edifier Technology Co., Ltd.</w:t>
            </w:r>
          </w:p>
        </w:tc>
        <w:tc>
          <w:tcPr>
            <w:tcW w:w="1944" w:type="dxa"/>
            <w:tcMar>
              <w:top w:w="70" w:type="dxa"/>
              <w:left w:w="80" w:type="dxa"/>
              <w:bottom w:w="70" w:type="dxa"/>
              <w:right w:w="80" w:type="dxa"/>
            </w:tcMar>
            <w:vAlign w:val="center"/>
          </w:tcPr>
          <w:p w14:paraId="5CED4402">
            <w:pPr>
              <w:spacing w:after="0"/>
            </w:pPr>
            <w:r>
              <w:rPr>
                <w:rFonts w:ascii="Arial" w:hAnsi="Arial"/>
                <w:sz w:val="13"/>
              </w:rPr>
              <w:t>Not separately identified in the archived case set</w:t>
            </w:r>
          </w:p>
        </w:tc>
        <w:tc>
          <w:tcPr>
            <w:tcW w:w="1944" w:type="dxa"/>
            <w:tcMar>
              <w:top w:w="70" w:type="dxa"/>
              <w:left w:w="80" w:type="dxa"/>
              <w:bottom w:w="70" w:type="dxa"/>
              <w:right w:w="80" w:type="dxa"/>
            </w:tcMar>
            <w:vAlign w:val="center"/>
          </w:tcPr>
          <w:p w14:paraId="1556F372">
            <w:pPr>
              <w:spacing w:after="0"/>
            </w:pPr>
            <w:r>
              <w:rPr>
                <w:rFonts w:ascii="Arial" w:hAnsi="Arial"/>
                <w:sz w:val="13"/>
              </w:rPr>
              <w:t>Edifier Connect Privacy Policy</w:t>
            </w:r>
          </w:p>
        </w:tc>
        <w:tc>
          <w:tcPr>
            <w:tcW w:w="1944" w:type="dxa"/>
            <w:tcMar>
              <w:top w:w="70" w:type="dxa"/>
              <w:left w:w="80" w:type="dxa"/>
              <w:bottom w:w="70" w:type="dxa"/>
              <w:right w:w="80" w:type="dxa"/>
            </w:tcMar>
            <w:vAlign w:val="center"/>
          </w:tcPr>
          <w:p w14:paraId="43C61369">
            <w:pPr>
              <w:spacing w:after="0"/>
            </w:pPr>
            <w:r>
              <w:rPr>
                <w:rFonts w:ascii="Arial" w:hAnsi="Arial"/>
                <w:sz w:val="13"/>
              </w:rPr>
              <w:t>SDK disclosures within the policy (WeChat, QQ, Umeng, Baidu Analytics, TBS, Bugly)</w:t>
            </w:r>
          </w:p>
        </w:tc>
      </w:tr>
      <w:tr w14:paraId="47C292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44" w:type="dxa"/>
            <w:shd w:val="clear" w:color="auto" w:fill="EEF4FA"/>
            <w:tcMar>
              <w:top w:w="70" w:type="dxa"/>
              <w:left w:w="80" w:type="dxa"/>
              <w:bottom w:w="70" w:type="dxa"/>
              <w:right w:w="80" w:type="dxa"/>
            </w:tcMar>
            <w:vAlign w:val="center"/>
          </w:tcPr>
          <w:p w14:paraId="541BCBC0">
            <w:pPr>
              <w:spacing w:after="0"/>
            </w:pPr>
            <w:r>
              <w:rPr>
                <w:rFonts w:ascii="Arial" w:hAnsi="Arial"/>
                <w:sz w:val="13"/>
              </w:rPr>
              <w:t>AG16</w:t>
            </w:r>
          </w:p>
        </w:tc>
        <w:tc>
          <w:tcPr>
            <w:tcW w:w="1944" w:type="dxa"/>
            <w:shd w:val="clear" w:color="auto" w:fill="EEF4FA"/>
            <w:tcMar>
              <w:top w:w="70" w:type="dxa"/>
              <w:left w:w="80" w:type="dxa"/>
              <w:bottom w:w="70" w:type="dxa"/>
              <w:right w:w="80" w:type="dxa"/>
            </w:tcMar>
            <w:vAlign w:val="center"/>
          </w:tcPr>
          <w:p>
            <w:r>
              <w:t>Shokzhear</w:t>
            </w:r>
          </w:p>
        </w:tc>
        <w:tc>
          <w:tcPr>
            <w:tcW w:w="1944" w:type="dxa"/>
            <w:shd w:val="clear" w:color="auto" w:fill="EEF4FA"/>
            <w:tcMar>
              <w:top w:w="70" w:type="dxa"/>
              <w:left w:w="80" w:type="dxa"/>
              <w:bottom w:w="70" w:type="dxa"/>
              <w:right w:w="80" w:type="dxa"/>
            </w:tcMar>
            <w:vAlign w:val="center"/>
          </w:tcPr>
          <w:p w14:paraId="2B738E2F">
            <w:pPr>
              <w:spacing w:after="0"/>
            </w:pPr>
            <w:r>
              <w:rPr>
                <w:rFonts w:ascii="Arial" w:hAnsi="Arial"/>
                <w:sz w:val="13"/>
              </w:rPr>
              <w:t>Smart earbuds</w:t>
            </w:r>
          </w:p>
        </w:tc>
        <w:tc>
          <w:tcPr>
            <w:tcW w:w="1944" w:type="dxa"/>
            <w:shd w:val="clear" w:color="auto" w:fill="EEF4FA"/>
            <w:tcMar>
              <w:top w:w="70" w:type="dxa"/>
              <w:left w:w="80" w:type="dxa"/>
              <w:bottom w:w="70" w:type="dxa"/>
              <w:right w:w="80" w:type="dxa"/>
            </w:tcMar>
            <w:vAlign w:val="center"/>
          </w:tcPr>
          <w:p w14:paraId="0B2263B0">
            <w:pPr>
              <w:spacing w:after="0"/>
            </w:pPr>
            <w:r>
              <w:rPr>
                <w:rFonts w:ascii="Arial" w:hAnsi="Arial"/>
                <w:sz w:val="13"/>
              </w:rPr>
              <w:t>Shokz App</w:t>
            </w:r>
          </w:p>
        </w:tc>
        <w:tc>
          <w:tcPr>
            <w:tcW w:w="1944" w:type="dxa"/>
            <w:shd w:val="clear" w:color="auto" w:fill="EEF4FA"/>
            <w:tcMar>
              <w:top w:w="70" w:type="dxa"/>
              <w:left w:w="80" w:type="dxa"/>
              <w:bottom w:w="70" w:type="dxa"/>
              <w:right w:w="80" w:type="dxa"/>
            </w:tcMar>
            <w:vAlign w:val="center"/>
          </w:tcPr>
          <w:p w14:paraId="41571CC5">
            <w:pPr>
              <w:spacing w:after="0"/>
            </w:pPr>
            <w:r>
              <w:rPr>
                <w:rFonts w:ascii="Arial" w:hAnsi="Arial"/>
                <w:sz w:val="13"/>
              </w:rPr>
              <w:t>Shenzhen Shokz Technology Co., Ltd.</w:t>
            </w:r>
          </w:p>
        </w:tc>
        <w:tc>
          <w:tcPr>
            <w:tcW w:w="1944" w:type="dxa"/>
            <w:shd w:val="clear" w:color="auto" w:fill="EEF4FA"/>
            <w:tcMar>
              <w:top w:w="70" w:type="dxa"/>
              <w:left w:w="80" w:type="dxa"/>
              <w:bottom w:w="70" w:type="dxa"/>
              <w:right w:w="80" w:type="dxa"/>
            </w:tcMar>
            <w:vAlign w:val="center"/>
          </w:tcPr>
          <w:p w14:paraId="45F7967F">
            <w:pPr>
              <w:spacing w:after="0"/>
            </w:pPr>
            <w:r>
              <w:rPr>
                <w:rFonts w:ascii="Arial" w:hAnsi="Arial"/>
                <w:sz w:val="13"/>
              </w:rPr>
              <w:t>Not separately identified in the archived case set</w:t>
            </w:r>
          </w:p>
        </w:tc>
        <w:tc>
          <w:tcPr>
            <w:tcW w:w="1944" w:type="dxa"/>
            <w:shd w:val="clear" w:color="auto" w:fill="EEF4FA"/>
            <w:tcMar>
              <w:top w:w="70" w:type="dxa"/>
              <w:left w:w="80" w:type="dxa"/>
              <w:bottom w:w="70" w:type="dxa"/>
              <w:right w:w="80" w:type="dxa"/>
            </w:tcMar>
            <w:vAlign w:val="center"/>
          </w:tcPr>
          <w:p w14:paraId="46555350">
            <w:pPr>
              <w:spacing w:after="0"/>
            </w:pPr>
            <w:r>
              <w:rPr>
                <w:rFonts w:ascii="Arial" w:hAnsi="Arial"/>
                <w:sz w:val="13"/>
              </w:rPr>
              <w:t>Shokz App Privacy Policy</w:t>
            </w:r>
          </w:p>
        </w:tc>
        <w:tc>
          <w:tcPr>
            <w:tcW w:w="1944" w:type="dxa"/>
            <w:shd w:val="clear" w:color="auto" w:fill="EEF4FA"/>
            <w:tcMar>
              <w:top w:w="70" w:type="dxa"/>
              <w:left w:w="80" w:type="dxa"/>
              <w:bottom w:w="70" w:type="dxa"/>
              <w:right w:w="80" w:type="dxa"/>
            </w:tcMar>
            <w:vAlign w:val="center"/>
          </w:tcPr>
          <w:p w14:paraId="526A0159">
            <w:pPr>
              <w:spacing w:after="0"/>
            </w:pPr>
            <w:r>
              <w:rPr>
                <w:rFonts w:ascii="Arial" w:hAnsi="Arial"/>
                <w:sz w:val="13"/>
              </w:rPr>
              <w:t>List of Personal Information Shared with Third Parties is referenced but not separately archived</w:t>
            </w:r>
          </w:p>
        </w:tc>
      </w:tr>
      <w:tr w14:paraId="6A2D5E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44" w:type="dxa"/>
            <w:tcMar>
              <w:top w:w="70" w:type="dxa"/>
              <w:left w:w="80" w:type="dxa"/>
              <w:bottom w:w="70" w:type="dxa"/>
              <w:right w:w="80" w:type="dxa"/>
            </w:tcMar>
            <w:vAlign w:val="center"/>
          </w:tcPr>
          <w:p w14:paraId="0E807938">
            <w:pPr>
              <w:spacing w:after="0"/>
            </w:pPr>
            <w:r>
              <w:rPr>
                <w:rFonts w:ascii="Arial" w:hAnsi="Arial"/>
                <w:sz w:val="13"/>
              </w:rPr>
              <w:t>AG17</w:t>
            </w:r>
          </w:p>
        </w:tc>
        <w:tc>
          <w:tcPr>
            <w:tcW w:w="1944" w:type="dxa"/>
            <w:tcMar>
              <w:top w:w="70" w:type="dxa"/>
              <w:left w:w="80" w:type="dxa"/>
              <w:bottom w:w="70" w:type="dxa"/>
              <w:right w:w="80" w:type="dxa"/>
            </w:tcMar>
            <w:vAlign w:val="center"/>
          </w:tcPr>
          <w:p w14:paraId="71B71270">
            <w:pPr>
              <w:spacing w:after="0"/>
            </w:pPr>
            <w:r>
              <w:rPr>
                <w:rFonts w:ascii="Arial" w:hAnsi="Arial"/>
                <w:sz w:val="13"/>
              </w:rPr>
              <w:t>QCY</w:t>
            </w:r>
          </w:p>
        </w:tc>
        <w:tc>
          <w:tcPr>
            <w:tcW w:w="1944" w:type="dxa"/>
            <w:tcMar>
              <w:top w:w="70" w:type="dxa"/>
              <w:left w:w="80" w:type="dxa"/>
              <w:bottom w:w="70" w:type="dxa"/>
              <w:right w:w="80" w:type="dxa"/>
            </w:tcMar>
            <w:vAlign w:val="center"/>
          </w:tcPr>
          <w:p w14:paraId="174B3C44">
            <w:pPr>
              <w:spacing w:after="0"/>
            </w:pPr>
            <w:r>
              <w:rPr>
                <w:rFonts w:ascii="Arial" w:hAnsi="Arial"/>
                <w:sz w:val="13"/>
              </w:rPr>
              <w:t>Smartwatch/band</w:t>
            </w:r>
          </w:p>
        </w:tc>
        <w:tc>
          <w:tcPr>
            <w:tcW w:w="1944" w:type="dxa"/>
            <w:tcMar>
              <w:top w:w="70" w:type="dxa"/>
              <w:left w:w="80" w:type="dxa"/>
              <w:bottom w:w="70" w:type="dxa"/>
              <w:right w:w="80" w:type="dxa"/>
            </w:tcMar>
            <w:vAlign w:val="center"/>
          </w:tcPr>
          <w:p w14:paraId="3C53ADA2">
            <w:pPr>
              <w:spacing w:after="0"/>
            </w:pPr>
            <w:r>
              <w:rPr>
                <w:rFonts w:ascii="Arial" w:hAnsi="Arial"/>
                <w:sz w:val="13"/>
              </w:rPr>
              <w:t>QCY App</w:t>
            </w:r>
          </w:p>
        </w:tc>
        <w:tc>
          <w:tcPr>
            <w:tcW w:w="1944" w:type="dxa"/>
            <w:tcMar>
              <w:top w:w="70" w:type="dxa"/>
              <w:left w:w="80" w:type="dxa"/>
              <w:bottom w:w="70" w:type="dxa"/>
              <w:right w:w="80" w:type="dxa"/>
            </w:tcMar>
            <w:vAlign w:val="center"/>
          </w:tcPr>
          <w:p w14:paraId="7138EAC7">
            <w:pPr>
              <w:spacing w:after="0"/>
            </w:pPr>
            <w:r>
              <w:rPr>
                <w:rFonts w:ascii="Arial" w:hAnsi="Arial"/>
                <w:sz w:val="13"/>
              </w:rPr>
              <w:t>Dongguan Hele Electronics Co., Ltd. and Guangxi Hesheng Electronics Co., Ltd.</w:t>
            </w:r>
          </w:p>
        </w:tc>
        <w:tc>
          <w:tcPr>
            <w:tcW w:w="1944" w:type="dxa"/>
            <w:tcMar>
              <w:top w:w="70" w:type="dxa"/>
              <w:left w:w="80" w:type="dxa"/>
              <w:bottom w:w="70" w:type="dxa"/>
              <w:right w:w="80" w:type="dxa"/>
            </w:tcMar>
            <w:vAlign w:val="center"/>
          </w:tcPr>
          <w:p w14:paraId="2F93C6B6">
            <w:pPr>
              <w:spacing w:after="0"/>
            </w:pPr>
            <w:r>
              <w:rPr>
                <w:rFonts w:ascii="Arial" w:hAnsi="Arial"/>
                <w:sz w:val="13"/>
              </w:rPr>
              <w:t>Not separately identified in the archived case set</w:t>
            </w:r>
          </w:p>
        </w:tc>
        <w:tc>
          <w:tcPr>
            <w:tcW w:w="1944" w:type="dxa"/>
            <w:tcMar>
              <w:top w:w="70" w:type="dxa"/>
              <w:left w:w="80" w:type="dxa"/>
              <w:bottom w:w="70" w:type="dxa"/>
              <w:right w:w="80" w:type="dxa"/>
            </w:tcMar>
            <w:vAlign w:val="center"/>
          </w:tcPr>
          <w:p w14:paraId="533AF5AE">
            <w:pPr>
              <w:spacing w:after="0"/>
            </w:pPr>
            <w:r>
              <w:rPr>
                <w:rFonts w:ascii="Arial" w:hAnsi="Arial"/>
                <w:sz w:val="13"/>
              </w:rPr>
              <w:t>Privacy Policy</w:t>
            </w:r>
          </w:p>
        </w:tc>
        <w:tc>
          <w:tcPr>
            <w:tcW w:w="1944" w:type="dxa"/>
            <w:tcMar>
              <w:top w:w="70" w:type="dxa"/>
              <w:left w:w="80" w:type="dxa"/>
              <w:bottom w:w="70" w:type="dxa"/>
              <w:right w:w="80" w:type="dxa"/>
            </w:tcMar>
            <w:vAlign w:val="center"/>
          </w:tcPr>
          <w:p w14:paraId="17EFEB95">
            <w:pPr>
              <w:spacing w:after="0"/>
            </w:pPr>
            <w:r>
              <w:rPr>
                <w:rFonts w:ascii="Arial" w:hAnsi="Arial"/>
                <w:sz w:val="13"/>
              </w:rPr>
              <w:t>Third-party SDK list within the policy</w:t>
            </w:r>
          </w:p>
        </w:tc>
      </w:tr>
      <w:tr w14:paraId="021BCB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44" w:type="dxa"/>
            <w:shd w:val="clear" w:color="auto" w:fill="EEF4FA"/>
            <w:tcMar>
              <w:top w:w="70" w:type="dxa"/>
              <w:left w:w="80" w:type="dxa"/>
              <w:bottom w:w="70" w:type="dxa"/>
              <w:right w:w="80" w:type="dxa"/>
            </w:tcMar>
            <w:vAlign w:val="center"/>
          </w:tcPr>
          <w:p w14:paraId="699567B0">
            <w:pPr>
              <w:spacing w:after="0"/>
            </w:pPr>
            <w:r>
              <w:rPr>
                <w:rFonts w:ascii="Arial" w:hAnsi="Arial"/>
                <w:sz w:val="13"/>
              </w:rPr>
              <w:t>AG18</w:t>
            </w:r>
          </w:p>
        </w:tc>
        <w:tc>
          <w:tcPr>
            <w:tcW w:w="1944" w:type="dxa"/>
            <w:shd w:val="clear" w:color="auto" w:fill="EEF4FA"/>
            <w:tcMar>
              <w:top w:w="70" w:type="dxa"/>
              <w:left w:w="80" w:type="dxa"/>
              <w:bottom w:w="70" w:type="dxa"/>
              <w:right w:w="80" w:type="dxa"/>
            </w:tcMar>
            <w:vAlign w:val="center"/>
          </w:tcPr>
          <w:p w14:paraId="23B7B32A">
            <w:pPr>
              <w:spacing w:after="0"/>
            </w:pPr>
            <w:r>
              <w:rPr>
                <w:rFonts w:ascii="Arial" w:hAnsi="Arial"/>
                <w:sz w:val="13"/>
              </w:rPr>
              <w:t>EARWEISS</w:t>
            </w:r>
          </w:p>
        </w:tc>
        <w:tc>
          <w:tcPr>
            <w:tcW w:w="1944" w:type="dxa"/>
            <w:shd w:val="clear" w:color="auto" w:fill="EEF4FA"/>
            <w:tcMar>
              <w:top w:w="70" w:type="dxa"/>
              <w:left w:w="80" w:type="dxa"/>
              <w:bottom w:w="70" w:type="dxa"/>
              <w:right w:w="80" w:type="dxa"/>
            </w:tcMar>
            <w:vAlign w:val="center"/>
          </w:tcPr>
          <w:p w14:paraId="59611F22">
            <w:pPr>
              <w:spacing w:after="0"/>
            </w:pPr>
            <w:r>
              <w:rPr>
                <w:rFonts w:ascii="Arial" w:hAnsi="Arial"/>
                <w:sz w:val="13"/>
              </w:rPr>
              <w:t>Smart earbuds</w:t>
            </w:r>
          </w:p>
        </w:tc>
        <w:tc>
          <w:tcPr>
            <w:tcW w:w="1944" w:type="dxa"/>
            <w:shd w:val="clear" w:color="auto" w:fill="EEF4FA"/>
            <w:tcMar>
              <w:top w:w="70" w:type="dxa"/>
              <w:left w:w="80" w:type="dxa"/>
              <w:bottom w:w="70" w:type="dxa"/>
              <w:right w:w="80" w:type="dxa"/>
            </w:tcMar>
            <w:vAlign w:val="center"/>
          </w:tcPr>
          <w:p w14:paraId="7DF44320">
            <w:pPr>
              <w:spacing w:after="0"/>
            </w:pPr>
            <w:r>
              <w:rPr>
                <w:rFonts w:ascii="Arial" w:hAnsi="Arial"/>
                <w:sz w:val="13"/>
              </w:rPr>
              <w:t>Tingzhihui Earbuds App</w:t>
            </w:r>
          </w:p>
        </w:tc>
        <w:tc>
          <w:tcPr>
            <w:tcW w:w="1944" w:type="dxa"/>
            <w:shd w:val="clear" w:color="auto" w:fill="EEF4FA"/>
            <w:tcMar>
              <w:top w:w="70" w:type="dxa"/>
              <w:left w:w="80" w:type="dxa"/>
              <w:bottom w:w="70" w:type="dxa"/>
              <w:right w:w="80" w:type="dxa"/>
            </w:tcMar>
            <w:vAlign w:val="center"/>
          </w:tcPr>
          <w:p w14:paraId="1EC0126C">
            <w:pPr>
              <w:spacing w:after="0"/>
            </w:pPr>
            <w:r>
              <w:rPr>
                <w:rFonts w:ascii="Arial" w:hAnsi="Arial"/>
                <w:sz w:val="13"/>
              </w:rPr>
              <w:t>Tingzhihui (Nanjing) Technology Co., Ltd.</w:t>
            </w:r>
          </w:p>
        </w:tc>
        <w:tc>
          <w:tcPr>
            <w:tcW w:w="1944" w:type="dxa"/>
            <w:shd w:val="clear" w:color="auto" w:fill="EEF4FA"/>
            <w:tcMar>
              <w:top w:w="70" w:type="dxa"/>
              <w:left w:w="80" w:type="dxa"/>
              <w:bottom w:w="70" w:type="dxa"/>
              <w:right w:w="80" w:type="dxa"/>
            </w:tcMar>
            <w:vAlign w:val="center"/>
          </w:tcPr>
          <w:p w14:paraId="498F6D02">
            <w:pPr>
              <w:spacing w:after="0"/>
            </w:pPr>
            <w:r>
              <w:rPr>
                <w:rFonts w:ascii="Arial" w:hAnsi="Arial"/>
                <w:sz w:val="13"/>
              </w:rPr>
              <w:t>Not separately identified in the archived case set</w:t>
            </w:r>
          </w:p>
        </w:tc>
        <w:tc>
          <w:tcPr>
            <w:tcW w:w="1944" w:type="dxa"/>
            <w:shd w:val="clear" w:color="auto" w:fill="EEF4FA"/>
            <w:tcMar>
              <w:top w:w="70" w:type="dxa"/>
              <w:left w:w="80" w:type="dxa"/>
              <w:bottom w:w="70" w:type="dxa"/>
              <w:right w:w="80" w:type="dxa"/>
            </w:tcMar>
            <w:vAlign w:val="center"/>
          </w:tcPr>
          <w:p w14:paraId="1E55D346">
            <w:pPr>
              <w:spacing w:after="0"/>
            </w:pPr>
            <w:r>
              <w:rPr>
                <w:rFonts w:ascii="Arial" w:hAnsi="Arial"/>
                <w:sz w:val="13"/>
              </w:rPr>
              <w:t>Privacy Policy</w:t>
            </w:r>
          </w:p>
        </w:tc>
        <w:tc>
          <w:tcPr>
            <w:tcW w:w="1944" w:type="dxa"/>
            <w:shd w:val="clear" w:color="auto" w:fill="EEF4FA"/>
            <w:tcMar>
              <w:top w:w="70" w:type="dxa"/>
              <w:left w:w="80" w:type="dxa"/>
              <w:bottom w:w="70" w:type="dxa"/>
              <w:right w:w="80" w:type="dxa"/>
            </w:tcMar>
            <w:vAlign w:val="center"/>
          </w:tcPr>
          <w:p w14:paraId="5D96ED55">
            <w:pPr>
              <w:spacing w:after="0"/>
            </w:pPr>
            <w:r>
              <w:rPr>
                <w:rFonts w:ascii="Arial" w:hAnsi="Arial"/>
                <w:sz w:val="13"/>
              </w:rPr>
              <w:t>Third-party SDK list within the policy</w:t>
            </w:r>
          </w:p>
        </w:tc>
      </w:tr>
    </w:tbl>
    <w:p w14:paraId="7F6CA6C2">
      <w:pPr>
        <w:pStyle w:val="2"/>
      </w:pPr>
      <w:r>
        <w:t>3 Version source archive and independence</w:t>
      </w:r>
    </w:p>
    <w:tbl>
      <w:tblPr>
        <w:tblStyle w:val="19"/>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437"/>
        <w:gridCol w:w="1068"/>
        <w:gridCol w:w="539"/>
        <w:gridCol w:w="600"/>
        <w:gridCol w:w="4248"/>
        <w:gridCol w:w="3112"/>
        <w:gridCol w:w="3521"/>
        <w:gridCol w:w="1032"/>
        <w:gridCol w:w="985"/>
      </w:tblGrid>
      <w:tr w14:paraId="031C5FE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jc w:val="center"/>
        </w:trPr>
        <w:tc>
          <w:tcPr>
            <w:tcW w:w="504" w:type="dxa"/>
            <w:shd w:val="clear" w:color="auto" w:fill="1F4E78"/>
            <w:tcMar>
              <w:top w:w="70" w:type="dxa"/>
              <w:left w:w="80" w:type="dxa"/>
              <w:bottom w:w="70" w:type="dxa"/>
              <w:right w:w="80" w:type="dxa"/>
            </w:tcMar>
            <w:vAlign w:val="center"/>
          </w:tcPr>
          <w:p w14:paraId="06464D21">
            <w:pPr>
              <w:spacing w:after="0"/>
            </w:pPr>
            <w:r>
              <w:rPr>
                <w:rFonts w:ascii="Arial" w:hAnsi="Arial"/>
                <w:b/>
                <w:color w:val="FFFFFF"/>
                <w:sz w:val="12"/>
              </w:rPr>
              <w:t>Case</w:t>
            </w:r>
          </w:p>
        </w:tc>
        <w:tc>
          <w:tcPr>
            <w:tcW w:w="1080" w:type="dxa"/>
            <w:shd w:val="clear" w:color="auto" w:fill="1F4E78"/>
            <w:tcMar>
              <w:top w:w="70" w:type="dxa"/>
              <w:left w:w="80" w:type="dxa"/>
              <w:bottom w:w="70" w:type="dxa"/>
              <w:right w:w="80" w:type="dxa"/>
            </w:tcMar>
            <w:vAlign w:val="center"/>
          </w:tcPr>
          <w:p w14:paraId="52099D90">
            <w:pPr>
              <w:spacing w:after="0"/>
            </w:pPr>
            <w:r>
              <w:rPr>
                <w:rFonts w:ascii="Arial" w:hAnsi="Arial"/>
                <w:b/>
                <w:color w:val="FFFFFF"/>
                <w:sz w:val="12"/>
              </w:rPr>
              <w:t>Version / effective date</w:t>
            </w:r>
          </w:p>
        </w:tc>
        <w:tc>
          <w:tcPr>
            <w:tcW w:w="792" w:type="dxa"/>
            <w:shd w:val="clear" w:color="auto" w:fill="1F4E78"/>
            <w:tcMar>
              <w:top w:w="70" w:type="dxa"/>
              <w:left w:w="80" w:type="dxa"/>
              <w:bottom w:w="70" w:type="dxa"/>
              <w:right w:w="80" w:type="dxa"/>
            </w:tcMar>
            <w:vAlign w:val="center"/>
          </w:tcPr>
          <w:p w14:paraId="55EE8E74">
            <w:pPr>
              <w:spacing w:after="0"/>
            </w:pPr>
            <w:r>
              <w:rPr>
                <w:rFonts w:ascii="Arial" w:hAnsi="Arial"/>
                <w:b/>
                <w:color w:val="FFFFFF"/>
                <w:sz w:val="12"/>
              </w:rPr>
              <w:t>Access date</w:t>
            </w:r>
          </w:p>
        </w:tc>
        <w:tc>
          <w:tcPr>
            <w:tcW w:w="864" w:type="dxa"/>
            <w:shd w:val="clear" w:color="auto" w:fill="1F4E78"/>
            <w:tcMar>
              <w:top w:w="70" w:type="dxa"/>
              <w:left w:w="80" w:type="dxa"/>
              <w:bottom w:w="70" w:type="dxa"/>
              <w:right w:w="80" w:type="dxa"/>
            </w:tcMar>
            <w:vAlign w:val="center"/>
          </w:tcPr>
          <w:p w14:paraId="3BDBDC9F">
            <w:pPr>
              <w:spacing w:after="0"/>
            </w:pPr>
            <w:r>
              <w:rPr>
                <w:rFonts w:ascii="Arial" w:hAnsi="Arial"/>
                <w:b/>
                <w:color w:val="FFFFFF"/>
                <w:sz w:val="12"/>
              </w:rPr>
              <w:t>Channel</w:t>
            </w:r>
          </w:p>
        </w:tc>
        <w:tc>
          <w:tcPr>
            <w:tcW w:w="3384" w:type="dxa"/>
            <w:shd w:val="clear" w:color="auto" w:fill="1F4E78"/>
            <w:tcMar>
              <w:top w:w="70" w:type="dxa"/>
              <w:left w:w="80" w:type="dxa"/>
              <w:bottom w:w="70" w:type="dxa"/>
              <w:right w:w="80" w:type="dxa"/>
            </w:tcMar>
            <w:vAlign w:val="center"/>
          </w:tcPr>
          <w:p w14:paraId="7CAB897D">
            <w:pPr>
              <w:spacing w:after="0"/>
            </w:pPr>
            <w:r>
              <w:rPr>
                <w:rFonts w:ascii="Arial" w:hAnsi="Arial"/>
                <w:b/>
                <w:color w:val="FFFFFF"/>
                <w:sz w:val="12"/>
              </w:rPr>
              <w:t>Source</w:t>
            </w:r>
          </w:p>
        </w:tc>
        <w:tc>
          <w:tcPr>
            <w:tcW w:w="2880" w:type="dxa"/>
            <w:shd w:val="clear" w:color="auto" w:fill="1F4E78"/>
            <w:tcMar>
              <w:top w:w="70" w:type="dxa"/>
              <w:left w:w="80" w:type="dxa"/>
              <w:bottom w:w="70" w:type="dxa"/>
              <w:right w:w="80" w:type="dxa"/>
            </w:tcMar>
            <w:vAlign w:val="center"/>
          </w:tcPr>
          <w:p w14:paraId="5BC6766C">
            <w:pPr>
              <w:spacing w:after="0"/>
            </w:pPr>
            <w:r>
              <w:rPr>
                <w:rFonts w:ascii="Arial" w:hAnsi="Arial"/>
                <w:b/>
                <w:color w:val="FFFFFF"/>
                <w:sz w:val="12"/>
              </w:rPr>
              <w:t>Archived text</w:t>
            </w:r>
          </w:p>
        </w:tc>
        <w:tc>
          <w:tcPr>
            <w:tcW w:w="3096" w:type="dxa"/>
            <w:shd w:val="clear" w:color="auto" w:fill="1F4E78"/>
            <w:tcMar>
              <w:top w:w="70" w:type="dxa"/>
              <w:left w:w="80" w:type="dxa"/>
              <w:bottom w:w="70" w:type="dxa"/>
              <w:right w:w="80" w:type="dxa"/>
            </w:tcMar>
            <w:vAlign w:val="center"/>
          </w:tcPr>
          <w:p w14:paraId="67B9EA5E">
            <w:pPr>
              <w:spacing w:after="0"/>
            </w:pPr>
            <w:r>
              <w:rPr>
                <w:rFonts w:ascii="Arial" w:hAnsi="Arial"/>
                <w:b/>
                <w:color w:val="FFFFFF"/>
                <w:sz w:val="12"/>
              </w:rPr>
              <w:t>Original source</w:t>
            </w:r>
          </w:p>
        </w:tc>
        <w:tc>
          <w:tcPr>
            <w:tcW w:w="1152" w:type="dxa"/>
            <w:shd w:val="clear" w:color="auto" w:fill="1F4E78"/>
            <w:tcMar>
              <w:top w:w="70" w:type="dxa"/>
              <w:left w:w="80" w:type="dxa"/>
              <w:bottom w:w="70" w:type="dxa"/>
              <w:right w:w="80" w:type="dxa"/>
            </w:tcMar>
            <w:vAlign w:val="center"/>
          </w:tcPr>
          <w:p w14:paraId="62610FE2">
            <w:pPr>
              <w:spacing w:after="0"/>
            </w:pPr>
            <w:r>
              <w:rPr>
                <w:rFonts w:ascii="Arial" w:hAnsi="Arial"/>
                <w:b/>
                <w:color w:val="FFFFFF"/>
                <w:sz w:val="12"/>
              </w:rPr>
              <w:t>Other sampled devices</w:t>
            </w:r>
          </w:p>
        </w:tc>
        <w:tc>
          <w:tcPr>
            <w:tcW w:w="1296" w:type="dxa"/>
            <w:shd w:val="clear" w:color="auto" w:fill="1F4E78"/>
            <w:tcMar>
              <w:top w:w="70" w:type="dxa"/>
              <w:left w:w="80" w:type="dxa"/>
              <w:bottom w:w="70" w:type="dxa"/>
              <w:right w:w="80" w:type="dxa"/>
            </w:tcMar>
            <w:vAlign w:val="center"/>
          </w:tcPr>
          <w:p w14:paraId="40AB34FB">
            <w:pPr>
              <w:spacing w:after="0"/>
            </w:pPr>
            <w:r>
              <w:rPr>
                <w:rFonts w:ascii="Arial" w:hAnsi="Arial"/>
                <w:b/>
                <w:color w:val="FFFFFF"/>
                <w:sz w:val="12"/>
              </w:rPr>
              <w:t>Independence rationale</w:t>
            </w:r>
          </w:p>
        </w:tc>
      </w:tr>
      <w:tr w14:paraId="10019E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504" w:type="dxa"/>
            <w:tcMar>
              <w:top w:w="70" w:type="dxa"/>
              <w:left w:w="80" w:type="dxa"/>
              <w:bottom w:w="70" w:type="dxa"/>
              <w:right w:w="80" w:type="dxa"/>
            </w:tcMar>
            <w:vAlign w:val="center"/>
          </w:tcPr>
          <w:p w14:paraId="72979E71">
            <w:pPr>
              <w:spacing w:after="0"/>
            </w:pPr>
            <w:r>
              <w:rPr>
                <w:rFonts w:ascii="Arial" w:hAnsi="Arial"/>
                <w:sz w:val="12"/>
              </w:rPr>
              <w:t>AG1</w:t>
            </w:r>
          </w:p>
        </w:tc>
        <w:tc>
          <w:tcPr>
            <w:tcW w:w="1080" w:type="dxa"/>
            <w:tcMar>
              <w:top w:w="70" w:type="dxa"/>
              <w:left w:w="80" w:type="dxa"/>
              <w:bottom w:w="70" w:type="dxa"/>
              <w:right w:w="80" w:type="dxa"/>
            </w:tcMar>
            <w:vAlign w:val="center"/>
          </w:tcPr>
          <w:p w14:paraId="3DA6557B">
            <w:pPr>
              <w:spacing w:after="0"/>
            </w:pPr>
            <w:r>
              <w:rPr>
                <w:rFonts w:ascii="Arial" w:hAnsi="Arial"/>
                <w:sz w:val="12"/>
              </w:rPr>
              <w:t>11 August 2025</w:t>
            </w:r>
          </w:p>
        </w:tc>
        <w:tc>
          <w:tcPr>
            <w:tcW w:w="792" w:type="dxa"/>
            <w:tcMar>
              <w:top w:w="70" w:type="dxa"/>
              <w:left w:w="80" w:type="dxa"/>
              <w:bottom w:w="70" w:type="dxa"/>
              <w:right w:w="80" w:type="dxa"/>
            </w:tcMar>
            <w:vAlign w:val="center"/>
          </w:tcPr>
          <w:p w14:paraId="312A26D4">
            <w:pPr>
              <w:spacing w:after="0"/>
            </w:pPr>
            <w:r>
              <w:rPr>
                <w:rFonts w:ascii="Arial" w:hAnsi="Arial"/>
                <w:sz w:val="12"/>
              </w:rPr>
              <w:t>5 August 2026</w:t>
            </w:r>
          </w:p>
        </w:tc>
        <w:tc>
          <w:tcPr>
            <w:tcW w:w="864" w:type="dxa"/>
            <w:tcMar>
              <w:top w:w="70" w:type="dxa"/>
              <w:left w:w="80" w:type="dxa"/>
              <w:bottom w:w="70" w:type="dxa"/>
              <w:right w:w="80" w:type="dxa"/>
            </w:tcMar>
            <w:vAlign w:val="center"/>
          </w:tcPr>
          <w:p>
            <w:r>
              <w:t>Official webpage</w:t>
            </w:r>
          </w:p>
        </w:tc>
        <w:tc>
          <w:tcPr>
            <w:tcW w:w="3384" w:type="dxa"/>
            <w:tcMar>
              <w:top w:w="70" w:type="dxa"/>
              <w:left w:w="80" w:type="dxa"/>
              <w:bottom w:w="70" w:type="dxa"/>
              <w:right w:w="80" w:type="dxa"/>
            </w:tcMar>
            <w:vAlign w:val="center"/>
          </w:tcPr>
          <w:p>
            <w:r>
              <w:t>https://privacy-drcn.dbankcdn.cn/agreement/scope/huawei/health/privacy-statement/cn_b0_20250820_0/default/privacy-statement-zh-cn.htm</w:t>
            </w:r>
          </w:p>
        </w:tc>
        <w:tc>
          <w:tcPr>
            <w:tcW w:w="2880" w:type="dxa"/>
            <w:tcMar>
              <w:top w:w="70" w:type="dxa"/>
              <w:left w:w="80" w:type="dxa"/>
              <w:bottom w:w="70" w:type="dxa"/>
              <w:right w:w="80" w:type="dxa"/>
            </w:tcMar>
            <w:vAlign w:val="center"/>
          </w:tcPr>
          <w:p w14:paraId="472773EB">
            <w:pPr>
              <w:spacing w:after="0"/>
            </w:pPr>
            <w:r>
              <w:rPr>
                <w:rFonts w:ascii="Arial" w:hAnsi="Arial"/>
                <w:sz w:val="12"/>
              </w:rPr>
              <w:t xml:space="preserve">01_markdown_texts/AG01_Huawei_privacy_policy.md; 03_supporting_attachments/02_markdown_texts/AG01_Huawei_Account_Privacy_Statement.md; 03_supporting_attachments/02_markdown_texts/AG01_Huawei_Health_App_Privacy_Summary.md; 03_supporting_attachments/02_markdown_texts/AG01_Huawei_Health_Data_Synchronization_Privacy_Statement.md; 03_supporting_attachments/02_markdown_texts/AG01_Huawei_Health_Privacy_Statement.md; 03_supporting_attachments/02_markdown_texts/AG01_Huawei_Third_Party_Information_Sharing_List.md</w:t>
            </w:r>
          </w:p>
        </w:tc>
        <w:tc>
          <w:tcPr>
            <w:tcW w:w="3096" w:type="dxa"/>
            <w:tcMar>
              <w:top w:w="70" w:type="dxa"/>
              <w:left w:w="80" w:type="dxa"/>
              <w:bottom w:w="70" w:type="dxa"/>
              <w:right w:w="80" w:type="dxa"/>
            </w:tcMar>
            <w:vAlign w:val="center"/>
          </w:tcPr>
          <w:p w14:paraId="4F96D5D0">
            <w:pPr>
              <w:spacing w:after="0"/>
            </w:pPr>
            <w:r>
              <w:rPr>
                <w:rFonts w:ascii="Arial" w:hAnsi="Arial"/>
                <w:sz w:val="12"/>
              </w:rPr>
              <w:t xml:space="preserve">02_original_policy_files/AG01_Huawei_source_document.docx; 03_supporting_attachments/01_original_files/AG01_Huawei_Account_Privacy_Statement.pdf; 03_supporting_attachments/01_original_files/AG01_Huawei_Health_App_Privacy_Summary.pdf; 03_supporting_attachments/01_original_files/AG01_Huawei_Health_Data_Synchronization_Privacy_Statement.pdf; 03_supporting_attachments/01_original_files/AG01_Huawei_Health_Privacy_Statement.pdf; 03_supporting_attachments/01_original_files/AG01_Huawei_Third_Party_Information_Sharing_List.pdf</w:t>
            </w:r>
          </w:p>
        </w:tc>
        <w:tc>
          <w:tcPr>
            <w:tcW w:w="1152" w:type="dxa"/>
            <w:tcMar>
              <w:top w:w="70" w:type="dxa"/>
              <w:left w:w="80" w:type="dxa"/>
              <w:bottom w:w="70" w:type="dxa"/>
              <w:right w:w="80" w:type="dxa"/>
            </w:tcMar>
            <w:vAlign w:val="center"/>
          </w:tcPr>
          <w:p w14:paraId="6895656D">
            <w:pPr>
              <w:spacing w:after="0"/>
            </w:pPr>
            <w:r>
              <w:rPr>
                <w:rFonts w:ascii="Arial" w:hAnsi="Arial"/>
                <w:sz w:val="12"/>
              </w:rPr>
              <w:t>May govern multiple Huawei Health-compatible watch/band models; no other sampled case uses this document</w:t>
            </w:r>
          </w:p>
        </w:tc>
        <w:tc>
          <w:tcPr>
            <w:tcW w:w="1296" w:type="dxa"/>
            <w:tcMar>
              <w:top w:w="70" w:type="dxa"/>
              <w:left w:w="80" w:type="dxa"/>
              <w:bottom w:w="70" w:type="dxa"/>
              <w:right w:w="80" w:type="dxa"/>
            </w:tcMar>
            <w:vAlign w:val="center"/>
          </w:tcPr>
          <w:p w14:paraId="4660F0C5">
            <w:pPr>
              <w:spacing w:after="0"/>
            </w:pPr>
            <w:r>
              <w:rPr>
                <w:rFonts w:ascii="Arial" w:hAnsi="Arial"/>
                <w:sz w:val="12"/>
              </w:rPr>
              <w:t>One document set is counted once within the smartwatch/band category; AG14 uses a different audio-device document.</w:t>
            </w:r>
          </w:p>
        </w:tc>
      </w:tr>
      <w:tr w14:paraId="542555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504" w:type="dxa"/>
            <w:shd w:val="clear" w:color="auto" w:fill="EEF4FA"/>
            <w:tcMar>
              <w:top w:w="70" w:type="dxa"/>
              <w:left w:w="80" w:type="dxa"/>
              <w:bottom w:w="70" w:type="dxa"/>
              <w:right w:w="80" w:type="dxa"/>
            </w:tcMar>
            <w:vAlign w:val="center"/>
          </w:tcPr>
          <w:p w14:paraId="291DA0FA">
            <w:pPr>
              <w:spacing w:after="0"/>
            </w:pPr>
            <w:r>
              <w:rPr>
                <w:rFonts w:ascii="Arial" w:hAnsi="Arial"/>
                <w:sz w:val="12"/>
              </w:rPr>
              <w:t>AG2</w:t>
            </w:r>
          </w:p>
        </w:tc>
        <w:tc>
          <w:tcPr>
            <w:tcW w:w="1080" w:type="dxa"/>
            <w:shd w:val="clear" w:color="auto" w:fill="EEF4FA"/>
            <w:tcMar>
              <w:top w:w="70" w:type="dxa"/>
              <w:left w:w="80" w:type="dxa"/>
              <w:bottom w:w="70" w:type="dxa"/>
              <w:right w:w="80" w:type="dxa"/>
            </w:tcMar>
            <w:vAlign w:val="center"/>
          </w:tcPr>
          <w:p w14:paraId="70B569FD">
            <w:pPr>
              <w:spacing w:after="0"/>
            </w:pPr>
            <w:r>
              <w:rPr>
                <w:rFonts w:ascii="Arial" w:hAnsi="Arial"/>
                <w:sz w:val="12"/>
              </w:rPr>
              <w:t>14 May 2026</w:t>
            </w:r>
          </w:p>
        </w:tc>
        <w:tc>
          <w:tcPr>
            <w:tcW w:w="792" w:type="dxa"/>
            <w:shd w:val="clear" w:color="auto" w:fill="EEF4FA"/>
            <w:tcMar>
              <w:top w:w="70" w:type="dxa"/>
              <w:left w:w="80" w:type="dxa"/>
              <w:bottom w:w="70" w:type="dxa"/>
              <w:right w:w="80" w:type="dxa"/>
            </w:tcMar>
            <w:vAlign w:val="center"/>
          </w:tcPr>
          <w:p w14:paraId="7AB00093">
            <w:pPr>
              <w:spacing w:after="0"/>
            </w:pPr>
            <w:r>
              <w:rPr>
                <w:rFonts w:ascii="Arial" w:hAnsi="Arial"/>
                <w:sz w:val="12"/>
              </w:rPr>
              <w:t>5 August 2026</w:t>
            </w:r>
          </w:p>
        </w:tc>
        <w:tc>
          <w:tcPr>
            <w:tcW w:w="864" w:type="dxa"/>
            <w:shd w:val="clear" w:color="auto" w:fill="EEF4FA"/>
            <w:tcMar>
              <w:top w:w="70" w:type="dxa"/>
              <w:left w:w="80" w:type="dxa"/>
              <w:bottom w:w="70" w:type="dxa"/>
              <w:right w:w="80" w:type="dxa"/>
            </w:tcMar>
            <w:vAlign w:val="center"/>
          </w:tcPr>
          <w:p>
            <w:r>
              <w:t>Official webpage</w:t>
            </w:r>
          </w:p>
        </w:tc>
        <w:tc>
          <w:tcPr>
            <w:tcW w:w="3384" w:type="dxa"/>
            <w:shd w:val="clear" w:color="auto" w:fill="EEF4FA"/>
            <w:tcMar>
              <w:top w:w="70" w:type="dxa"/>
              <w:left w:w="80" w:type="dxa"/>
              <w:bottom w:w="70" w:type="dxa"/>
              <w:right w:w="80" w:type="dxa"/>
            </w:tcMar>
            <w:vAlign w:val="center"/>
          </w:tcPr>
          <w:p>
            <w:r>
              <w:t>https://watch.iot.mi.com/html/privacy/index.html?model=app</w:t>
            </w:r>
          </w:p>
        </w:tc>
        <w:tc>
          <w:tcPr>
            <w:tcW w:w="2880" w:type="dxa"/>
            <w:shd w:val="clear" w:color="auto" w:fill="EEF4FA"/>
            <w:tcMar>
              <w:top w:w="70" w:type="dxa"/>
              <w:left w:w="80" w:type="dxa"/>
              <w:bottom w:w="70" w:type="dxa"/>
              <w:right w:w="80" w:type="dxa"/>
            </w:tcMar>
            <w:vAlign w:val="center"/>
          </w:tcPr>
          <w:p w14:paraId="06C7B198">
            <w:pPr>
              <w:spacing w:after="0"/>
            </w:pPr>
            <w:r>
              <w:rPr>
                <w:rFonts w:ascii="Arial" w:hAnsi="Arial"/>
                <w:sz w:val="12"/>
              </w:rPr>
              <w:t xml:space="preserve">01_markdown_texts/AG02_Xiaomi_privacy_policy.md; 03_supporting_attachments/02_markdown_texts/AG02_Xiaomi_Third_Party_Information_Sharing_List.md</w:t>
            </w:r>
          </w:p>
        </w:tc>
        <w:tc>
          <w:tcPr>
            <w:tcW w:w="3096" w:type="dxa"/>
            <w:shd w:val="clear" w:color="auto" w:fill="EEF4FA"/>
            <w:tcMar>
              <w:top w:w="70" w:type="dxa"/>
              <w:left w:w="80" w:type="dxa"/>
              <w:bottom w:w="70" w:type="dxa"/>
              <w:right w:w="80" w:type="dxa"/>
            </w:tcMar>
            <w:vAlign w:val="center"/>
          </w:tcPr>
          <w:p w14:paraId="35F4D4E2">
            <w:pPr>
              <w:spacing w:after="0"/>
            </w:pPr>
            <w:r>
              <w:rPr>
                <w:rFonts w:ascii="Arial" w:hAnsi="Arial"/>
                <w:sz w:val="12"/>
              </w:rPr>
              <w:t xml:space="preserve">02_original_policy_files/AG02_Xiaomi_source_document.docx; 03_supporting_attachments/01_original_files/AG02_Xiaomi_Third_Party_Information_Sharing_List.pdf</w:t>
            </w:r>
          </w:p>
        </w:tc>
        <w:tc>
          <w:tcPr>
            <w:tcW w:w="1152" w:type="dxa"/>
            <w:shd w:val="clear" w:color="auto" w:fill="EEF4FA"/>
            <w:tcMar>
              <w:top w:w="70" w:type="dxa"/>
              <w:left w:w="80" w:type="dxa"/>
              <w:bottom w:w="70" w:type="dxa"/>
              <w:right w:w="80" w:type="dxa"/>
            </w:tcMar>
            <w:vAlign w:val="center"/>
          </w:tcPr>
          <w:p w14:paraId="0C97B294">
            <w:pPr>
              <w:spacing w:after="0"/>
            </w:pPr>
            <w:r>
              <w:rPr>
                <w:rFonts w:ascii="Arial" w:hAnsi="Arial"/>
                <w:sz w:val="12"/>
              </w:rPr>
              <w:t>May govern multiple compatible wearable models; no other sampled case uses this document</w:t>
            </w:r>
          </w:p>
        </w:tc>
        <w:tc>
          <w:tcPr>
            <w:tcW w:w="1296" w:type="dxa"/>
            <w:shd w:val="clear" w:color="auto" w:fill="EEF4FA"/>
            <w:tcMar>
              <w:top w:w="70" w:type="dxa"/>
              <w:left w:w="80" w:type="dxa"/>
              <w:bottom w:w="70" w:type="dxa"/>
              <w:right w:w="80" w:type="dxa"/>
            </w:tcMar>
            <w:vAlign w:val="center"/>
          </w:tcPr>
          <w:p w14:paraId="32AA8E64">
            <w:pPr>
              <w:spacing w:after="0"/>
            </w:pPr>
            <w:r>
              <w:rPr>
                <w:rFonts w:ascii="Arial" w:hAnsi="Arial"/>
                <w:sz w:val="12"/>
              </w:rPr>
              <w:t>The shared policy is represented once as AG2.</w:t>
            </w:r>
          </w:p>
        </w:tc>
      </w:tr>
      <w:tr w14:paraId="14F1C0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504" w:type="dxa"/>
            <w:tcMar>
              <w:top w:w="70" w:type="dxa"/>
              <w:left w:w="80" w:type="dxa"/>
              <w:bottom w:w="70" w:type="dxa"/>
              <w:right w:w="80" w:type="dxa"/>
            </w:tcMar>
            <w:vAlign w:val="center"/>
          </w:tcPr>
          <w:p w14:paraId="375805F6">
            <w:pPr>
              <w:spacing w:after="0"/>
            </w:pPr>
            <w:r>
              <w:rPr>
                <w:rFonts w:ascii="Arial" w:hAnsi="Arial"/>
                <w:sz w:val="12"/>
              </w:rPr>
              <w:t>AG3</w:t>
            </w:r>
          </w:p>
        </w:tc>
        <w:tc>
          <w:tcPr>
            <w:tcW w:w="1080" w:type="dxa"/>
            <w:tcMar>
              <w:top w:w="70" w:type="dxa"/>
              <w:left w:w="80" w:type="dxa"/>
              <w:bottom w:w="70" w:type="dxa"/>
              <w:right w:w="80" w:type="dxa"/>
            </w:tcMar>
            <w:vAlign w:val="center"/>
          </w:tcPr>
          <w:p w14:paraId="46E98C54">
            <w:pPr>
              <w:spacing w:after="0"/>
            </w:pPr>
            <w:r>
              <w:rPr>
                <w:rFonts w:ascii="Arial" w:hAnsi="Arial"/>
                <w:sz w:val="12"/>
              </w:rPr>
              <w:t>26 February 2026</w:t>
            </w:r>
          </w:p>
        </w:tc>
        <w:tc>
          <w:tcPr>
            <w:tcW w:w="792" w:type="dxa"/>
            <w:tcMar>
              <w:top w:w="70" w:type="dxa"/>
              <w:left w:w="80" w:type="dxa"/>
              <w:bottom w:w="70" w:type="dxa"/>
              <w:right w:w="80" w:type="dxa"/>
            </w:tcMar>
            <w:vAlign w:val="center"/>
          </w:tcPr>
          <w:p w14:paraId="08B943D1">
            <w:pPr>
              <w:spacing w:after="0"/>
            </w:pPr>
            <w:r>
              <w:rPr>
                <w:rFonts w:ascii="Arial" w:hAnsi="Arial"/>
                <w:sz w:val="12"/>
              </w:rPr>
              <w:t>5 August 2026</w:t>
            </w:r>
          </w:p>
        </w:tc>
        <w:tc>
          <w:tcPr>
            <w:tcW w:w="864" w:type="dxa"/>
            <w:tcMar>
              <w:top w:w="70" w:type="dxa"/>
              <w:left w:w="80" w:type="dxa"/>
              <w:bottom w:w="70" w:type="dxa"/>
              <w:right w:w="80" w:type="dxa"/>
            </w:tcMar>
            <w:vAlign w:val="center"/>
          </w:tcPr>
          <w:p>
            <w:r>
              <w:t>Official webpage</w:t>
            </w:r>
          </w:p>
        </w:tc>
        <w:tc>
          <w:tcPr>
            <w:tcW w:w="3384" w:type="dxa"/>
            <w:tcMar>
              <w:top w:w="70" w:type="dxa"/>
              <w:left w:w="80" w:type="dxa"/>
              <w:bottom w:w="70" w:type="dxa"/>
              <w:right w:w="80" w:type="dxa"/>
            </w:tcMar>
            <w:vAlign w:val="center"/>
          </w:tcPr>
          <w:p>
            <w:r>
              <w:t>https://health.heytapdownload.com/agreement/pdfagreements/20260226161443/6_0-健康APP个人信息保护政策.pdf</w:t>
            </w:r>
          </w:p>
        </w:tc>
        <w:tc>
          <w:tcPr>
            <w:tcW w:w="2880" w:type="dxa"/>
            <w:tcMar>
              <w:top w:w="70" w:type="dxa"/>
              <w:left w:w="80" w:type="dxa"/>
              <w:bottom w:w="70" w:type="dxa"/>
              <w:right w:w="80" w:type="dxa"/>
            </w:tcMar>
            <w:vAlign w:val="center"/>
          </w:tcPr>
          <w:p w14:paraId="00781A44">
            <w:pPr>
              <w:spacing w:after="0"/>
            </w:pPr>
            <w:r>
              <w:rPr>
                <w:rFonts w:ascii="Arial" w:hAnsi="Arial"/>
                <w:sz w:val="12"/>
              </w:rPr>
              <w:t xml:space="preserve">01_markdown_texts/AG03_OPPO_privacy_policy.md; 03_supporting_attachments/02_markdown_texts/AG03_OPPO_Third_Party_Information_Sharing_List.md</w:t>
            </w:r>
          </w:p>
        </w:tc>
        <w:tc>
          <w:tcPr>
            <w:tcW w:w="3096" w:type="dxa"/>
            <w:tcMar>
              <w:top w:w="70" w:type="dxa"/>
              <w:left w:w="80" w:type="dxa"/>
              <w:bottom w:w="70" w:type="dxa"/>
              <w:right w:w="80" w:type="dxa"/>
            </w:tcMar>
            <w:vAlign w:val="center"/>
          </w:tcPr>
          <w:p w14:paraId="1A9459EE">
            <w:pPr>
              <w:spacing w:after="0"/>
            </w:pPr>
            <w:r>
              <w:rPr>
                <w:rFonts w:ascii="Arial" w:hAnsi="Arial"/>
                <w:sz w:val="12"/>
              </w:rPr>
              <w:t xml:space="preserve">02_original_policy_files/AG03_OPPO_source_document.pdf; 03_supporting_attachments/01_original_files/AG03_OPPO_Third_Party_Information_Sharing_List.pdf</w:t>
            </w:r>
          </w:p>
        </w:tc>
        <w:tc>
          <w:tcPr>
            <w:tcW w:w="1152" w:type="dxa"/>
            <w:tcMar>
              <w:top w:w="70" w:type="dxa"/>
              <w:left w:w="80" w:type="dxa"/>
              <w:bottom w:w="70" w:type="dxa"/>
              <w:right w:w="80" w:type="dxa"/>
            </w:tcMar>
            <w:vAlign w:val="center"/>
          </w:tcPr>
          <w:p w14:paraId="484AADEB">
            <w:pPr>
              <w:spacing w:after="0"/>
            </w:pPr>
            <w:r>
              <w:rPr>
                <w:rFonts w:ascii="Arial" w:hAnsi="Arial"/>
                <w:sz w:val="12"/>
              </w:rPr>
              <w:t>May govern OPPO Health-supported wearable devices; no other sampled case uses this document</w:t>
            </w:r>
          </w:p>
        </w:tc>
        <w:tc>
          <w:tcPr>
            <w:tcW w:w="1296" w:type="dxa"/>
            <w:tcMar>
              <w:top w:w="70" w:type="dxa"/>
              <w:left w:w="80" w:type="dxa"/>
              <w:bottom w:w="70" w:type="dxa"/>
              <w:right w:w="80" w:type="dxa"/>
            </w:tcMar>
            <w:vAlign w:val="center"/>
          </w:tcPr>
          <w:p w14:paraId="73FEE706">
            <w:pPr>
              <w:spacing w:after="0"/>
            </w:pPr>
            <w:r>
              <w:rPr>
                <w:rFonts w:ascii="Arial" w:hAnsi="Arial"/>
                <w:sz w:val="12"/>
              </w:rPr>
              <w:t>The policy is counted once for this device category and application.</w:t>
            </w:r>
          </w:p>
        </w:tc>
      </w:tr>
      <w:tr w14:paraId="066E5B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504" w:type="dxa"/>
            <w:shd w:val="clear" w:color="auto" w:fill="EEF4FA"/>
            <w:tcMar>
              <w:top w:w="70" w:type="dxa"/>
              <w:left w:w="80" w:type="dxa"/>
              <w:bottom w:w="70" w:type="dxa"/>
              <w:right w:w="80" w:type="dxa"/>
            </w:tcMar>
            <w:vAlign w:val="center"/>
          </w:tcPr>
          <w:p w14:paraId="197F2ADB">
            <w:pPr>
              <w:spacing w:after="0"/>
            </w:pPr>
            <w:r>
              <w:rPr>
                <w:rFonts w:ascii="Arial" w:hAnsi="Arial"/>
                <w:sz w:val="12"/>
              </w:rPr>
              <w:t>AG4</w:t>
            </w:r>
          </w:p>
        </w:tc>
        <w:tc>
          <w:tcPr>
            <w:tcW w:w="1080" w:type="dxa"/>
            <w:shd w:val="clear" w:color="auto" w:fill="EEF4FA"/>
            <w:tcMar>
              <w:top w:w="70" w:type="dxa"/>
              <w:left w:w="80" w:type="dxa"/>
              <w:bottom w:w="70" w:type="dxa"/>
              <w:right w:w="80" w:type="dxa"/>
            </w:tcMar>
            <w:vAlign w:val="center"/>
          </w:tcPr>
          <w:p w14:paraId="3E9BE2FC">
            <w:pPr>
              <w:spacing w:after="0"/>
            </w:pPr>
            <w:r>
              <w:rPr>
                <w:rFonts w:ascii="Arial" w:hAnsi="Arial"/>
                <w:sz w:val="12"/>
              </w:rPr>
              <w:t>27 June 2025</w:t>
            </w:r>
          </w:p>
        </w:tc>
        <w:tc>
          <w:tcPr>
            <w:tcW w:w="792" w:type="dxa"/>
            <w:shd w:val="clear" w:color="auto" w:fill="EEF4FA"/>
            <w:tcMar>
              <w:top w:w="70" w:type="dxa"/>
              <w:left w:w="80" w:type="dxa"/>
              <w:bottom w:w="70" w:type="dxa"/>
              <w:right w:w="80" w:type="dxa"/>
            </w:tcMar>
            <w:vAlign w:val="center"/>
          </w:tcPr>
          <w:p w14:paraId="7D5FA5B3">
            <w:pPr>
              <w:spacing w:after="0"/>
            </w:pPr>
            <w:r>
              <w:rPr>
                <w:rFonts w:ascii="Arial" w:hAnsi="Arial"/>
                <w:sz w:val="12"/>
              </w:rPr>
              <w:t>5 August 2026</w:t>
            </w:r>
          </w:p>
        </w:tc>
        <w:tc>
          <w:tcPr>
            <w:tcW w:w="864" w:type="dxa"/>
            <w:shd w:val="clear" w:color="auto" w:fill="EEF4FA"/>
            <w:tcMar>
              <w:top w:w="70" w:type="dxa"/>
              <w:left w:w="80" w:type="dxa"/>
              <w:bottom w:w="70" w:type="dxa"/>
              <w:right w:w="80" w:type="dxa"/>
            </w:tcMar>
            <w:vAlign w:val="center"/>
          </w:tcPr>
          <w:p>
            <w:r>
              <w:t>Official webpage</w:t>
            </w:r>
          </w:p>
        </w:tc>
        <w:tc>
          <w:tcPr>
            <w:tcW w:w="3384" w:type="dxa"/>
            <w:shd w:val="clear" w:color="auto" w:fill="EEF4FA"/>
            <w:tcMar>
              <w:top w:w="70" w:type="dxa"/>
              <w:left w:w="80" w:type="dxa"/>
              <w:bottom w:w="70" w:type="dxa"/>
              <w:right w:w="80" w:type="dxa"/>
            </w:tcMar>
            <w:vAlign w:val="center"/>
          </w:tcPr>
          <w:p>
            <w:r>
              <w:t>https://health-h5.vivo.com.cn/doc/v5.0/privacy.html</w:t>
            </w:r>
          </w:p>
        </w:tc>
        <w:tc>
          <w:tcPr>
            <w:tcW w:w="2880" w:type="dxa"/>
            <w:shd w:val="clear" w:color="auto" w:fill="EEF4FA"/>
            <w:tcMar>
              <w:top w:w="70" w:type="dxa"/>
              <w:left w:w="80" w:type="dxa"/>
              <w:bottom w:w="70" w:type="dxa"/>
              <w:right w:w="80" w:type="dxa"/>
            </w:tcMar>
            <w:vAlign w:val="center"/>
          </w:tcPr>
          <w:p w14:paraId="509038AE">
            <w:pPr>
              <w:spacing w:after="0"/>
            </w:pPr>
            <w:r>
              <w:rPr>
                <w:rFonts w:ascii="Arial" w:hAnsi="Arial"/>
                <w:sz w:val="12"/>
              </w:rPr>
              <w:t>01_markdown_texts/AG04_vivo_privacy_policy.md</w:t>
            </w:r>
          </w:p>
        </w:tc>
        <w:tc>
          <w:tcPr>
            <w:tcW w:w="3096" w:type="dxa"/>
            <w:shd w:val="clear" w:color="auto" w:fill="EEF4FA"/>
            <w:tcMar>
              <w:top w:w="70" w:type="dxa"/>
              <w:left w:w="80" w:type="dxa"/>
              <w:bottom w:w="70" w:type="dxa"/>
              <w:right w:w="80" w:type="dxa"/>
            </w:tcMar>
            <w:vAlign w:val="center"/>
          </w:tcPr>
          <w:p w14:paraId="47DB5070">
            <w:pPr>
              <w:spacing w:after="0"/>
            </w:pPr>
            <w:r>
              <w:rPr>
                <w:rFonts w:ascii="Arial" w:hAnsi="Arial"/>
                <w:sz w:val="12"/>
              </w:rPr>
              <w:t>02_original_policy_files/AG04_vivo_source_document.docx</w:t>
            </w:r>
          </w:p>
        </w:tc>
        <w:tc>
          <w:tcPr>
            <w:tcW w:w="1152" w:type="dxa"/>
            <w:shd w:val="clear" w:color="auto" w:fill="EEF4FA"/>
            <w:tcMar>
              <w:top w:w="70" w:type="dxa"/>
              <w:left w:w="80" w:type="dxa"/>
              <w:bottom w:w="70" w:type="dxa"/>
              <w:right w:w="80" w:type="dxa"/>
            </w:tcMar>
            <w:vAlign w:val="center"/>
          </w:tcPr>
          <w:p w14:paraId="43A9C1BD">
            <w:pPr>
              <w:spacing w:after="0"/>
            </w:pPr>
            <w:r>
              <w:rPr>
                <w:rFonts w:ascii="Arial" w:hAnsi="Arial"/>
                <w:sz w:val="12"/>
              </w:rPr>
              <w:t>May govern multiple vivo Health-compatible models; no other sampled case uses this document</w:t>
            </w:r>
          </w:p>
        </w:tc>
        <w:tc>
          <w:tcPr>
            <w:tcW w:w="1296" w:type="dxa"/>
            <w:shd w:val="clear" w:color="auto" w:fill="EEF4FA"/>
            <w:tcMar>
              <w:top w:w="70" w:type="dxa"/>
              <w:left w:w="80" w:type="dxa"/>
              <w:bottom w:w="70" w:type="dxa"/>
              <w:right w:w="80" w:type="dxa"/>
            </w:tcMar>
            <w:vAlign w:val="center"/>
          </w:tcPr>
          <w:p w14:paraId="627A3C76">
            <w:pPr>
              <w:spacing w:after="0"/>
            </w:pPr>
            <w:r>
              <w:rPr>
                <w:rFonts w:ascii="Arial" w:hAnsi="Arial"/>
                <w:sz w:val="12"/>
              </w:rPr>
              <w:t>The shared policy is represented once as AG4.</w:t>
            </w:r>
          </w:p>
        </w:tc>
      </w:tr>
      <w:tr w14:paraId="266B2D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504" w:type="dxa"/>
            <w:tcMar>
              <w:top w:w="70" w:type="dxa"/>
              <w:left w:w="80" w:type="dxa"/>
              <w:bottom w:w="70" w:type="dxa"/>
              <w:right w:w="80" w:type="dxa"/>
            </w:tcMar>
            <w:vAlign w:val="center"/>
          </w:tcPr>
          <w:p w14:paraId="52BFC966">
            <w:pPr>
              <w:spacing w:after="0"/>
            </w:pPr>
            <w:r>
              <w:rPr>
                <w:rFonts w:ascii="Arial" w:hAnsi="Arial"/>
                <w:sz w:val="12"/>
              </w:rPr>
              <w:t>AG5</w:t>
            </w:r>
          </w:p>
        </w:tc>
        <w:tc>
          <w:tcPr>
            <w:tcW w:w="1080" w:type="dxa"/>
            <w:tcMar>
              <w:top w:w="70" w:type="dxa"/>
              <w:left w:w="80" w:type="dxa"/>
              <w:bottom w:w="70" w:type="dxa"/>
              <w:right w:w="80" w:type="dxa"/>
            </w:tcMar>
            <w:vAlign w:val="center"/>
          </w:tcPr>
          <w:p w14:paraId="229E27D2">
            <w:pPr>
              <w:spacing w:after="0"/>
            </w:pPr>
            <w:r>
              <w:rPr>
                <w:rFonts w:ascii="Arial" w:hAnsi="Arial"/>
                <w:sz w:val="12"/>
              </w:rPr>
              <w:t>30 July 2026</w:t>
            </w:r>
          </w:p>
        </w:tc>
        <w:tc>
          <w:tcPr>
            <w:tcW w:w="792" w:type="dxa"/>
            <w:tcMar>
              <w:top w:w="70" w:type="dxa"/>
              <w:left w:w="80" w:type="dxa"/>
              <w:bottom w:w="70" w:type="dxa"/>
              <w:right w:w="80" w:type="dxa"/>
            </w:tcMar>
            <w:vAlign w:val="center"/>
          </w:tcPr>
          <w:p w14:paraId="286A6DFF">
            <w:pPr>
              <w:spacing w:after="0"/>
            </w:pPr>
            <w:r>
              <w:rPr>
                <w:rFonts w:ascii="Arial" w:hAnsi="Arial"/>
                <w:sz w:val="12"/>
              </w:rPr>
              <w:t>5 August 2026</w:t>
            </w:r>
          </w:p>
        </w:tc>
        <w:tc>
          <w:tcPr>
            <w:tcW w:w="864" w:type="dxa"/>
            <w:tcMar>
              <w:top w:w="70" w:type="dxa"/>
              <w:left w:w="80" w:type="dxa"/>
              <w:bottom w:w="70" w:type="dxa"/>
              <w:right w:w="80" w:type="dxa"/>
            </w:tcMar>
            <w:vAlign w:val="center"/>
          </w:tcPr>
          <w:p>
            <w:r>
              <w:t>Official webpage</w:t>
            </w:r>
          </w:p>
        </w:tc>
        <w:tc>
          <w:tcPr>
            <w:tcW w:w="3384" w:type="dxa"/>
            <w:tcMar>
              <w:top w:w="70" w:type="dxa"/>
              <w:left w:w="80" w:type="dxa"/>
              <w:bottom w:w="70" w:type="dxa"/>
              <w:right w:w="80" w:type="dxa"/>
            </w:tcMar>
            <w:vAlign w:val="center"/>
          </w:tcPr>
          <w:p>
            <w:r>
              <w:t>https://agreement.itsec.hihonor.com/asm/agrFile/getHtmlFile?agrNo=1070</w:t>
            </w:r>
          </w:p>
        </w:tc>
        <w:tc>
          <w:tcPr>
            <w:tcW w:w="2880" w:type="dxa"/>
            <w:tcMar>
              <w:top w:w="70" w:type="dxa"/>
              <w:left w:w="80" w:type="dxa"/>
              <w:bottom w:w="70" w:type="dxa"/>
              <w:right w:w="80" w:type="dxa"/>
            </w:tcMar>
            <w:vAlign w:val="center"/>
          </w:tcPr>
          <w:p w14:paraId="65FF2C49">
            <w:pPr>
              <w:spacing w:after="0"/>
            </w:pPr>
            <w:r>
              <w:rPr>
                <w:rFonts w:ascii="Arial" w:hAnsi="Arial"/>
                <w:sz w:val="12"/>
              </w:rPr>
              <w:t>01_markdown_texts/AG05_Honor_privacy_policy.md</w:t>
            </w:r>
          </w:p>
        </w:tc>
        <w:tc>
          <w:tcPr>
            <w:tcW w:w="3096" w:type="dxa"/>
            <w:tcMar>
              <w:top w:w="70" w:type="dxa"/>
              <w:left w:w="80" w:type="dxa"/>
              <w:bottom w:w="70" w:type="dxa"/>
              <w:right w:w="80" w:type="dxa"/>
            </w:tcMar>
            <w:vAlign w:val="center"/>
          </w:tcPr>
          <w:p w14:paraId="0952CD1B">
            <w:pPr>
              <w:spacing w:after="0"/>
            </w:pPr>
            <w:r>
              <w:rPr>
                <w:rFonts w:ascii="Arial" w:hAnsi="Arial"/>
                <w:sz w:val="12"/>
              </w:rPr>
              <w:t>02_original_policy_files/AG05_Honor_source_document.docx</w:t>
            </w:r>
          </w:p>
        </w:tc>
        <w:tc>
          <w:tcPr>
            <w:tcW w:w="1152" w:type="dxa"/>
            <w:tcMar>
              <w:top w:w="70" w:type="dxa"/>
              <w:left w:w="80" w:type="dxa"/>
              <w:bottom w:w="70" w:type="dxa"/>
              <w:right w:w="80" w:type="dxa"/>
            </w:tcMar>
            <w:vAlign w:val="center"/>
          </w:tcPr>
          <w:p w14:paraId="48933D74">
            <w:pPr>
              <w:spacing w:after="0"/>
            </w:pPr>
            <w:r>
              <w:rPr>
                <w:rFonts w:ascii="Arial" w:hAnsi="Arial"/>
                <w:sz w:val="12"/>
              </w:rPr>
              <w:t>May govern multiple Honor Health-compatible devices; no other sampled case uses this document</w:t>
            </w:r>
          </w:p>
        </w:tc>
        <w:tc>
          <w:tcPr>
            <w:tcW w:w="1296" w:type="dxa"/>
            <w:tcMar>
              <w:top w:w="70" w:type="dxa"/>
              <w:left w:w="80" w:type="dxa"/>
              <w:bottom w:w="70" w:type="dxa"/>
              <w:right w:w="80" w:type="dxa"/>
            </w:tcMar>
            <w:vAlign w:val="center"/>
          </w:tcPr>
          <w:p w14:paraId="53A97144">
            <w:pPr>
              <w:spacing w:after="0"/>
            </w:pPr>
            <w:r>
              <w:rPr>
                <w:rFonts w:ascii="Arial" w:hAnsi="Arial"/>
                <w:sz w:val="12"/>
              </w:rPr>
              <w:t>The shared statement is represented once as AG5.</w:t>
            </w:r>
          </w:p>
        </w:tc>
      </w:tr>
      <w:tr w14:paraId="13B84F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504" w:type="dxa"/>
            <w:shd w:val="clear" w:color="auto" w:fill="EEF4FA"/>
            <w:tcMar>
              <w:top w:w="70" w:type="dxa"/>
              <w:left w:w="80" w:type="dxa"/>
              <w:bottom w:w="70" w:type="dxa"/>
              <w:right w:w="80" w:type="dxa"/>
            </w:tcMar>
            <w:vAlign w:val="center"/>
          </w:tcPr>
          <w:p w14:paraId="78C2FB03">
            <w:pPr>
              <w:spacing w:after="0"/>
            </w:pPr>
            <w:r>
              <w:rPr>
                <w:rFonts w:ascii="Arial" w:hAnsi="Arial"/>
                <w:sz w:val="12"/>
              </w:rPr>
              <w:t>AG6</w:t>
            </w:r>
          </w:p>
        </w:tc>
        <w:tc>
          <w:tcPr>
            <w:tcW w:w="1080" w:type="dxa"/>
            <w:shd w:val="clear" w:color="auto" w:fill="EEF4FA"/>
            <w:tcMar>
              <w:top w:w="70" w:type="dxa"/>
              <w:left w:w="80" w:type="dxa"/>
              <w:bottom w:w="70" w:type="dxa"/>
              <w:right w:w="80" w:type="dxa"/>
            </w:tcMar>
            <w:vAlign w:val="center"/>
          </w:tcPr>
          <w:p w14:paraId="6B24ADC1">
            <w:pPr>
              <w:spacing w:after="0"/>
            </w:pPr>
            <w:r>
              <w:rPr>
                <w:rFonts w:ascii="Arial" w:hAnsi="Arial"/>
                <w:sz w:val="12"/>
              </w:rPr>
              <w:t>Effective 3 June 2019</w:t>
            </w:r>
          </w:p>
        </w:tc>
        <w:tc>
          <w:tcPr>
            <w:tcW w:w="792" w:type="dxa"/>
            <w:shd w:val="clear" w:color="auto" w:fill="EEF4FA"/>
            <w:tcMar>
              <w:top w:w="70" w:type="dxa"/>
              <w:left w:w="80" w:type="dxa"/>
              <w:bottom w:w="70" w:type="dxa"/>
              <w:right w:w="80" w:type="dxa"/>
            </w:tcMar>
            <w:vAlign w:val="center"/>
          </w:tcPr>
          <w:p w14:paraId="792AB521">
            <w:pPr>
              <w:spacing w:after="0"/>
            </w:pPr>
            <w:r>
              <w:rPr>
                <w:rFonts w:ascii="Arial" w:hAnsi="Arial"/>
                <w:sz w:val="12"/>
              </w:rPr>
              <w:t>5 August 2026</w:t>
            </w:r>
          </w:p>
        </w:tc>
        <w:tc>
          <w:tcPr>
            <w:tcW w:w="864" w:type="dxa"/>
            <w:shd w:val="clear" w:color="auto" w:fill="EEF4FA"/>
            <w:tcMar>
              <w:top w:w="70" w:type="dxa"/>
              <w:left w:w="80" w:type="dxa"/>
              <w:bottom w:w="70" w:type="dxa"/>
              <w:right w:w="80" w:type="dxa"/>
            </w:tcMar>
            <w:vAlign w:val="center"/>
          </w:tcPr>
          <w:p>
            <w:r>
              <w:t>Official webpage</w:t>
            </w:r>
          </w:p>
        </w:tc>
        <w:tc>
          <w:tcPr>
            <w:tcW w:w="3384" w:type="dxa"/>
            <w:shd w:val="clear" w:color="auto" w:fill="EEF4FA"/>
            <w:tcMar>
              <w:top w:w="70" w:type="dxa"/>
              <w:left w:w="80" w:type="dxa"/>
              <w:bottom w:w="70" w:type="dxa"/>
              <w:right w:w="80" w:type="dxa"/>
            </w:tcMar>
            <w:vAlign w:val="center"/>
          </w:tcPr>
          <w:p>
            <w:r>
              <w:t>https://upload-cdn.huami.com/tposts/8191</w:t>
            </w:r>
          </w:p>
        </w:tc>
        <w:tc>
          <w:tcPr>
            <w:tcW w:w="2880" w:type="dxa"/>
            <w:shd w:val="clear" w:color="auto" w:fill="EEF4FA"/>
            <w:tcMar>
              <w:top w:w="70" w:type="dxa"/>
              <w:left w:w="80" w:type="dxa"/>
              <w:bottom w:w="70" w:type="dxa"/>
              <w:right w:w="80" w:type="dxa"/>
            </w:tcMar>
            <w:vAlign w:val="center"/>
          </w:tcPr>
          <w:p w14:paraId="31D2FC39">
            <w:pPr>
              <w:spacing w:after="0"/>
            </w:pPr>
            <w:r>
              <w:rPr>
                <w:rFonts w:ascii="Arial" w:hAnsi="Arial"/>
                <w:sz w:val="12"/>
              </w:rPr>
              <w:t>01_markdown_texts/AG06_Amazfit_privacy_policy.md</w:t>
            </w:r>
          </w:p>
        </w:tc>
        <w:tc>
          <w:tcPr>
            <w:tcW w:w="3096" w:type="dxa"/>
            <w:shd w:val="clear" w:color="auto" w:fill="EEF4FA"/>
            <w:tcMar>
              <w:top w:w="70" w:type="dxa"/>
              <w:left w:w="80" w:type="dxa"/>
              <w:bottom w:w="70" w:type="dxa"/>
              <w:right w:w="80" w:type="dxa"/>
            </w:tcMar>
            <w:vAlign w:val="center"/>
          </w:tcPr>
          <w:p w14:paraId="0622DF17">
            <w:pPr>
              <w:spacing w:after="0"/>
            </w:pPr>
            <w:r>
              <w:rPr>
                <w:rFonts w:ascii="Arial" w:hAnsi="Arial"/>
                <w:sz w:val="12"/>
              </w:rPr>
              <w:t>02_original_policy_files/AG06_Amazfit_source_document.docx</w:t>
            </w:r>
          </w:p>
        </w:tc>
        <w:tc>
          <w:tcPr>
            <w:tcW w:w="1152" w:type="dxa"/>
            <w:shd w:val="clear" w:color="auto" w:fill="EEF4FA"/>
            <w:tcMar>
              <w:top w:w="70" w:type="dxa"/>
              <w:left w:w="80" w:type="dxa"/>
              <w:bottom w:w="70" w:type="dxa"/>
              <w:right w:w="80" w:type="dxa"/>
            </w:tcMar>
            <w:vAlign w:val="center"/>
          </w:tcPr>
          <w:p w14:paraId="02D53AAB">
            <w:pPr>
              <w:spacing w:after="0"/>
            </w:pPr>
            <w:r>
              <w:rPr>
                <w:rFonts w:ascii="Arial" w:hAnsi="Arial"/>
                <w:sz w:val="12"/>
              </w:rPr>
              <w:t>Applies across listed Huami/Amazfit products and services; no other sampled case uses this document</w:t>
            </w:r>
          </w:p>
        </w:tc>
        <w:tc>
          <w:tcPr>
            <w:tcW w:w="1296" w:type="dxa"/>
            <w:shd w:val="clear" w:color="auto" w:fill="EEF4FA"/>
            <w:tcMar>
              <w:top w:w="70" w:type="dxa"/>
              <w:left w:w="80" w:type="dxa"/>
              <w:bottom w:w="70" w:type="dxa"/>
              <w:right w:w="80" w:type="dxa"/>
            </w:tcMar>
            <w:vAlign w:val="center"/>
          </w:tcPr>
          <w:p w14:paraId="49386645">
            <w:pPr>
              <w:spacing w:after="0"/>
            </w:pPr>
            <w:r>
              <w:rPr>
                <w:rFonts w:ascii="Arial" w:hAnsi="Arial"/>
                <w:sz w:val="12"/>
              </w:rPr>
              <w:t>The broad policy is represented once; conclusions are limited to the archived text.</w:t>
            </w:r>
          </w:p>
        </w:tc>
      </w:tr>
      <w:tr w14:paraId="233576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504" w:type="dxa"/>
            <w:tcMar>
              <w:top w:w="70" w:type="dxa"/>
              <w:left w:w="80" w:type="dxa"/>
              <w:bottom w:w="70" w:type="dxa"/>
              <w:right w:w="80" w:type="dxa"/>
            </w:tcMar>
            <w:vAlign w:val="center"/>
          </w:tcPr>
          <w:p w14:paraId="20BF1706">
            <w:pPr>
              <w:spacing w:after="0"/>
            </w:pPr>
            <w:r>
              <w:rPr>
                <w:rFonts w:ascii="Arial" w:hAnsi="Arial"/>
                <w:sz w:val="12"/>
              </w:rPr>
              <w:t>AG7</w:t>
            </w:r>
          </w:p>
        </w:tc>
        <w:tc>
          <w:tcPr>
            <w:tcW w:w="1080" w:type="dxa"/>
            <w:tcMar>
              <w:top w:w="70" w:type="dxa"/>
              <w:left w:w="80" w:type="dxa"/>
              <w:bottom w:w="70" w:type="dxa"/>
              <w:right w:w="80" w:type="dxa"/>
            </w:tcMar>
            <w:vAlign w:val="center"/>
          </w:tcPr>
          <w:p w14:paraId="5DE309B5">
            <w:pPr>
              <w:spacing w:after="0"/>
            </w:pPr>
            <w:r>
              <w:rPr>
                <w:rFonts w:ascii="Arial" w:hAnsi="Arial"/>
                <w:sz w:val="12"/>
              </w:rPr>
              <w:t>Updated 3 August 2026; effective 5 August 2026</w:t>
            </w:r>
          </w:p>
        </w:tc>
        <w:tc>
          <w:tcPr>
            <w:tcW w:w="792" w:type="dxa"/>
            <w:tcMar>
              <w:top w:w="70" w:type="dxa"/>
              <w:left w:w="80" w:type="dxa"/>
              <w:bottom w:w="70" w:type="dxa"/>
              <w:right w:w="80" w:type="dxa"/>
            </w:tcMar>
            <w:vAlign w:val="center"/>
          </w:tcPr>
          <w:p w14:paraId="69F85E5C">
            <w:pPr>
              <w:spacing w:after="0"/>
            </w:pPr>
            <w:r>
              <w:rPr>
                <w:rFonts w:ascii="Arial" w:hAnsi="Arial"/>
                <w:sz w:val="12"/>
              </w:rPr>
              <w:t>5 August 2026</w:t>
            </w:r>
          </w:p>
        </w:tc>
        <w:tc>
          <w:tcPr>
            <w:tcW w:w="864" w:type="dxa"/>
            <w:tcMar>
              <w:top w:w="70" w:type="dxa"/>
              <w:left w:w="80" w:type="dxa"/>
              <w:bottom w:w="70" w:type="dxa"/>
              <w:right w:w="80" w:type="dxa"/>
            </w:tcMar>
            <w:vAlign w:val="center"/>
          </w:tcPr>
          <w:p>
            <w:r>
              <w:t>Official webpage</w:t>
            </w:r>
          </w:p>
        </w:tc>
        <w:tc>
          <w:tcPr>
            <w:tcW w:w="3384" w:type="dxa"/>
            <w:tcMar>
              <w:top w:w="70" w:type="dxa"/>
              <w:left w:w="80" w:type="dxa"/>
              <w:bottom w:w="70" w:type="dxa"/>
              <w:right w:w="80" w:type="dxa"/>
            </w:tcMar>
            <w:vAlign w:val="center"/>
          </w:tcPr>
          <w:p>
            <w:r>
              <w:t>https://m.gotokeep.com/fd-page/document/show?param=privacy</w:t>
            </w:r>
          </w:p>
        </w:tc>
        <w:tc>
          <w:tcPr>
            <w:tcW w:w="2880" w:type="dxa"/>
            <w:tcMar>
              <w:top w:w="70" w:type="dxa"/>
              <w:left w:w="80" w:type="dxa"/>
              <w:bottom w:w="70" w:type="dxa"/>
              <w:right w:w="80" w:type="dxa"/>
            </w:tcMar>
            <w:vAlign w:val="center"/>
          </w:tcPr>
          <w:p w14:paraId="069A0A9F">
            <w:pPr>
              <w:spacing w:after="0"/>
            </w:pPr>
            <w:r>
              <w:rPr>
                <w:rFonts w:ascii="Arial" w:hAnsi="Arial"/>
                <w:sz w:val="12"/>
              </w:rPr>
              <w:t>01_markdown_texts/AG07_Keep_privacy_policy.md</w:t>
            </w:r>
          </w:p>
        </w:tc>
        <w:tc>
          <w:tcPr>
            <w:tcW w:w="3096" w:type="dxa"/>
            <w:tcMar>
              <w:top w:w="70" w:type="dxa"/>
              <w:left w:w="80" w:type="dxa"/>
              <w:bottom w:w="70" w:type="dxa"/>
              <w:right w:w="80" w:type="dxa"/>
            </w:tcMar>
            <w:vAlign w:val="center"/>
          </w:tcPr>
          <w:p w14:paraId="5E96251D">
            <w:pPr>
              <w:spacing w:after="0"/>
            </w:pPr>
            <w:r>
              <w:rPr>
                <w:rFonts w:ascii="Arial" w:hAnsi="Arial"/>
                <w:sz w:val="12"/>
              </w:rPr>
              <w:t>02_original_policy_files/AG07_Keep_source_document.pdf</w:t>
            </w:r>
          </w:p>
        </w:tc>
        <w:tc>
          <w:tcPr>
            <w:tcW w:w="1152" w:type="dxa"/>
            <w:tcMar>
              <w:top w:w="70" w:type="dxa"/>
              <w:left w:w="80" w:type="dxa"/>
              <w:bottom w:w="70" w:type="dxa"/>
              <w:right w:w="80" w:type="dxa"/>
            </w:tcMar>
            <w:vAlign w:val="center"/>
          </w:tcPr>
          <w:p w14:paraId="411AC1F2">
            <w:pPr>
              <w:spacing w:after="0"/>
            </w:pPr>
            <w:r>
              <w:rPr>
                <w:rFonts w:ascii="Arial" w:hAnsi="Arial"/>
                <w:sz w:val="12"/>
              </w:rPr>
              <w:t>Covers Keep web/App and supported hardware; no other sampled case uses this document</w:t>
            </w:r>
          </w:p>
        </w:tc>
        <w:tc>
          <w:tcPr>
            <w:tcW w:w="1296" w:type="dxa"/>
            <w:tcMar>
              <w:top w:w="70" w:type="dxa"/>
              <w:left w:w="80" w:type="dxa"/>
              <w:bottom w:w="70" w:type="dxa"/>
              <w:right w:w="80" w:type="dxa"/>
            </w:tcMar>
            <w:vAlign w:val="center"/>
          </w:tcPr>
          <w:p w14:paraId="3A8F36C8">
            <w:pPr>
              <w:spacing w:after="0"/>
            </w:pPr>
            <w:r>
              <w:rPr>
                <w:rFonts w:ascii="Arial" w:hAnsi="Arial"/>
                <w:sz w:val="12"/>
              </w:rPr>
              <w:t>The policy is represented once as AG7.</w:t>
            </w:r>
          </w:p>
        </w:tc>
      </w:tr>
      <w:tr w14:paraId="205235E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504" w:type="dxa"/>
            <w:shd w:val="clear" w:color="auto" w:fill="EEF4FA"/>
            <w:tcMar>
              <w:top w:w="70" w:type="dxa"/>
              <w:left w:w="80" w:type="dxa"/>
              <w:bottom w:w="70" w:type="dxa"/>
              <w:right w:w="80" w:type="dxa"/>
            </w:tcMar>
            <w:vAlign w:val="center"/>
          </w:tcPr>
          <w:p w14:paraId="55153F34">
            <w:pPr>
              <w:spacing w:after="0"/>
            </w:pPr>
            <w:r>
              <w:rPr>
                <w:rFonts w:ascii="Arial" w:hAnsi="Arial"/>
                <w:sz w:val="12"/>
              </w:rPr>
              <w:t>AG8</w:t>
            </w:r>
          </w:p>
        </w:tc>
        <w:tc>
          <w:tcPr>
            <w:tcW w:w="1080" w:type="dxa"/>
            <w:shd w:val="clear" w:color="auto" w:fill="EEF4FA"/>
            <w:tcMar>
              <w:top w:w="70" w:type="dxa"/>
              <w:left w:w="80" w:type="dxa"/>
              <w:bottom w:w="70" w:type="dxa"/>
              <w:right w:w="80" w:type="dxa"/>
            </w:tcMar>
            <w:vAlign w:val="center"/>
          </w:tcPr>
          <w:p w14:paraId="2B268EA0">
            <w:pPr>
              <w:spacing w:after="0"/>
            </w:pPr>
            <w:r>
              <w:rPr>
                <w:rFonts w:ascii="Arial" w:hAnsi="Arial"/>
                <w:sz w:val="12"/>
              </w:rPr>
              <w:t>8 April 2026</w:t>
            </w:r>
          </w:p>
        </w:tc>
        <w:tc>
          <w:tcPr>
            <w:tcW w:w="792" w:type="dxa"/>
            <w:shd w:val="clear" w:color="auto" w:fill="EEF4FA"/>
            <w:tcMar>
              <w:top w:w="70" w:type="dxa"/>
              <w:left w:w="80" w:type="dxa"/>
              <w:bottom w:w="70" w:type="dxa"/>
              <w:right w:w="80" w:type="dxa"/>
            </w:tcMar>
            <w:vAlign w:val="center"/>
          </w:tcPr>
          <w:p w14:paraId="013A56B6">
            <w:pPr>
              <w:spacing w:after="0"/>
            </w:pPr>
            <w:r>
              <w:rPr>
                <w:rFonts w:ascii="Arial" w:hAnsi="Arial"/>
                <w:sz w:val="12"/>
              </w:rPr>
              <w:t>5 August 2026</w:t>
            </w:r>
          </w:p>
        </w:tc>
        <w:tc>
          <w:tcPr>
            <w:tcW w:w="864" w:type="dxa"/>
            <w:shd w:val="clear" w:color="auto" w:fill="EEF4FA"/>
            <w:tcMar>
              <w:top w:w="70" w:type="dxa"/>
              <w:left w:w="80" w:type="dxa"/>
              <w:bottom w:w="70" w:type="dxa"/>
              <w:right w:w="80" w:type="dxa"/>
            </w:tcMar>
            <w:vAlign w:val="center"/>
          </w:tcPr>
          <w:p>
            <w:r>
              <w:t>Official webpage</w:t>
            </w:r>
          </w:p>
        </w:tc>
        <w:tc>
          <w:tcPr>
            <w:tcW w:w="3384" w:type="dxa"/>
            <w:shd w:val="clear" w:color="auto" w:fill="EEF4FA"/>
            <w:tcMar>
              <w:top w:w="70" w:type="dxa"/>
              <w:left w:w="80" w:type="dxa"/>
              <w:bottom w:w="70" w:type="dxa"/>
              <w:right w:w="80" w:type="dxa"/>
            </w:tcMar>
            <w:vAlign w:val="center"/>
          </w:tcPr>
          <w:p>
            <w:r>
              <w:t>https://ringconn.com/pages/ringconn-app-privacy-policy</w:t>
            </w:r>
          </w:p>
        </w:tc>
        <w:tc>
          <w:tcPr>
            <w:tcW w:w="2880" w:type="dxa"/>
            <w:shd w:val="clear" w:color="auto" w:fill="EEF4FA"/>
            <w:tcMar>
              <w:top w:w="70" w:type="dxa"/>
              <w:left w:w="80" w:type="dxa"/>
              <w:bottom w:w="70" w:type="dxa"/>
              <w:right w:w="80" w:type="dxa"/>
            </w:tcMar>
            <w:vAlign w:val="center"/>
          </w:tcPr>
          <w:p w14:paraId="1A12CCC8">
            <w:pPr>
              <w:spacing w:after="0"/>
            </w:pPr>
            <w:r>
              <w:rPr>
                <w:rFonts w:ascii="Arial" w:hAnsi="Arial"/>
                <w:sz w:val="12"/>
              </w:rPr>
              <w:t>01_markdown_texts/AG08_RingConn_privacy_policy.md</w:t>
            </w:r>
          </w:p>
        </w:tc>
        <w:tc>
          <w:tcPr>
            <w:tcW w:w="3096" w:type="dxa"/>
            <w:shd w:val="clear" w:color="auto" w:fill="EEF4FA"/>
            <w:tcMar>
              <w:top w:w="70" w:type="dxa"/>
              <w:left w:w="80" w:type="dxa"/>
              <w:bottom w:w="70" w:type="dxa"/>
              <w:right w:w="80" w:type="dxa"/>
            </w:tcMar>
            <w:vAlign w:val="center"/>
          </w:tcPr>
          <w:p w14:paraId="5E46C8BB">
            <w:pPr>
              <w:spacing w:after="0"/>
            </w:pPr>
            <w:r>
              <w:rPr>
                <w:rFonts w:ascii="Arial" w:hAnsi="Arial"/>
                <w:sz w:val="12"/>
              </w:rPr>
              <w:t>02_original_policy_files/AG08_RingConn_source_document.docx</w:t>
            </w:r>
          </w:p>
        </w:tc>
        <w:tc>
          <w:tcPr>
            <w:tcW w:w="1152" w:type="dxa"/>
            <w:shd w:val="clear" w:color="auto" w:fill="EEF4FA"/>
            <w:tcMar>
              <w:top w:w="70" w:type="dxa"/>
              <w:left w:w="80" w:type="dxa"/>
              <w:bottom w:w="70" w:type="dxa"/>
              <w:right w:w="80" w:type="dxa"/>
            </w:tcMar>
            <w:vAlign w:val="center"/>
          </w:tcPr>
          <w:p w14:paraId="5C8F90FD">
            <w:pPr>
              <w:spacing w:after="0"/>
            </w:pPr>
            <w:r>
              <w:rPr>
                <w:rFonts w:ascii="Arial" w:hAnsi="Arial"/>
                <w:sz w:val="12"/>
              </w:rPr>
              <w:t>Covers RingConn devices and services; no other sampled case uses this document</w:t>
            </w:r>
          </w:p>
        </w:tc>
        <w:tc>
          <w:tcPr>
            <w:tcW w:w="1296" w:type="dxa"/>
            <w:shd w:val="clear" w:color="auto" w:fill="EEF4FA"/>
            <w:tcMar>
              <w:top w:w="70" w:type="dxa"/>
              <w:left w:w="80" w:type="dxa"/>
              <w:bottom w:w="70" w:type="dxa"/>
              <w:right w:w="80" w:type="dxa"/>
            </w:tcMar>
            <w:vAlign w:val="center"/>
          </w:tcPr>
          <w:p w14:paraId="0ABA18B3">
            <w:pPr>
              <w:spacing w:after="0"/>
            </w:pPr>
            <w:r>
              <w:rPr>
                <w:rFonts w:ascii="Arial" w:hAnsi="Arial"/>
                <w:sz w:val="12"/>
              </w:rPr>
              <w:t>The policy is represented once as AG8.</w:t>
            </w:r>
          </w:p>
        </w:tc>
      </w:tr>
      <w:tr w14:paraId="673A65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504" w:type="dxa"/>
            <w:tcMar>
              <w:top w:w="70" w:type="dxa"/>
              <w:left w:w="80" w:type="dxa"/>
              <w:bottom w:w="70" w:type="dxa"/>
              <w:right w:w="80" w:type="dxa"/>
            </w:tcMar>
            <w:vAlign w:val="center"/>
          </w:tcPr>
          <w:p w14:paraId="0CEA1B69">
            <w:pPr>
              <w:spacing w:after="0"/>
            </w:pPr>
            <w:r>
              <w:rPr>
                <w:rFonts w:ascii="Arial" w:hAnsi="Arial"/>
                <w:sz w:val="12"/>
              </w:rPr>
              <w:t>AG9</w:t>
            </w:r>
          </w:p>
        </w:tc>
        <w:tc>
          <w:tcPr>
            <w:tcW w:w="1080" w:type="dxa"/>
            <w:tcMar>
              <w:top w:w="70" w:type="dxa"/>
              <w:left w:w="80" w:type="dxa"/>
              <w:bottom w:w="70" w:type="dxa"/>
              <w:right w:w="80" w:type="dxa"/>
            </w:tcMar>
            <w:vAlign w:val="center"/>
          </w:tcPr>
          <w:p w14:paraId="0C2A4BBC">
            <w:pPr>
              <w:spacing w:after="0"/>
            </w:pPr>
            <w:r>
              <w:rPr>
                <w:rFonts w:ascii="Arial" w:hAnsi="Arial"/>
                <w:sz w:val="12"/>
              </w:rPr>
              <w:t>Updated 6 July 2026; effective 13 July 2026</w:t>
            </w:r>
          </w:p>
        </w:tc>
        <w:tc>
          <w:tcPr>
            <w:tcW w:w="792" w:type="dxa"/>
            <w:tcMar>
              <w:top w:w="70" w:type="dxa"/>
              <w:left w:w="80" w:type="dxa"/>
              <w:bottom w:w="70" w:type="dxa"/>
              <w:right w:w="80" w:type="dxa"/>
            </w:tcMar>
            <w:vAlign w:val="center"/>
          </w:tcPr>
          <w:p w14:paraId="4DA834CD">
            <w:pPr>
              <w:spacing w:after="0"/>
            </w:pPr>
            <w:r>
              <w:rPr>
                <w:rFonts w:ascii="Arial" w:hAnsi="Arial"/>
                <w:sz w:val="12"/>
              </w:rPr>
              <w:t>5 August 2026</w:t>
            </w:r>
          </w:p>
        </w:tc>
        <w:tc>
          <w:tcPr>
            <w:tcW w:w="864" w:type="dxa"/>
            <w:tcMar>
              <w:top w:w="70" w:type="dxa"/>
              <w:left w:w="80" w:type="dxa"/>
              <w:bottom w:w="70" w:type="dxa"/>
              <w:right w:w="80" w:type="dxa"/>
            </w:tcMar>
            <w:vAlign w:val="center"/>
          </w:tcPr>
          <w:p>
            <w:r>
              <w:t>Official webpage</w:t>
            </w:r>
          </w:p>
        </w:tc>
        <w:tc>
          <w:tcPr>
            <w:tcW w:w="3384" w:type="dxa"/>
            <w:tcMar>
              <w:top w:w="70" w:type="dxa"/>
              <w:left w:w="80" w:type="dxa"/>
              <w:bottom w:w="70" w:type="dxa"/>
              <w:right w:w="80" w:type="dxa"/>
            </w:tcMar>
            <w:vAlign w:val="center"/>
          </w:tcPr>
          <w:p>
            <w:r>
              <w:t>https://protocol.dreame.tech/p2177/zh/general_privacyPolicy.html</w:t>
            </w:r>
          </w:p>
        </w:tc>
        <w:tc>
          <w:tcPr>
            <w:tcW w:w="2880" w:type="dxa"/>
            <w:tcMar>
              <w:top w:w="70" w:type="dxa"/>
              <w:left w:w="80" w:type="dxa"/>
              <w:bottom w:w="70" w:type="dxa"/>
              <w:right w:w="80" w:type="dxa"/>
            </w:tcMar>
            <w:vAlign w:val="center"/>
          </w:tcPr>
          <w:p w14:paraId="2156A115">
            <w:pPr>
              <w:spacing w:after="0"/>
            </w:pPr>
            <w:r>
              <w:rPr>
                <w:rFonts w:ascii="Arial" w:hAnsi="Arial"/>
                <w:sz w:val="12"/>
              </w:rPr>
              <w:t xml:space="preserve">01_markdown_texts/AG09_Dreame_privacy_policy.md; 03_supporting_attachments/02_markdown_texts/AG09_Dreame_Third_Party_SDK_List.md</w:t>
            </w:r>
          </w:p>
        </w:tc>
        <w:tc>
          <w:tcPr>
            <w:tcW w:w="3096" w:type="dxa"/>
            <w:tcMar>
              <w:top w:w="70" w:type="dxa"/>
              <w:left w:w="80" w:type="dxa"/>
              <w:bottom w:w="70" w:type="dxa"/>
              <w:right w:w="80" w:type="dxa"/>
            </w:tcMar>
            <w:vAlign w:val="center"/>
          </w:tcPr>
          <w:p w14:paraId="136E6ED6">
            <w:pPr>
              <w:spacing w:after="0"/>
            </w:pPr>
            <w:r>
              <w:rPr>
                <w:rFonts w:ascii="Arial" w:hAnsi="Arial"/>
                <w:sz w:val="12"/>
              </w:rPr>
              <w:t xml:space="preserve">02_original_policy_files/AG09_Dreame_source_document.docx; 03_supporting_attachments/01_original_files/AG09_Dreame_Third_Party_SDK_List.pdf</w:t>
            </w:r>
          </w:p>
        </w:tc>
        <w:tc>
          <w:tcPr>
            <w:tcW w:w="1152" w:type="dxa"/>
            <w:tcMar>
              <w:top w:w="70" w:type="dxa"/>
              <w:left w:w="80" w:type="dxa"/>
              <w:bottom w:w="70" w:type="dxa"/>
              <w:right w:w="80" w:type="dxa"/>
            </w:tcMar>
            <w:vAlign w:val="center"/>
          </w:tcPr>
          <w:p w14:paraId="0E9EB0CE">
            <w:pPr>
              <w:spacing w:after="0"/>
            </w:pPr>
            <w:r>
              <w:rPr>
                <w:rFonts w:ascii="Arial" w:hAnsi="Arial"/>
                <w:sz w:val="12"/>
              </w:rPr>
              <w:t>May cover multiple Dreame Health-supported models; no other sampled case uses this document</w:t>
            </w:r>
          </w:p>
        </w:tc>
        <w:tc>
          <w:tcPr>
            <w:tcW w:w="1296" w:type="dxa"/>
            <w:tcMar>
              <w:top w:w="70" w:type="dxa"/>
              <w:left w:w="80" w:type="dxa"/>
              <w:bottom w:w="70" w:type="dxa"/>
              <w:right w:w="80" w:type="dxa"/>
            </w:tcMar>
            <w:vAlign w:val="center"/>
          </w:tcPr>
          <w:p w14:paraId="78F196FD">
            <w:pPr>
              <w:spacing w:after="0"/>
            </w:pPr>
            <w:r>
              <w:rPr>
                <w:rFonts w:ascii="Arial" w:hAnsi="Arial"/>
                <w:sz w:val="12"/>
              </w:rPr>
              <w:t>The policy is represented once as AG9.</w:t>
            </w:r>
          </w:p>
        </w:tc>
      </w:tr>
      <w:tr w14:paraId="696A44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504" w:type="dxa"/>
            <w:shd w:val="clear" w:color="auto" w:fill="EEF4FA"/>
            <w:tcMar>
              <w:top w:w="70" w:type="dxa"/>
              <w:left w:w="80" w:type="dxa"/>
              <w:bottom w:w="70" w:type="dxa"/>
              <w:right w:w="80" w:type="dxa"/>
            </w:tcMar>
            <w:vAlign w:val="center"/>
          </w:tcPr>
          <w:p w14:paraId="46431782">
            <w:pPr>
              <w:spacing w:after="0"/>
            </w:pPr>
            <w:r>
              <w:rPr>
                <w:rFonts w:ascii="Arial" w:hAnsi="Arial"/>
                <w:sz w:val="12"/>
              </w:rPr>
              <w:t>AG10</w:t>
            </w:r>
          </w:p>
        </w:tc>
        <w:tc>
          <w:tcPr>
            <w:tcW w:w="1080" w:type="dxa"/>
            <w:shd w:val="clear" w:color="auto" w:fill="EEF4FA"/>
            <w:tcMar>
              <w:top w:w="70" w:type="dxa"/>
              <w:left w:w="80" w:type="dxa"/>
              <w:bottom w:w="70" w:type="dxa"/>
              <w:right w:w="80" w:type="dxa"/>
            </w:tcMar>
            <w:vAlign w:val="center"/>
          </w:tcPr>
          <w:p w14:paraId="16E9BF21">
            <w:pPr>
              <w:spacing w:after="0"/>
            </w:pPr>
            <w:r>
              <w:rPr>
                <w:rFonts w:ascii="Arial" w:hAnsi="Arial"/>
                <w:sz w:val="12"/>
              </w:rPr>
              <w:t>Version 1.17; updated/effective 10 January 2025</w:t>
            </w:r>
          </w:p>
        </w:tc>
        <w:tc>
          <w:tcPr>
            <w:tcW w:w="792" w:type="dxa"/>
            <w:shd w:val="clear" w:color="auto" w:fill="EEF4FA"/>
            <w:tcMar>
              <w:top w:w="70" w:type="dxa"/>
              <w:left w:w="80" w:type="dxa"/>
              <w:bottom w:w="70" w:type="dxa"/>
              <w:right w:w="80" w:type="dxa"/>
            </w:tcMar>
            <w:vAlign w:val="center"/>
          </w:tcPr>
          <w:p w14:paraId="205613DB">
            <w:pPr>
              <w:spacing w:after="0"/>
            </w:pPr>
            <w:r>
              <w:rPr>
                <w:rFonts w:ascii="Arial" w:hAnsi="Arial"/>
                <w:sz w:val="12"/>
              </w:rPr>
              <w:t>5 August 2026</w:t>
            </w:r>
          </w:p>
        </w:tc>
        <w:tc>
          <w:tcPr>
            <w:tcW w:w="864" w:type="dxa"/>
            <w:shd w:val="clear" w:color="auto" w:fill="EEF4FA"/>
            <w:tcMar>
              <w:top w:w="70" w:type="dxa"/>
              <w:left w:w="80" w:type="dxa"/>
              <w:bottom w:w="70" w:type="dxa"/>
              <w:right w:w="80" w:type="dxa"/>
            </w:tcMar>
            <w:vAlign w:val="center"/>
          </w:tcPr>
          <w:p>
            <w:r>
              <w:t>Official webpage</w:t>
            </w:r>
          </w:p>
        </w:tc>
        <w:tc>
          <w:tcPr>
            <w:tcW w:w="3384" w:type="dxa"/>
            <w:shd w:val="clear" w:color="auto" w:fill="EEF4FA"/>
            <w:tcMar>
              <w:top w:w="70" w:type="dxa"/>
              <w:left w:w="80" w:type="dxa"/>
              <w:bottom w:w="70" w:type="dxa"/>
              <w:right w:w="80" w:type="dxa"/>
            </w:tcMar>
            <w:vAlign w:val="center"/>
          </w:tcPr>
          <w:p>
            <w:r>
              <w:t>https://static.meizu.com/resources/term/privacy8.html</w:t>
            </w:r>
          </w:p>
        </w:tc>
        <w:tc>
          <w:tcPr>
            <w:tcW w:w="2880" w:type="dxa"/>
            <w:shd w:val="clear" w:color="auto" w:fill="EEF4FA"/>
            <w:tcMar>
              <w:top w:w="70" w:type="dxa"/>
              <w:left w:w="80" w:type="dxa"/>
              <w:bottom w:w="70" w:type="dxa"/>
              <w:right w:w="80" w:type="dxa"/>
            </w:tcMar>
            <w:vAlign w:val="center"/>
          </w:tcPr>
          <w:p w14:paraId="31DCFCBF">
            <w:pPr>
              <w:spacing w:after="0"/>
            </w:pPr>
            <w:r>
              <w:rPr>
                <w:rFonts w:ascii="Arial" w:hAnsi="Arial"/>
                <w:sz w:val="12"/>
              </w:rPr>
              <w:t xml:space="preserve">01_markdown_texts/AG10_Meizu_MYVU_privacy_policy.md; 03_supporting_attachments/02_markdown_texts/AG10_Meizu_Personal_Information_Collection_List.md; 03_supporting_attachments/02_markdown_texts/AG10_Meizu_Third_Party_Information_Sharing_List.md</w:t>
            </w:r>
          </w:p>
        </w:tc>
        <w:tc>
          <w:tcPr>
            <w:tcW w:w="3096" w:type="dxa"/>
            <w:shd w:val="clear" w:color="auto" w:fill="EEF4FA"/>
            <w:tcMar>
              <w:top w:w="70" w:type="dxa"/>
              <w:left w:w="80" w:type="dxa"/>
              <w:bottom w:w="70" w:type="dxa"/>
              <w:right w:w="80" w:type="dxa"/>
            </w:tcMar>
            <w:vAlign w:val="center"/>
          </w:tcPr>
          <w:p w14:paraId="05D8F8F1">
            <w:pPr>
              <w:spacing w:after="0"/>
            </w:pPr>
            <w:r>
              <w:rPr>
                <w:rFonts w:ascii="Arial" w:hAnsi="Arial"/>
                <w:sz w:val="12"/>
              </w:rPr>
              <w:t xml:space="preserve">02_original_policy_files/AG10_Meizu_MYVU_source_document.pdf; 03_supporting_attachments/01_original_files/AG10_Meizu_Personal_Information_Collection_List.pdf; 03_supporting_attachments/01_original_files/AG10_Meizu_Third_Party_Information_Sharing_List.pdf</w:t>
            </w:r>
          </w:p>
        </w:tc>
        <w:tc>
          <w:tcPr>
            <w:tcW w:w="1152" w:type="dxa"/>
            <w:shd w:val="clear" w:color="auto" w:fill="EEF4FA"/>
            <w:tcMar>
              <w:top w:w="70" w:type="dxa"/>
              <w:left w:w="80" w:type="dxa"/>
              <w:bottom w:w="70" w:type="dxa"/>
              <w:right w:w="80" w:type="dxa"/>
            </w:tcMar>
            <w:vAlign w:val="center"/>
          </w:tcPr>
          <w:p w14:paraId="6FD2E8F3">
            <w:pPr>
              <w:spacing w:after="0"/>
            </w:pPr>
            <w:r>
              <w:rPr>
                <w:rFonts w:ascii="Arial" w:hAnsi="Arial"/>
                <w:sz w:val="12"/>
              </w:rPr>
              <w:t>Covers MYVU services and supported wearable devices; no other sampled case uses this document</w:t>
            </w:r>
          </w:p>
        </w:tc>
        <w:tc>
          <w:tcPr>
            <w:tcW w:w="1296" w:type="dxa"/>
            <w:shd w:val="clear" w:color="auto" w:fill="EEF4FA"/>
            <w:tcMar>
              <w:top w:w="70" w:type="dxa"/>
              <w:left w:w="80" w:type="dxa"/>
              <w:bottom w:w="70" w:type="dxa"/>
              <w:right w:w="80" w:type="dxa"/>
            </w:tcMar>
            <w:vAlign w:val="center"/>
          </w:tcPr>
          <w:p w14:paraId="093FA359">
            <w:pPr>
              <w:spacing w:after="0"/>
            </w:pPr>
            <w:r>
              <w:rPr>
                <w:rFonts w:ascii="Arial" w:hAnsi="Arial"/>
                <w:sz w:val="12"/>
              </w:rPr>
              <w:t>The MYVU policy is represented once as AG10.</w:t>
            </w:r>
          </w:p>
        </w:tc>
      </w:tr>
      <w:tr w14:paraId="10ABCA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504" w:type="dxa"/>
            <w:tcMar>
              <w:top w:w="70" w:type="dxa"/>
              <w:left w:w="80" w:type="dxa"/>
              <w:bottom w:w="70" w:type="dxa"/>
              <w:right w:w="80" w:type="dxa"/>
            </w:tcMar>
            <w:vAlign w:val="center"/>
          </w:tcPr>
          <w:p w14:paraId="2CD4D068">
            <w:pPr>
              <w:spacing w:after="0"/>
            </w:pPr>
            <w:r>
              <w:rPr>
                <w:rFonts w:ascii="Arial" w:hAnsi="Arial"/>
                <w:sz w:val="12"/>
              </w:rPr>
              <w:t>AG11</w:t>
            </w:r>
          </w:p>
        </w:tc>
        <w:tc>
          <w:tcPr>
            <w:tcW w:w="1080" w:type="dxa"/>
            <w:tcMar>
              <w:top w:w="70" w:type="dxa"/>
              <w:left w:w="80" w:type="dxa"/>
              <w:bottom w:w="70" w:type="dxa"/>
              <w:right w:w="80" w:type="dxa"/>
            </w:tcMar>
            <w:vAlign w:val="center"/>
          </w:tcPr>
          <w:p w14:paraId="7B4BF0EE">
            <w:pPr>
              <w:spacing w:after="0"/>
            </w:pPr>
            <w:r>
              <w:rPr>
                <w:rFonts w:hint="eastAsia" w:ascii="Arial" w:hAnsi="Arial"/>
                <w:sz w:val="12"/>
              </w:rPr>
              <w:t>Updated 7 March 2024</w:t>
            </w:r>
          </w:p>
        </w:tc>
        <w:tc>
          <w:tcPr>
            <w:tcW w:w="792" w:type="dxa"/>
            <w:tcMar>
              <w:top w:w="70" w:type="dxa"/>
              <w:left w:w="80" w:type="dxa"/>
              <w:bottom w:w="70" w:type="dxa"/>
              <w:right w:w="80" w:type="dxa"/>
            </w:tcMar>
            <w:vAlign w:val="center"/>
          </w:tcPr>
          <w:p w14:paraId="2B66E1C8">
            <w:pPr>
              <w:spacing w:after="0"/>
            </w:pPr>
            <w:r>
              <w:rPr>
                <w:rFonts w:ascii="Arial" w:hAnsi="Arial"/>
                <w:sz w:val="12"/>
              </w:rPr>
              <w:t>5 August 2026</w:t>
            </w:r>
          </w:p>
        </w:tc>
        <w:tc>
          <w:tcPr>
            <w:tcW w:w="864" w:type="dxa"/>
            <w:tcMar>
              <w:top w:w="70" w:type="dxa"/>
              <w:left w:w="80" w:type="dxa"/>
              <w:bottom w:w="70" w:type="dxa"/>
              <w:right w:w="80" w:type="dxa"/>
            </w:tcMar>
            <w:vAlign w:val="center"/>
          </w:tcPr>
          <w:p>
            <w:r>
              <w:t>In-app</w:t>
            </w:r>
          </w:p>
        </w:tc>
        <w:tc>
          <w:tcPr>
            <w:tcW w:w="3384" w:type="dxa"/>
            <w:tcMar>
              <w:top w:w="70" w:type="dxa"/>
              <w:left w:w="80" w:type="dxa"/>
              <w:bottom w:w="70" w:type="dxa"/>
              <w:right w:w="80" w:type="dxa"/>
            </w:tcMar>
            <w:vAlign w:val="center"/>
          </w:tcPr>
          <w:p>
            <w:r>
              <w:t>In-app access: Black Shark Ring</w:t>
            </w:r>
          </w:p>
        </w:tc>
        <w:tc>
          <w:tcPr>
            <w:tcW w:w="2880" w:type="dxa"/>
            <w:tcMar>
              <w:top w:w="70" w:type="dxa"/>
              <w:left w:w="80" w:type="dxa"/>
              <w:bottom w:w="70" w:type="dxa"/>
              <w:right w:w="80" w:type="dxa"/>
            </w:tcMar>
            <w:vAlign w:val="center"/>
          </w:tcPr>
          <w:p w14:paraId="7574142E">
            <w:pPr>
              <w:spacing w:after="0"/>
              <w:rPr>
                <w:rFonts w:ascii="Arial" w:hAnsi="Arial"/>
                <w:sz w:val="12"/>
              </w:rPr>
            </w:pPr>
            <w:r>
              <w:rPr>
                <w:rFonts w:ascii="Arial" w:hAnsi="Arial"/>
                <w:sz w:val="12"/>
              </w:rPr>
              <w:t>01_markdown_texts/AG11_Black_Shark_privacy_policy.md</w:t>
            </w:r>
          </w:p>
          <w:p w14:paraId="230E65C1">
            <w:pPr>
              <w:spacing w:after="0"/>
              <w:rPr>
                <w:rFonts w:ascii="Arial" w:hAnsi="Arial"/>
                <w:sz w:val="12"/>
              </w:rPr>
            </w:pPr>
            <w:r>
              <w:rPr>
                <w:rFonts w:hint="eastAsia" w:ascii="Arial" w:hAnsi="Arial"/>
                <w:sz w:val="12"/>
              </w:rPr>
              <w:tab/>
            </w:r>
          </w:p>
        </w:tc>
        <w:tc>
          <w:tcPr>
            <w:tcW w:w="3096" w:type="dxa"/>
            <w:tcMar>
              <w:top w:w="70" w:type="dxa"/>
              <w:left w:w="80" w:type="dxa"/>
              <w:bottom w:w="70" w:type="dxa"/>
              <w:right w:w="80" w:type="dxa"/>
            </w:tcMar>
            <w:vAlign w:val="center"/>
          </w:tcPr>
          <w:p w14:paraId="0137258C">
            <w:pPr>
              <w:spacing w:after="0"/>
              <w:rPr>
                <w:rFonts w:ascii="Arial" w:hAnsi="Arial"/>
                <w:sz w:val="12"/>
              </w:rPr>
            </w:pPr>
            <w:r>
              <w:rPr>
                <w:rFonts w:ascii="Arial" w:hAnsi="Arial"/>
                <w:sz w:val="12"/>
              </w:rPr>
              <w:t>02_original_policy_files/AG11_Black_Shark_source_document.docx</w:t>
            </w:r>
          </w:p>
          <w:p w14:paraId="1D8F46F8">
            <w:pPr>
              <w:spacing w:after="0"/>
              <w:rPr>
                <w:rFonts w:ascii="Arial" w:hAnsi="Arial"/>
                <w:sz w:val="12"/>
              </w:rPr>
            </w:pPr>
          </w:p>
        </w:tc>
        <w:tc>
          <w:tcPr>
            <w:tcW w:w="1152" w:type="dxa"/>
            <w:tcMar>
              <w:top w:w="70" w:type="dxa"/>
              <w:left w:w="80" w:type="dxa"/>
              <w:bottom w:w="70" w:type="dxa"/>
              <w:right w:w="80" w:type="dxa"/>
            </w:tcMar>
            <w:vAlign w:val="center"/>
          </w:tcPr>
          <w:p w14:paraId="3BA81080">
            <w:pPr>
              <w:spacing w:after="0"/>
              <w:rPr>
                <w:rFonts w:hint="default" w:eastAsiaTheme="minorEastAsia"/>
                <w:lang w:val="en-US" w:eastAsia="zh-CN"/>
              </w:rPr>
            </w:pPr>
            <w:r>
              <w:rPr>
                <w:rFonts w:hint="eastAsia" w:ascii="Arial" w:hAnsi="Arial"/>
                <w:sz w:val="12"/>
              </w:rPr>
              <w:t>May govern Black Shark Ring App-supported devices; no other sampled case uses this document</w:t>
            </w:r>
          </w:p>
        </w:tc>
        <w:tc>
          <w:tcPr>
            <w:tcW w:w="1296" w:type="dxa"/>
            <w:tcMar>
              <w:top w:w="70" w:type="dxa"/>
              <w:left w:w="80" w:type="dxa"/>
              <w:bottom w:w="70" w:type="dxa"/>
              <w:right w:w="80" w:type="dxa"/>
            </w:tcMar>
            <w:vAlign w:val="center"/>
          </w:tcPr>
          <w:p w14:paraId="398DD186">
            <w:pPr>
              <w:spacing w:after="0"/>
            </w:pPr>
            <w:r>
              <w:rPr>
                <w:rFonts w:hint="eastAsia" w:ascii="Arial" w:hAnsi="Arial"/>
                <w:sz w:val="12"/>
              </w:rPr>
              <w:t>The ring policy is represented once; no duplicate Black Shark case is included.</w:t>
            </w:r>
          </w:p>
        </w:tc>
      </w:tr>
      <w:tr w14:paraId="7BEFA6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504" w:type="dxa"/>
            <w:shd w:val="clear" w:color="auto" w:fill="EEF4FA"/>
            <w:tcMar>
              <w:top w:w="70" w:type="dxa"/>
              <w:left w:w="80" w:type="dxa"/>
              <w:bottom w:w="70" w:type="dxa"/>
              <w:right w:w="80" w:type="dxa"/>
            </w:tcMar>
            <w:vAlign w:val="top"/>
          </w:tcPr>
          <w:p>
            <w:pPr>
              <w:spacing w:after="0"/>
            </w:pPr>
            <w:r>
              <w:rPr>
                <w:rFonts w:ascii="Arial" w:hAnsi="Arial"/>
                <w:sz w:val="12"/>
              </w:rPr>
              <w:t>AG12</w:t>
            </w:r>
          </w:p>
        </w:tc>
        <w:tc>
          <w:tcPr>
            <w:tcW w:w="1080" w:type="dxa"/>
            <w:shd w:val="clear" w:color="auto" w:fill="EEF4FA"/>
            <w:tcMar>
              <w:top w:w="70" w:type="dxa"/>
              <w:left w:w="80" w:type="dxa"/>
              <w:bottom w:w="70" w:type="dxa"/>
              <w:right w:w="80" w:type="dxa"/>
            </w:tcMar>
            <w:vAlign w:val="top"/>
          </w:tcPr>
          <w:p>
            <w:pPr>
              <w:spacing w:after="0"/>
            </w:pPr>
            <w:r>
              <w:rPr>
                <w:rFonts w:ascii="Arial" w:hAnsi="Arial"/>
                <w:sz w:val="12"/>
              </w:rPr>
              <w:t>Health Life policy: effective 8 Oct 2024; general statement: updated 21 Aug 2025</w:t>
            </w:r>
          </w:p>
        </w:tc>
        <w:tc>
          <w:tcPr>
            <w:tcW w:w="792" w:type="dxa"/>
            <w:shd w:val="clear" w:color="auto" w:fill="EEF4FA"/>
            <w:tcMar>
              <w:top w:w="70" w:type="dxa"/>
              <w:left w:w="80" w:type="dxa"/>
              <w:bottom w:w="70" w:type="dxa"/>
              <w:right w:w="80" w:type="dxa"/>
            </w:tcMar>
            <w:vAlign w:val="top"/>
          </w:tcPr>
          <w:p>
            <w:pPr>
              <w:spacing w:after="0"/>
            </w:pPr>
            <w:r>
              <w:rPr>
                <w:rFonts w:ascii="Arial" w:hAnsi="Arial"/>
                <w:sz w:val="12"/>
              </w:rPr>
              <w:t xml:space="preserve">Supplementary source matching closed 25 September 2026; product-specific policy archived 27 September 2026; incorporated general statement accessed 5 August 2026</w:t>
            </w:r>
          </w:p>
        </w:tc>
        <w:tc>
          <w:tcPr>
            <w:tcW w:w="864" w:type="dxa"/>
            <w:shd w:val="clear" w:color="auto" w:fill="EEF4FA"/>
            <w:tcMar>
              <w:top w:w="70" w:type="dxa"/>
              <w:left w:w="80" w:type="dxa"/>
              <w:bottom w:w="70" w:type="dxa"/>
              <w:right w:w="80" w:type="dxa"/>
            </w:tcMar>
            <w:vAlign w:val="top"/>
          </w:tcPr>
          <w:p>
            <w:pPr>
              <w:spacing w:after="0"/>
            </w:pPr>
            <w:r>
              <w:rPr>
                <w:rFonts w:ascii="Arial" w:hAnsi="Arial"/>
                <w:sz w:val="12"/>
              </w:rPr>
              <w:t>Official webpage</w:t>
            </w:r>
          </w:p>
        </w:tc>
        <w:tc>
          <w:tcPr>
            <w:tcW w:w="3384" w:type="dxa"/>
            <w:shd w:val="clear" w:color="auto" w:fill="EEF4FA"/>
            <w:tcMar>
              <w:top w:w="70" w:type="dxa"/>
              <w:left w:w="80" w:type="dxa"/>
              <w:bottom w:w="70" w:type="dxa"/>
              <w:right w:w="80" w:type="dxa"/>
            </w:tcMar>
            <w:vAlign w:val="top"/>
          </w:tcPr>
          <w:p>
            <w:pPr>
              <w:spacing w:after="0"/>
            </w:pPr>
            <w:r>
              <w:rPr>
                <w:rFonts w:ascii="Arial" w:hAnsi="Arial"/>
                <w:sz w:val="12"/>
              </w:rPr>
              <w:t>https://lenovo-api.idours.cn/privacy_policy.html</w:t>
              <w:br/>
              <w:t>https://www.lenovo.com.cn/statement/privacy.html?tab=2</w:t>
            </w:r>
          </w:p>
        </w:tc>
        <w:tc>
          <w:tcPr>
            <w:tcW w:w="2880" w:type="dxa"/>
            <w:shd w:val="clear" w:color="auto" w:fill="EEF4FA"/>
            <w:tcMar>
              <w:top w:w="70" w:type="dxa"/>
              <w:left w:w="80" w:type="dxa"/>
              <w:bottom w:w="70" w:type="dxa"/>
              <w:right w:w="80" w:type="dxa"/>
            </w:tcMar>
            <w:vAlign w:val="top"/>
          </w:tcPr>
          <w:p>
            <w:pPr>
              <w:spacing w:after="0"/>
            </w:pPr>
            <w:r>
              <w:rPr>
                <w:rFonts w:ascii="Arial" w:hAnsi="Arial"/>
                <w:sz w:val="12"/>
              </w:rPr>
              <w:t xml:space="preserve">01_markdown_texts/AG12_Lenovo_Health_Life_privacy_policy.md; 01_markdown_texts/AG12_Lenovo_General_Privacy_Statement_supplement.md</w:t>
              <w:br/>
              <w:t/>
            </w:r>
          </w:p>
        </w:tc>
        <w:tc>
          <w:tcPr>
            <w:tcW w:w="3096" w:type="dxa"/>
            <w:shd w:val="clear" w:color="auto" w:fill="EEF4FA"/>
            <w:tcMar>
              <w:top w:w="70" w:type="dxa"/>
              <w:left w:w="80" w:type="dxa"/>
              <w:bottom w:w="70" w:type="dxa"/>
              <w:right w:w="80" w:type="dxa"/>
            </w:tcMar>
            <w:vAlign w:val="top"/>
          </w:tcPr>
          <w:p>
            <w:pPr>
              <w:spacing w:after="0"/>
            </w:pPr>
            <w:r>
              <w:rPr>
                <w:rFonts w:ascii="Arial" w:hAnsi="Arial"/>
                <w:sz w:val="12"/>
              </w:rPr>
              <w:t xml:space="preserve">02_original_policy_files/AG12_Lenovo_Health_Life_source_document.pdf; 02_original_policy_files/AG12_Lenovo_General_Privacy_Statement_supplement.docx</w:t>
              <w:br/>
              <w:t/>
            </w:r>
          </w:p>
        </w:tc>
        <w:tc>
          <w:tcPr>
            <w:tcW w:w="1152" w:type="dxa"/>
            <w:shd w:val="clear" w:color="auto" w:fill="EEF4FA"/>
            <w:tcMar>
              <w:top w:w="70" w:type="dxa"/>
              <w:left w:w="80" w:type="dxa"/>
              <w:bottom w:w="70" w:type="dxa"/>
              <w:right w:w="80" w:type="dxa"/>
            </w:tcMar>
            <w:vAlign w:val="top"/>
          </w:tcPr>
          <w:p>
            <w:pPr>
              <w:spacing w:after="0"/>
            </w:pPr>
            <w:r>
              <w:rPr>
                <w:rFonts w:ascii="Arial" w:hAnsi="Arial"/>
                <w:sz w:val="12"/>
              </w:rPr>
              <w:t>Primary product-specific policy; no other case uses this document set.</w:t>
            </w:r>
          </w:p>
        </w:tc>
        <w:tc>
          <w:tcPr>
            <w:tcW w:w="1296" w:type="dxa"/>
            <w:shd w:val="clear" w:color="auto" w:fill="EEF4FA"/>
            <w:tcMar>
              <w:top w:w="70" w:type="dxa"/>
              <w:left w:w="80" w:type="dxa"/>
              <w:bottom w:w="70" w:type="dxa"/>
              <w:right w:w="80" w:type="dxa"/>
            </w:tcMar>
            <w:vAlign w:val="top"/>
          </w:tcPr>
          <w:p>
            <w:pPr>
              <w:spacing w:after="0"/>
            </w:pPr>
            <w:r>
              <w:rPr>
                <w:rFonts w:ascii="Arial" w:hAnsi="Arial"/>
                <w:sz w:val="12"/>
              </w:rPr>
              <w:t>Primary source: the product-specific policy, effective before the 5 Aug 2026 analytical cut-off. Supplementary source matching closed 25 Sep 2026 and the files were archived 27 Sep 2026. The general statement is used only where expressly incorporated.</w:t>
            </w:r>
          </w:p>
        </w:tc>
      </w:tr>
      <w:tr w14:paraId="69637C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504" w:type="dxa"/>
            <w:tcMar>
              <w:top w:w="70" w:type="dxa"/>
              <w:left w:w="80" w:type="dxa"/>
              <w:bottom w:w="70" w:type="dxa"/>
              <w:right w:w="80" w:type="dxa"/>
            </w:tcMar>
            <w:vAlign w:val="center"/>
          </w:tcPr>
          <w:p w14:paraId="33E6418E">
            <w:pPr>
              <w:spacing w:after="0"/>
            </w:pPr>
            <w:r>
              <w:rPr>
                <w:rFonts w:ascii="Arial" w:hAnsi="Arial"/>
                <w:sz w:val="12"/>
              </w:rPr>
              <w:t>AG13</w:t>
            </w:r>
          </w:p>
        </w:tc>
        <w:tc>
          <w:tcPr>
            <w:tcW w:w="1080" w:type="dxa"/>
            <w:tcMar>
              <w:top w:w="70" w:type="dxa"/>
              <w:left w:w="80" w:type="dxa"/>
              <w:bottom w:w="70" w:type="dxa"/>
              <w:right w:w="80" w:type="dxa"/>
            </w:tcMar>
            <w:vAlign w:val="center"/>
          </w:tcPr>
          <w:p w14:paraId="236DB1FD">
            <w:pPr>
              <w:spacing w:after="0"/>
            </w:pPr>
            <w:r>
              <w:rPr>
                <w:rFonts w:ascii="Arial" w:hAnsi="Arial"/>
                <w:sz w:val="12"/>
              </w:rPr>
              <w:t>Updated 7 January 2026; effective 14 January 2026</w:t>
            </w:r>
          </w:p>
        </w:tc>
        <w:tc>
          <w:tcPr>
            <w:tcW w:w="792" w:type="dxa"/>
            <w:tcMar>
              <w:top w:w="70" w:type="dxa"/>
              <w:left w:w="80" w:type="dxa"/>
              <w:bottom w:w="70" w:type="dxa"/>
              <w:right w:w="80" w:type="dxa"/>
            </w:tcMar>
            <w:vAlign w:val="center"/>
          </w:tcPr>
          <w:p w14:paraId="425202BD">
            <w:pPr>
              <w:spacing w:after="0"/>
            </w:pPr>
            <w:r>
              <w:rPr>
                <w:rFonts w:ascii="Arial" w:hAnsi="Arial"/>
                <w:sz w:val="12"/>
              </w:rPr>
              <w:t>5 August 2026</w:t>
            </w:r>
          </w:p>
        </w:tc>
        <w:tc>
          <w:tcPr>
            <w:tcW w:w="864" w:type="dxa"/>
            <w:tcMar>
              <w:top w:w="70" w:type="dxa"/>
              <w:left w:w="80" w:type="dxa"/>
              <w:bottom w:w="70" w:type="dxa"/>
              <w:right w:w="80" w:type="dxa"/>
            </w:tcMar>
            <w:vAlign w:val="center"/>
          </w:tcPr>
          <w:p>
            <w:r>
              <w:t>Official webpage</w:t>
            </w:r>
          </w:p>
        </w:tc>
        <w:tc>
          <w:tcPr>
            <w:tcW w:w="3384" w:type="dxa"/>
            <w:tcMar>
              <w:top w:w="70" w:type="dxa"/>
              <w:left w:w="80" w:type="dxa"/>
              <w:bottom w:w="70" w:type="dxa"/>
              <w:right w:w="80" w:type="dxa"/>
            </w:tcMar>
            <w:vAlign w:val="center"/>
          </w:tcPr>
          <w:p>
            <w:r>
              <w:t>https://xiaodu.baidu.com/webssr/protocol?id=f9fb105e-d4b4-4953-a5a3-744f835dff65</w:t>
            </w:r>
          </w:p>
        </w:tc>
        <w:tc>
          <w:tcPr>
            <w:tcW w:w="2880" w:type="dxa"/>
            <w:tcMar>
              <w:top w:w="70" w:type="dxa"/>
              <w:left w:w="80" w:type="dxa"/>
              <w:bottom w:w="70" w:type="dxa"/>
              <w:right w:w="80" w:type="dxa"/>
            </w:tcMar>
            <w:vAlign w:val="center"/>
          </w:tcPr>
          <w:p w14:paraId="245EF96F">
            <w:pPr>
              <w:spacing w:after="0"/>
            </w:pPr>
            <w:r>
              <w:rPr>
                <w:rFonts w:ascii="Arial" w:hAnsi="Arial"/>
                <w:sz w:val="12"/>
              </w:rPr>
              <w:t xml:space="preserve">01_markdown_texts/AG13_Baidu_Xiaodu_privacy_policy.md; 03_supporting_attachments/02_markdown_texts/AG13_Baidu_Xiaodu_Third_Party_Information_Sharing_List.md</w:t>
            </w:r>
          </w:p>
        </w:tc>
        <w:tc>
          <w:tcPr>
            <w:tcW w:w="3096" w:type="dxa"/>
            <w:tcMar>
              <w:top w:w="70" w:type="dxa"/>
              <w:left w:w="80" w:type="dxa"/>
              <w:bottom w:w="70" w:type="dxa"/>
              <w:right w:w="80" w:type="dxa"/>
            </w:tcMar>
            <w:vAlign w:val="center"/>
          </w:tcPr>
          <w:p w14:paraId="6A93E971">
            <w:pPr>
              <w:spacing w:after="0"/>
            </w:pPr>
            <w:r>
              <w:rPr>
                <w:rFonts w:ascii="Arial" w:hAnsi="Arial"/>
                <w:sz w:val="12"/>
              </w:rPr>
              <w:t xml:space="preserve">02_original_policy_files/AG13_Baidu_Xiaodu_source_document.md; 03_supporting_attachments/01_original_files/AG13_Baidu_Xiaodu_Third_Party_Information_Sharing_List.docx</w:t>
            </w:r>
          </w:p>
        </w:tc>
        <w:tc>
          <w:tcPr>
            <w:tcW w:w="1152" w:type="dxa"/>
            <w:tcMar>
              <w:top w:w="70" w:type="dxa"/>
              <w:left w:w="80" w:type="dxa"/>
              <w:bottom w:w="70" w:type="dxa"/>
              <w:right w:w="80" w:type="dxa"/>
            </w:tcMar>
            <w:vAlign w:val="center"/>
          </w:tcPr>
          <w:p w14:paraId="476F9740">
            <w:pPr>
              <w:spacing w:after="0"/>
            </w:pPr>
            <w:r>
              <w:rPr>
                <w:rFonts w:ascii="Arial" w:hAnsi="Arial"/>
                <w:sz w:val="12"/>
              </w:rPr>
              <w:t>Broad policy covers multiple DuerOS clients and devices; no other sampled case uses this document</w:t>
            </w:r>
          </w:p>
        </w:tc>
        <w:tc>
          <w:tcPr>
            <w:tcW w:w="1296" w:type="dxa"/>
            <w:tcMar>
              <w:top w:w="70" w:type="dxa"/>
              <w:left w:w="80" w:type="dxa"/>
              <w:bottom w:w="70" w:type="dxa"/>
              <w:right w:w="80" w:type="dxa"/>
            </w:tcMar>
            <w:vAlign w:val="center"/>
          </w:tcPr>
          <w:p w14:paraId="1F0A4E1D">
            <w:pPr>
              <w:spacing w:after="0"/>
            </w:pPr>
            <w:r>
              <w:rPr>
                <w:rFonts w:ascii="Arial" w:hAnsi="Arial"/>
                <w:sz w:val="12"/>
              </w:rPr>
              <w:t>The policy is represented once and findings are limited to the archived document.</w:t>
            </w:r>
          </w:p>
        </w:tc>
      </w:tr>
      <w:tr w14:paraId="783B4B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504" w:type="dxa"/>
            <w:shd w:val="clear" w:color="auto" w:fill="EEF4FA"/>
            <w:tcMar>
              <w:top w:w="70" w:type="dxa"/>
              <w:left w:w="80" w:type="dxa"/>
              <w:bottom w:w="70" w:type="dxa"/>
              <w:right w:w="80" w:type="dxa"/>
            </w:tcMar>
            <w:vAlign w:val="center"/>
          </w:tcPr>
          <w:p w14:paraId="28AD70FB">
            <w:pPr>
              <w:spacing w:after="0"/>
            </w:pPr>
            <w:r>
              <w:rPr>
                <w:rFonts w:ascii="Arial" w:hAnsi="Arial"/>
                <w:sz w:val="12"/>
              </w:rPr>
              <w:t>AG14</w:t>
            </w:r>
          </w:p>
        </w:tc>
        <w:tc>
          <w:tcPr>
            <w:tcW w:w="1080" w:type="dxa"/>
            <w:shd w:val="clear" w:color="auto" w:fill="EEF4FA"/>
            <w:tcMar>
              <w:top w:w="70" w:type="dxa"/>
              <w:left w:w="80" w:type="dxa"/>
              <w:bottom w:w="70" w:type="dxa"/>
              <w:right w:w="80" w:type="dxa"/>
            </w:tcMar>
            <w:vAlign w:val="center"/>
          </w:tcPr>
          <w:p w14:paraId="20D42587">
            <w:pPr>
              <w:spacing w:after="0"/>
            </w:pPr>
            <w:r>
              <w:rPr>
                <w:rFonts w:ascii="Arial" w:hAnsi="Arial"/>
                <w:sz w:val="12"/>
              </w:rPr>
              <w:t>25 April 2026</w:t>
            </w:r>
          </w:p>
        </w:tc>
        <w:tc>
          <w:tcPr>
            <w:tcW w:w="792" w:type="dxa"/>
            <w:shd w:val="clear" w:color="auto" w:fill="EEF4FA"/>
            <w:tcMar>
              <w:top w:w="70" w:type="dxa"/>
              <w:left w:w="80" w:type="dxa"/>
              <w:bottom w:w="70" w:type="dxa"/>
              <w:right w:w="80" w:type="dxa"/>
            </w:tcMar>
            <w:vAlign w:val="center"/>
          </w:tcPr>
          <w:p w14:paraId="05B06571">
            <w:pPr>
              <w:spacing w:after="0"/>
            </w:pPr>
            <w:r>
              <w:rPr>
                <w:rFonts w:ascii="Arial" w:hAnsi="Arial"/>
                <w:sz w:val="12"/>
              </w:rPr>
              <w:t>5 August 2026</w:t>
            </w:r>
          </w:p>
        </w:tc>
        <w:tc>
          <w:tcPr>
            <w:tcW w:w="864" w:type="dxa"/>
            <w:shd w:val="clear" w:color="auto" w:fill="EEF4FA"/>
            <w:tcMar>
              <w:top w:w="70" w:type="dxa"/>
              <w:left w:w="80" w:type="dxa"/>
              <w:bottom w:w="70" w:type="dxa"/>
              <w:right w:w="80" w:type="dxa"/>
            </w:tcMar>
            <w:vAlign w:val="center"/>
          </w:tcPr>
          <w:p>
            <w:r>
              <w:t>Official webpage</w:t>
            </w:r>
          </w:p>
        </w:tc>
        <w:tc>
          <w:tcPr>
            <w:tcW w:w="3384" w:type="dxa"/>
            <w:shd w:val="clear" w:color="auto" w:fill="EEF4FA"/>
            <w:tcMar>
              <w:top w:w="70" w:type="dxa"/>
              <w:left w:w="80" w:type="dxa"/>
              <w:bottom w:w="70" w:type="dxa"/>
              <w:right w:w="80" w:type="dxa"/>
            </w:tcMar>
            <w:vAlign w:val="center"/>
          </w:tcPr>
          <w:p>
            <w:r>
              <w:t>https://privacy-drcn.dbankcdn.cn/agreement/scope/huawei/audio-connect/privacy-statement/cn_b0_20250901_0/default/privacy-statement-zh-cn.htm</w:t>
            </w:r>
          </w:p>
        </w:tc>
        <w:tc>
          <w:tcPr>
            <w:tcW w:w="2880" w:type="dxa"/>
            <w:shd w:val="clear" w:color="auto" w:fill="EEF4FA"/>
            <w:tcMar>
              <w:top w:w="70" w:type="dxa"/>
              <w:left w:w="80" w:type="dxa"/>
              <w:bottom w:w="70" w:type="dxa"/>
              <w:right w:w="80" w:type="dxa"/>
            </w:tcMar>
            <w:vAlign w:val="center"/>
          </w:tcPr>
          <w:p w14:paraId="386AC138">
            <w:pPr>
              <w:spacing w:after="0"/>
            </w:pPr>
            <w:r>
              <w:rPr>
                <w:rFonts w:ascii="Arial" w:hAnsi="Arial"/>
                <w:sz w:val="12"/>
              </w:rPr>
              <w:t>01_markdown_texts/AG14_Huawei_Audio_privacy_policy.md</w:t>
            </w:r>
          </w:p>
        </w:tc>
        <w:tc>
          <w:tcPr>
            <w:tcW w:w="3096" w:type="dxa"/>
            <w:shd w:val="clear" w:color="auto" w:fill="EEF4FA"/>
            <w:tcMar>
              <w:top w:w="70" w:type="dxa"/>
              <w:left w:w="80" w:type="dxa"/>
              <w:bottom w:w="70" w:type="dxa"/>
              <w:right w:w="80" w:type="dxa"/>
            </w:tcMar>
            <w:vAlign w:val="center"/>
          </w:tcPr>
          <w:p w14:paraId="7283436E">
            <w:pPr>
              <w:spacing w:after="0"/>
            </w:pPr>
            <w:r>
              <w:rPr>
                <w:rFonts w:ascii="Arial" w:hAnsi="Arial"/>
                <w:sz w:val="12"/>
              </w:rPr>
              <w:t>02_original_policy_files/AG14_Huawei_Audio_source_document.docx</w:t>
            </w:r>
          </w:p>
        </w:tc>
        <w:tc>
          <w:tcPr>
            <w:tcW w:w="1152" w:type="dxa"/>
            <w:shd w:val="clear" w:color="auto" w:fill="EEF4FA"/>
            <w:tcMar>
              <w:top w:w="70" w:type="dxa"/>
              <w:left w:w="80" w:type="dxa"/>
              <w:bottom w:w="70" w:type="dxa"/>
              <w:right w:w="80" w:type="dxa"/>
            </w:tcMar>
            <w:vAlign w:val="center"/>
          </w:tcPr>
          <w:p w14:paraId="30BEB4BE">
            <w:pPr>
              <w:spacing w:after="0"/>
            </w:pPr>
            <w:r>
              <w:rPr>
                <w:rFonts w:ascii="Arial" w:hAnsi="Arial"/>
                <w:sz w:val="12"/>
              </w:rPr>
              <w:t>May govern multiple Huawei audio models; separate from AG1</w:t>
            </w:r>
          </w:p>
        </w:tc>
        <w:tc>
          <w:tcPr>
            <w:tcW w:w="1296" w:type="dxa"/>
            <w:shd w:val="clear" w:color="auto" w:fill="EEF4FA"/>
            <w:tcMar>
              <w:top w:w="70" w:type="dxa"/>
              <w:left w:w="80" w:type="dxa"/>
              <w:bottom w:w="70" w:type="dxa"/>
              <w:right w:w="80" w:type="dxa"/>
            </w:tcMar>
            <w:vAlign w:val="center"/>
          </w:tcPr>
          <w:p w14:paraId="1F28B883">
            <w:pPr>
              <w:spacing w:after="0"/>
            </w:pPr>
            <w:r>
              <w:rPr>
                <w:rFonts w:ascii="Arial" w:hAnsi="Arial"/>
                <w:sz w:val="12"/>
              </w:rPr>
              <w:t>AG14 concerns a different device category and a distinct audio-specific statement from AG1.</w:t>
            </w:r>
          </w:p>
        </w:tc>
      </w:tr>
      <w:tr w14:paraId="44DF8B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504" w:type="dxa"/>
            <w:tcMar>
              <w:top w:w="70" w:type="dxa"/>
              <w:left w:w="80" w:type="dxa"/>
              <w:bottom w:w="70" w:type="dxa"/>
              <w:right w:w="80" w:type="dxa"/>
            </w:tcMar>
            <w:vAlign w:val="center"/>
          </w:tcPr>
          <w:p w14:paraId="15BD62FE">
            <w:pPr>
              <w:spacing w:after="0"/>
            </w:pPr>
            <w:r>
              <w:rPr>
                <w:rFonts w:ascii="Arial" w:hAnsi="Arial"/>
                <w:sz w:val="12"/>
              </w:rPr>
              <w:t>AG15</w:t>
            </w:r>
          </w:p>
        </w:tc>
        <w:tc>
          <w:tcPr>
            <w:tcW w:w="1080" w:type="dxa"/>
            <w:tcMar>
              <w:top w:w="70" w:type="dxa"/>
              <w:left w:w="80" w:type="dxa"/>
              <w:bottom w:w="70" w:type="dxa"/>
              <w:right w:w="80" w:type="dxa"/>
            </w:tcMar>
            <w:vAlign w:val="center"/>
          </w:tcPr>
          <w:p w14:paraId="1D8B5A74">
            <w:pPr>
              <w:spacing w:after="0"/>
            </w:pPr>
            <w:r>
              <w:rPr>
                <w:rFonts w:ascii="Arial" w:hAnsi="Arial"/>
                <w:sz w:val="12"/>
              </w:rPr>
              <w:t>21 July 2021</w:t>
            </w:r>
          </w:p>
        </w:tc>
        <w:tc>
          <w:tcPr>
            <w:tcW w:w="792" w:type="dxa"/>
            <w:tcMar>
              <w:top w:w="70" w:type="dxa"/>
              <w:left w:w="80" w:type="dxa"/>
              <w:bottom w:w="70" w:type="dxa"/>
              <w:right w:w="80" w:type="dxa"/>
            </w:tcMar>
            <w:vAlign w:val="center"/>
          </w:tcPr>
          <w:p w14:paraId="0619E61E">
            <w:pPr>
              <w:spacing w:after="0"/>
            </w:pPr>
            <w:r>
              <w:rPr>
                <w:rFonts w:ascii="Arial" w:hAnsi="Arial"/>
                <w:sz w:val="12"/>
              </w:rPr>
              <w:t>5 August 2026</w:t>
            </w:r>
          </w:p>
        </w:tc>
        <w:tc>
          <w:tcPr>
            <w:tcW w:w="864" w:type="dxa"/>
            <w:tcMar>
              <w:top w:w="70" w:type="dxa"/>
              <w:left w:w="80" w:type="dxa"/>
              <w:bottom w:w="70" w:type="dxa"/>
              <w:right w:w="80" w:type="dxa"/>
            </w:tcMar>
            <w:vAlign w:val="center"/>
          </w:tcPr>
          <w:p>
            <w:r>
              <w:t>Official webpage</w:t>
            </w:r>
          </w:p>
        </w:tc>
        <w:tc>
          <w:tcPr>
            <w:tcW w:w="3384" w:type="dxa"/>
            <w:tcMar>
              <w:top w:w="70" w:type="dxa"/>
              <w:left w:w="80" w:type="dxa"/>
              <w:bottom w:w="70" w:type="dxa"/>
              <w:right w:w="80" w:type="dxa"/>
            </w:tcMar>
            <w:vAlign w:val="center"/>
          </w:tcPr>
          <w:p>
            <w:r>
              <w:t>https://edifier.com/privacy.html</w:t>
            </w:r>
          </w:p>
        </w:tc>
        <w:tc>
          <w:tcPr>
            <w:tcW w:w="2880" w:type="dxa"/>
            <w:tcMar>
              <w:top w:w="70" w:type="dxa"/>
              <w:left w:w="80" w:type="dxa"/>
              <w:bottom w:w="70" w:type="dxa"/>
              <w:right w:w="80" w:type="dxa"/>
            </w:tcMar>
            <w:vAlign w:val="center"/>
          </w:tcPr>
          <w:p w14:paraId="462F1436">
            <w:pPr>
              <w:spacing w:after="0"/>
            </w:pPr>
            <w:r>
              <w:rPr>
                <w:rFonts w:ascii="Arial" w:hAnsi="Arial"/>
                <w:sz w:val="12"/>
              </w:rPr>
              <w:t>01_markdown_texts/AG15_Edifier_privacy_policy.md</w:t>
            </w:r>
          </w:p>
        </w:tc>
        <w:tc>
          <w:tcPr>
            <w:tcW w:w="3096" w:type="dxa"/>
            <w:tcMar>
              <w:top w:w="70" w:type="dxa"/>
              <w:left w:w="80" w:type="dxa"/>
              <w:bottom w:w="70" w:type="dxa"/>
              <w:right w:w="80" w:type="dxa"/>
            </w:tcMar>
            <w:vAlign w:val="center"/>
          </w:tcPr>
          <w:p w14:paraId="17273FF3">
            <w:pPr>
              <w:spacing w:after="0"/>
            </w:pPr>
            <w:r>
              <w:rPr>
                <w:rFonts w:ascii="Arial" w:hAnsi="Arial"/>
                <w:sz w:val="12"/>
              </w:rPr>
              <w:t>02_original_policy_files/AG15_Edifier_source_document.docx</w:t>
            </w:r>
          </w:p>
        </w:tc>
        <w:tc>
          <w:tcPr>
            <w:tcW w:w="1152" w:type="dxa"/>
            <w:tcMar>
              <w:top w:w="70" w:type="dxa"/>
              <w:left w:w="80" w:type="dxa"/>
              <w:bottom w:w="70" w:type="dxa"/>
              <w:right w:w="80" w:type="dxa"/>
            </w:tcMar>
            <w:vAlign w:val="center"/>
          </w:tcPr>
          <w:p w14:paraId="57CD0912">
            <w:pPr>
              <w:spacing w:after="0"/>
            </w:pPr>
            <w:r>
              <w:rPr>
                <w:rFonts w:ascii="Arial" w:hAnsi="Arial"/>
                <w:sz w:val="12"/>
              </w:rPr>
              <w:t>Covers Edifier Connect and compatible devices; no other sampled case uses this document</w:t>
            </w:r>
          </w:p>
        </w:tc>
        <w:tc>
          <w:tcPr>
            <w:tcW w:w="1296" w:type="dxa"/>
            <w:tcMar>
              <w:top w:w="70" w:type="dxa"/>
              <w:left w:w="80" w:type="dxa"/>
              <w:bottom w:w="70" w:type="dxa"/>
              <w:right w:w="80" w:type="dxa"/>
            </w:tcMar>
            <w:vAlign w:val="center"/>
          </w:tcPr>
          <w:p w14:paraId="6FE1CF6D">
            <w:pPr>
              <w:spacing w:after="0"/>
            </w:pPr>
            <w:r>
              <w:rPr>
                <w:rFonts w:ascii="Arial" w:hAnsi="Arial"/>
                <w:sz w:val="12"/>
              </w:rPr>
              <w:t>The policy is represented once as AG15.</w:t>
            </w:r>
          </w:p>
        </w:tc>
      </w:tr>
      <w:tr w14:paraId="1D8377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504" w:type="dxa"/>
            <w:shd w:val="clear" w:color="auto" w:fill="EEF4FA"/>
            <w:tcMar>
              <w:top w:w="70" w:type="dxa"/>
              <w:left w:w="80" w:type="dxa"/>
              <w:bottom w:w="70" w:type="dxa"/>
              <w:right w:w="80" w:type="dxa"/>
            </w:tcMar>
            <w:vAlign w:val="center"/>
          </w:tcPr>
          <w:p w14:paraId="4EEECDE0">
            <w:pPr>
              <w:spacing w:after="0"/>
            </w:pPr>
            <w:r>
              <w:rPr>
                <w:rFonts w:ascii="Arial" w:hAnsi="Arial"/>
                <w:sz w:val="12"/>
              </w:rPr>
              <w:t>AG16</w:t>
            </w:r>
          </w:p>
        </w:tc>
        <w:tc>
          <w:tcPr>
            <w:tcW w:w="1080" w:type="dxa"/>
            <w:shd w:val="clear" w:color="auto" w:fill="EEF4FA"/>
            <w:tcMar>
              <w:top w:w="70" w:type="dxa"/>
              <w:left w:w="80" w:type="dxa"/>
              <w:bottom w:w="70" w:type="dxa"/>
              <w:right w:w="80" w:type="dxa"/>
            </w:tcMar>
            <w:vAlign w:val="center"/>
          </w:tcPr>
          <w:p w14:paraId="3A5CF539">
            <w:pPr>
              <w:spacing w:after="0"/>
            </w:pPr>
            <w:r>
              <w:rPr>
                <w:rFonts w:ascii="Arial" w:hAnsi="Arial"/>
                <w:sz w:val="12"/>
              </w:rPr>
              <w:t>Published/effective May 2026</w:t>
            </w:r>
          </w:p>
        </w:tc>
        <w:tc>
          <w:tcPr>
            <w:tcW w:w="792" w:type="dxa"/>
            <w:shd w:val="clear" w:color="auto" w:fill="EEF4FA"/>
            <w:tcMar>
              <w:top w:w="70" w:type="dxa"/>
              <w:left w:w="80" w:type="dxa"/>
              <w:bottom w:w="70" w:type="dxa"/>
              <w:right w:w="80" w:type="dxa"/>
            </w:tcMar>
            <w:vAlign w:val="center"/>
          </w:tcPr>
          <w:p w14:paraId="1B38664C">
            <w:pPr>
              <w:spacing w:after="0"/>
            </w:pPr>
            <w:r>
              <w:rPr>
                <w:rFonts w:ascii="Arial" w:hAnsi="Arial"/>
                <w:sz w:val="12"/>
              </w:rPr>
              <w:t>5 August 2026</w:t>
            </w:r>
          </w:p>
        </w:tc>
        <w:tc>
          <w:tcPr>
            <w:tcW w:w="864" w:type="dxa"/>
            <w:shd w:val="clear" w:color="auto" w:fill="EEF4FA"/>
            <w:tcMar>
              <w:top w:w="70" w:type="dxa"/>
              <w:left w:w="80" w:type="dxa"/>
              <w:bottom w:w="70" w:type="dxa"/>
              <w:right w:w="80" w:type="dxa"/>
            </w:tcMar>
            <w:vAlign w:val="center"/>
          </w:tcPr>
          <w:p>
            <w:r>
              <w:t>Official webpage</w:t>
            </w:r>
          </w:p>
        </w:tc>
        <w:tc>
          <w:tcPr>
            <w:tcW w:w="3384" w:type="dxa"/>
            <w:shd w:val="clear" w:color="auto" w:fill="EEF4FA"/>
            <w:tcMar>
              <w:top w:w="70" w:type="dxa"/>
              <w:left w:w="80" w:type="dxa"/>
              <w:bottom w:w="70" w:type="dxa"/>
              <w:right w:w="80" w:type="dxa"/>
            </w:tcMar>
            <w:vAlign w:val="center"/>
          </w:tcPr>
          <w:p>
            <w:r>
              <w:t>https://www.shokzhear.com/privacy.html</w:t>
            </w:r>
          </w:p>
        </w:tc>
        <w:tc>
          <w:tcPr>
            <w:tcW w:w="2880" w:type="dxa"/>
            <w:shd w:val="clear" w:color="auto" w:fill="EEF4FA"/>
            <w:tcMar>
              <w:top w:w="70" w:type="dxa"/>
              <w:left w:w="80" w:type="dxa"/>
              <w:bottom w:w="70" w:type="dxa"/>
              <w:right w:w="80" w:type="dxa"/>
            </w:tcMar>
            <w:vAlign w:val="center"/>
          </w:tcPr>
          <w:p w14:paraId="50FBB95D">
            <w:pPr>
              <w:spacing w:after="0"/>
            </w:pPr>
            <w:r>
              <w:rPr>
                <w:rFonts w:ascii="Arial" w:hAnsi="Arial"/>
                <w:sz w:val="12"/>
              </w:rPr>
              <w:t>01_markdown_texts/AG16_Shokzhear_privacy_policy.md</w:t>
            </w:r>
          </w:p>
        </w:tc>
        <w:tc>
          <w:tcPr>
            <w:tcW w:w="3096" w:type="dxa"/>
            <w:shd w:val="clear" w:color="auto" w:fill="EEF4FA"/>
            <w:tcMar>
              <w:top w:w="70" w:type="dxa"/>
              <w:left w:w="80" w:type="dxa"/>
              <w:bottom w:w="70" w:type="dxa"/>
              <w:right w:w="80" w:type="dxa"/>
            </w:tcMar>
            <w:vAlign w:val="center"/>
          </w:tcPr>
          <w:p w14:paraId="6402F3AF">
            <w:pPr>
              <w:spacing w:after="0"/>
            </w:pPr>
            <w:r>
              <w:rPr>
                <w:rFonts w:ascii="Arial" w:hAnsi="Arial"/>
                <w:sz w:val="12"/>
              </w:rPr>
              <w:t>02_original_policy_files/AG16_Shokzhear_source_document.docx</w:t>
            </w:r>
          </w:p>
        </w:tc>
        <w:tc>
          <w:tcPr>
            <w:tcW w:w="1152" w:type="dxa"/>
            <w:shd w:val="clear" w:color="auto" w:fill="EEF4FA"/>
            <w:tcMar>
              <w:top w:w="70" w:type="dxa"/>
              <w:left w:w="80" w:type="dxa"/>
              <w:bottom w:w="70" w:type="dxa"/>
              <w:right w:w="80" w:type="dxa"/>
            </w:tcMar>
            <w:vAlign w:val="center"/>
          </w:tcPr>
          <w:p w14:paraId="604B64AD">
            <w:pPr>
              <w:spacing w:after="0"/>
            </w:pPr>
            <w:r>
              <w:rPr>
                <w:rFonts w:ascii="Arial" w:hAnsi="Arial"/>
                <w:sz w:val="12"/>
              </w:rPr>
              <w:t>May govern multiple Shokz App-supported products; no other sampled case uses this document</w:t>
            </w:r>
          </w:p>
        </w:tc>
        <w:tc>
          <w:tcPr>
            <w:tcW w:w="1296" w:type="dxa"/>
            <w:shd w:val="clear" w:color="auto" w:fill="EEF4FA"/>
            <w:tcMar>
              <w:top w:w="70" w:type="dxa"/>
              <w:left w:w="80" w:type="dxa"/>
              <w:bottom w:w="70" w:type="dxa"/>
              <w:right w:w="80" w:type="dxa"/>
            </w:tcMar>
            <w:vAlign w:val="center"/>
          </w:tcPr>
          <w:p w14:paraId="47623476">
            <w:pPr>
              <w:spacing w:after="0"/>
            </w:pPr>
            <w:r>
              <w:rPr>
                <w:rFonts w:ascii="Arial" w:hAnsi="Arial"/>
                <w:sz w:val="12"/>
              </w:rPr>
              <w:t>The policy is represented once as AG16.</w:t>
            </w:r>
          </w:p>
        </w:tc>
      </w:tr>
      <w:tr w14:paraId="6F1403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504" w:type="dxa"/>
            <w:tcMar>
              <w:top w:w="70" w:type="dxa"/>
              <w:left w:w="80" w:type="dxa"/>
              <w:bottom w:w="70" w:type="dxa"/>
              <w:right w:w="80" w:type="dxa"/>
            </w:tcMar>
            <w:vAlign w:val="center"/>
          </w:tcPr>
          <w:p w14:paraId="577DBB73">
            <w:pPr>
              <w:spacing w:after="0"/>
            </w:pPr>
            <w:r>
              <w:rPr>
                <w:rFonts w:ascii="Arial" w:hAnsi="Arial"/>
                <w:sz w:val="12"/>
              </w:rPr>
              <w:t>AG17</w:t>
            </w:r>
          </w:p>
        </w:tc>
        <w:tc>
          <w:tcPr>
            <w:tcW w:w="1080" w:type="dxa"/>
            <w:tcMar>
              <w:top w:w="70" w:type="dxa"/>
              <w:left w:w="80" w:type="dxa"/>
              <w:bottom w:w="70" w:type="dxa"/>
              <w:right w:w="80" w:type="dxa"/>
            </w:tcMar>
            <w:vAlign w:val="center"/>
          </w:tcPr>
          <w:p w14:paraId="0D8D06CB">
            <w:pPr>
              <w:spacing w:after="0"/>
            </w:pPr>
            <w:r>
              <w:rPr>
                <w:rFonts w:ascii="Arial" w:hAnsi="Arial"/>
                <w:sz w:val="12"/>
              </w:rPr>
              <w:t>Updated 12 August 2025</w:t>
            </w:r>
          </w:p>
        </w:tc>
        <w:tc>
          <w:tcPr>
            <w:tcW w:w="792" w:type="dxa"/>
            <w:tcMar>
              <w:top w:w="70" w:type="dxa"/>
              <w:left w:w="80" w:type="dxa"/>
              <w:bottom w:w="70" w:type="dxa"/>
              <w:right w:w="80" w:type="dxa"/>
            </w:tcMar>
            <w:vAlign w:val="center"/>
          </w:tcPr>
          <w:p w14:paraId="764A4F51">
            <w:pPr>
              <w:spacing w:after="0"/>
            </w:pPr>
            <w:r>
              <w:rPr>
                <w:rFonts w:ascii="Arial" w:hAnsi="Arial"/>
                <w:sz w:val="12"/>
              </w:rPr>
              <w:t>5 August 2026</w:t>
            </w:r>
          </w:p>
        </w:tc>
        <w:tc>
          <w:tcPr>
            <w:tcW w:w="864" w:type="dxa"/>
            <w:tcMar>
              <w:top w:w="70" w:type="dxa"/>
              <w:left w:w="80" w:type="dxa"/>
              <w:bottom w:w="70" w:type="dxa"/>
              <w:right w:w="80" w:type="dxa"/>
            </w:tcMar>
            <w:vAlign w:val="center"/>
          </w:tcPr>
          <w:p>
            <w:r>
              <w:t>In-app</w:t>
            </w:r>
          </w:p>
        </w:tc>
        <w:tc>
          <w:tcPr>
            <w:tcW w:w="3384" w:type="dxa"/>
            <w:tcMar>
              <w:top w:w="70" w:type="dxa"/>
              <w:left w:w="80" w:type="dxa"/>
              <w:bottom w:w="70" w:type="dxa"/>
              <w:right w:w="80" w:type="dxa"/>
            </w:tcMar>
            <w:vAlign w:val="center"/>
          </w:tcPr>
          <w:p>
            <w:r>
              <w:t>In-app access: QCY</w:t>
            </w:r>
          </w:p>
        </w:tc>
        <w:tc>
          <w:tcPr>
            <w:tcW w:w="2880" w:type="dxa"/>
            <w:tcMar>
              <w:top w:w="70" w:type="dxa"/>
              <w:left w:w="80" w:type="dxa"/>
              <w:bottom w:w="70" w:type="dxa"/>
              <w:right w:w="80" w:type="dxa"/>
            </w:tcMar>
            <w:vAlign w:val="center"/>
          </w:tcPr>
          <w:p w14:paraId="60490B64">
            <w:pPr>
              <w:spacing w:after="0"/>
            </w:pPr>
            <w:r>
              <w:rPr>
                <w:rFonts w:ascii="Arial" w:hAnsi="Arial"/>
                <w:sz w:val="12"/>
              </w:rPr>
              <w:t>01_markdown_texts/AG17_QCY_privacy_policy.md</w:t>
            </w:r>
          </w:p>
        </w:tc>
        <w:tc>
          <w:tcPr>
            <w:tcW w:w="3096" w:type="dxa"/>
            <w:tcMar>
              <w:top w:w="70" w:type="dxa"/>
              <w:left w:w="80" w:type="dxa"/>
              <w:bottom w:w="70" w:type="dxa"/>
              <w:right w:w="80" w:type="dxa"/>
            </w:tcMar>
            <w:vAlign w:val="center"/>
          </w:tcPr>
          <w:p w14:paraId="6D46D790">
            <w:pPr>
              <w:spacing w:after="0"/>
            </w:pPr>
            <w:r>
              <w:rPr>
                <w:rFonts w:ascii="Arial" w:hAnsi="Arial"/>
                <w:sz w:val="12"/>
              </w:rPr>
              <w:t>02_original_policy_files/AG17_QCY_source_document.docx</w:t>
            </w:r>
          </w:p>
        </w:tc>
        <w:tc>
          <w:tcPr>
            <w:tcW w:w="1152" w:type="dxa"/>
            <w:tcMar>
              <w:top w:w="70" w:type="dxa"/>
              <w:left w:w="80" w:type="dxa"/>
              <w:bottom w:w="70" w:type="dxa"/>
              <w:right w:w="80" w:type="dxa"/>
            </w:tcMar>
            <w:vAlign w:val="center"/>
          </w:tcPr>
          <w:p w14:paraId="51C8A027">
            <w:pPr>
              <w:spacing w:after="0"/>
            </w:pPr>
            <w:r>
              <w:rPr>
                <w:rFonts w:ascii="Arial" w:hAnsi="Arial"/>
                <w:sz w:val="12"/>
              </w:rPr>
              <w:t>May govern QCY App-supported devices; no other sampled case uses this document</w:t>
            </w:r>
          </w:p>
        </w:tc>
        <w:tc>
          <w:tcPr>
            <w:tcW w:w="1296" w:type="dxa"/>
            <w:tcMar>
              <w:top w:w="70" w:type="dxa"/>
              <w:left w:w="80" w:type="dxa"/>
              <w:bottom w:w="70" w:type="dxa"/>
              <w:right w:w="80" w:type="dxa"/>
            </w:tcMar>
            <w:vAlign w:val="center"/>
          </w:tcPr>
          <w:p w14:paraId="18B4E724">
            <w:pPr>
              <w:spacing w:after="0"/>
            </w:pPr>
            <w:r>
              <w:rPr>
                <w:rFonts w:ascii="Arial" w:hAnsi="Arial"/>
                <w:sz w:val="12"/>
              </w:rPr>
              <w:t>The policy is represented once as AG17.</w:t>
            </w:r>
          </w:p>
        </w:tc>
      </w:tr>
      <w:tr w14:paraId="379991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504" w:type="dxa"/>
            <w:shd w:val="clear" w:color="auto" w:fill="EEF4FA"/>
            <w:tcMar>
              <w:top w:w="70" w:type="dxa"/>
              <w:left w:w="80" w:type="dxa"/>
              <w:bottom w:w="70" w:type="dxa"/>
              <w:right w:w="80" w:type="dxa"/>
            </w:tcMar>
            <w:vAlign w:val="center"/>
          </w:tcPr>
          <w:p w14:paraId="6DE78F9C">
            <w:pPr>
              <w:spacing w:after="0"/>
            </w:pPr>
            <w:r>
              <w:rPr>
                <w:rFonts w:ascii="Arial" w:hAnsi="Arial"/>
                <w:sz w:val="12"/>
              </w:rPr>
              <w:t>AG18</w:t>
            </w:r>
          </w:p>
        </w:tc>
        <w:tc>
          <w:tcPr>
            <w:tcW w:w="1080" w:type="dxa"/>
            <w:shd w:val="clear" w:color="auto" w:fill="EEF4FA"/>
            <w:tcMar>
              <w:top w:w="70" w:type="dxa"/>
              <w:left w:w="80" w:type="dxa"/>
              <w:bottom w:w="70" w:type="dxa"/>
              <w:right w:w="80" w:type="dxa"/>
            </w:tcMar>
            <w:vAlign w:val="center"/>
          </w:tcPr>
          <w:p w14:paraId="677D3EE4">
            <w:pPr>
              <w:spacing w:after="0"/>
            </w:pPr>
            <w:r>
              <w:rPr>
                <w:rFonts w:ascii="Arial" w:hAnsi="Arial"/>
                <w:sz w:val="12"/>
              </w:rPr>
              <w:t>Updated 1 December 2023</w:t>
            </w:r>
          </w:p>
        </w:tc>
        <w:tc>
          <w:tcPr>
            <w:tcW w:w="792" w:type="dxa"/>
            <w:shd w:val="clear" w:color="auto" w:fill="EEF4FA"/>
            <w:tcMar>
              <w:top w:w="70" w:type="dxa"/>
              <w:left w:w="80" w:type="dxa"/>
              <w:bottom w:w="70" w:type="dxa"/>
              <w:right w:w="80" w:type="dxa"/>
            </w:tcMar>
            <w:vAlign w:val="center"/>
          </w:tcPr>
          <w:p w14:paraId="4AE2AE55">
            <w:pPr>
              <w:spacing w:after="0"/>
            </w:pPr>
            <w:r>
              <w:rPr>
                <w:rFonts w:ascii="Arial" w:hAnsi="Arial"/>
                <w:sz w:val="12"/>
              </w:rPr>
              <w:t>5 August 2026</w:t>
            </w:r>
          </w:p>
        </w:tc>
        <w:tc>
          <w:tcPr>
            <w:tcW w:w="864" w:type="dxa"/>
            <w:shd w:val="clear" w:color="auto" w:fill="EEF4FA"/>
            <w:tcMar>
              <w:top w:w="70" w:type="dxa"/>
              <w:left w:w="80" w:type="dxa"/>
              <w:bottom w:w="70" w:type="dxa"/>
              <w:right w:w="80" w:type="dxa"/>
            </w:tcMar>
            <w:vAlign w:val="center"/>
          </w:tcPr>
          <w:p>
            <w:r>
              <w:t>In-app</w:t>
            </w:r>
          </w:p>
        </w:tc>
        <w:tc>
          <w:tcPr>
            <w:tcW w:w="3384" w:type="dxa"/>
            <w:shd w:val="clear" w:color="auto" w:fill="EEF4FA"/>
            <w:tcMar>
              <w:top w:w="70" w:type="dxa"/>
              <w:left w:w="80" w:type="dxa"/>
              <w:bottom w:w="70" w:type="dxa"/>
              <w:right w:w="80" w:type="dxa"/>
            </w:tcMar>
            <w:vAlign w:val="center"/>
          </w:tcPr>
          <w:p>
            <w:r>
              <w:t>In-app access: Tingzhihui Earbuds</w:t>
            </w:r>
          </w:p>
        </w:tc>
        <w:tc>
          <w:tcPr>
            <w:tcW w:w="2880" w:type="dxa"/>
            <w:shd w:val="clear" w:color="auto" w:fill="EEF4FA"/>
            <w:tcMar>
              <w:top w:w="70" w:type="dxa"/>
              <w:left w:w="80" w:type="dxa"/>
              <w:bottom w:w="70" w:type="dxa"/>
              <w:right w:w="80" w:type="dxa"/>
            </w:tcMar>
            <w:vAlign w:val="center"/>
          </w:tcPr>
          <w:p w14:paraId="39C5A988">
            <w:pPr>
              <w:spacing w:after="0"/>
            </w:pPr>
            <w:r>
              <w:rPr>
                <w:rFonts w:ascii="Arial" w:hAnsi="Arial"/>
                <w:sz w:val="12"/>
              </w:rPr>
              <w:t>01_markdown_texts/AG18_Earweiss_privacy_policy.md</w:t>
            </w:r>
          </w:p>
        </w:tc>
        <w:tc>
          <w:tcPr>
            <w:tcW w:w="3096" w:type="dxa"/>
            <w:shd w:val="clear" w:color="auto" w:fill="EEF4FA"/>
            <w:tcMar>
              <w:top w:w="70" w:type="dxa"/>
              <w:left w:w="80" w:type="dxa"/>
              <w:bottom w:w="70" w:type="dxa"/>
              <w:right w:w="80" w:type="dxa"/>
            </w:tcMar>
            <w:vAlign w:val="center"/>
          </w:tcPr>
          <w:p w14:paraId="6F05A4D0">
            <w:pPr>
              <w:spacing w:after="0"/>
            </w:pPr>
            <w:r>
              <w:rPr>
                <w:rFonts w:ascii="Arial" w:hAnsi="Arial"/>
                <w:sz w:val="12"/>
              </w:rPr>
              <w:t>02_original_policy_files/AG18_Earweiss_source_document.docx</w:t>
            </w:r>
          </w:p>
        </w:tc>
        <w:tc>
          <w:tcPr>
            <w:tcW w:w="1152" w:type="dxa"/>
            <w:shd w:val="clear" w:color="auto" w:fill="EEF4FA"/>
            <w:tcMar>
              <w:top w:w="70" w:type="dxa"/>
              <w:left w:w="80" w:type="dxa"/>
              <w:bottom w:w="70" w:type="dxa"/>
              <w:right w:w="80" w:type="dxa"/>
            </w:tcMar>
            <w:vAlign w:val="center"/>
          </w:tcPr>
          <w:p w14:paraId="4690BAAB">
            <w:pPr>
              <w:spacing w:after="0"/>
            </w:pPr>
            <w:r>
              <w:rPr>
                <w:rFonts w:ascii="Arial" w:hAnsi="Arial"/>
                <w:sz w:val="12"/>
              </w:rPr>
              <w:t>May govern multiple products served by the App; no other sampled case uses this document</w:t>
            </w:r>
          </w:p>
        </w:tc>
        <w:tc>
          <w:tcPr>
            <w:tcW w:w="1296" w:type="dxa"/>
            <w:shd w:val="clear" w:color="auto" w:fill="EEF4FA"/>
            <w:tcMar>
              <w:top w:w="70" w:type="dxa"/>
              <w:left w:w="80" w:type="dxa"/>
              <w:bottom w:w="70" w:type="dxa"/>
              <w:right w:w="80" w:type="dxa"/>
            </w:tcMar>
            <w:vAlign w:val="center"/>
          </w:tcPr>
          <w:p w14:paraId="39561CBF">
            <w:pPr>
              <w:spacing w:after="0"/>
            </w:pPr>
            <w:r>
              <w:rPr>
                <w:rFonts w:ascii="Arial" w:hAnsi="Arial"/>
                <w:sz w:val="12"/>
              </w:rPr>
              <w:t>The policy is represented once as AG18.</w:t>
            </w:r>
          </w:p>
        </w:tc>
      </w:tr>
    </w:tbl>
    <w:p w14:paraId="195F3689"/>
    <w:p w14:paraId="784888F6">
      <w:pPr>
        <w:pStyle w:val="2"/>
        <w:rPr>
          <w:rFonts w:hint="eastAsia"/>
          <w:lang w:val="en-US" w:eastAsia="zh-CN"/>
        </w:rPr>
      </w:pPr>
      <w:r>
        <w:rPr>
          <w:rFonts w:hint="eastAsia"/>
          <w:lang w:val="en-US" w:eastAsia="zh-CN"/>
        </w:rPr>
        <w:t>4.Table. Product evidence register (all 18 cases)</w:t>
      </w:r>
    </w:p>
    <w:tbl>
      <w:tblPr>
        <w:tblStyle w:val="43"/>
        <w:tblpPr w:leftFromText="180" w:rightFromText="180" w:vertAnchor="text" w:horzAnchor="page" w:tblpX="644" w:tblpY="1343"/>
        <w:tblOverlap w:val="never"/>
        <w:tblW w:w="4993" w:type="pct"/>
        <w:tblInd w:w="0" w:type="dxa"/>
        <w:tblLayout w:type="fixed"/>
        <w:tblCellMar>
          <w:top w:w="0" w:type="dxa"/>
          <w:left w:w="108" w:type="dxa"/>
          <w:bottom w:w="0" w:type="dxa"/>
          <w:right w:w="108" w:type="dxa"/>
        </w:tblCellMar>
      </w:tblPr>
      <w:tblGrid>
        <w:gridCol w:w="1073"/>
        <w:gridCol w:w="2677"/>
        <w:gridCol w:w="3954"/>
        <w:gridCol w:w="2671"/>
        <w:gridCol w:w="2469"/>
        <w:gridCol w:w="2685"/>
      </w:tblGrid>
      <w:tr w14:paraId="56F15C93">
        <w:tblPrEx>
          <w:tblCellMar>
            <w:top w:w="0" w:type="dxa"/>
            <w:left w:w="108" w:type="dxa"/>
            <w:bottom w:w="0" w:type="dxa"/>
            <w:right w:w="108" w:type="dxa"/>
          </w:tblCellMar>
        </w:tblPrEx>
        <w:trPr>
          <w:tblHeader/>
        </w:trPr>
        <w:tc>
          <w:tcPr>
            <w:tcW w:w="345" w:type="pct"/>
            <w:shd w:val="clear" w:color="auto" w:fill="1F4E78"/>
          </w:tcPr>
          <w:p w14:paraId="07A544BC">
            <w:pPr>
              <w:pStyle w:val="26"/>
              <w:rPr>
                <w:color w:val="FFFFFF" w:themeColor="background1"/>
                <w14:textFill>
                  <w14:solidFill>
                    <w14:schemeClr w14:val="bg1"/>
                  </w14:solidFill>
                </w14:textFill>
              </w:rPr>
            </w:pPr>
            <w:r>
              <w:rPr>
                <w:color w:val="FFFFFF" w:themeColor="background1"/>
                <w14:textFill>
                  <w14:solidFill>
                    <w14:schemeClr w14:val="bg1"/>
                  </w14:solidFill>
                </w14:textFill>
              </w:rPr>
              <w:t>Case</w:t>
            </w:r>
          </w:p>
        </w:tc>
        <w:tc>
          <w:tcPr>
            <w:tcW w:w="862" w:type="pct"/>
            <w:shd w:val="clear" w:color="auto" w:fill="1F4E78"/>
          </w:tcPr>
          <w:p w14:paraId="24BE6195">
            <w:pPr>
              <w:pStyle w:val="26"/>
              <w:rPr>
                <w:color w:val="FFFFFF" w:themeColor="background1"/>
                <w14:textFill>
                  <w14:solidFill>
                    <w14:schemeClr w14:val="bg1"/>
                  </w14:solidFill>
                </w14:textFill>
              </w:rPr>
            </w:pPr>
            <w:r>
              <w:rPr>
                <w:color w:val="FFFFFF" w:themeColor="background1"/>
                <w14:textFill>
                  <w14:solidFill>
                    <w14:schemeClr w14:val="bg1"/>
                  </w14:solidFill>
                </w14:textFill>
              </w:rPr>
              <w:t>Health-data basis in policy?</w:t>
            </w:r>
          </w:p>
        </w:tc>
        <w:tc>
          <w:tcPr>
            <w:tcW w:w="1273" w:type="pct"/>
            <w:shd w:val="clear" w:color="auto" w:fill="1F4E78"/>
          </w:tcPr>
          <w:p w14:paraId="48EC27BC">
            <w:pPr>
              <w:pStyle w:val="26"/>
              <w:rPr>
                <w:color w:val="FFFFFF" w:themeColor="background1"/>
                <w14:textFill>
                  <w14:solidFill>
                    <w14:schemeClr w14:val="bg1"/>
                  </w14:solidFill>
                </w14:textFill>
              </w:rPr>
            </w:pPr>
            <w:r>
              <w:rPr>
                <w:color w:val="FFFFFF" w:themeColor="background1"/>
                <w14:textFill>
                  <w14:solidFill>
                    <w14:schemeClr w14:val="bg1"/>
                  </w14:solidFill>
                </w14:textFill>
              </w:rPr>
              <w:t>Product evidence source</w:t>
            </w:r>
          </w:p>
        </w:tc>
        <w:tc>
          <w:tcPr>
            <w:tcW w:w="860" w:type="pct"/>
            <w:shd w:val="clear" w:color="auto" w:fill="1F4E78"/>
          </w:tcPr>
          <w:p w14:paraId="049C3693">
            <w:pPr>
              <w:pStyle w:val="26"/>
              <w:rPr>
                <w:color w:val="FFFFFF" w:themeColor="background1"/>
                <w14:textFill>
                  <w14:solidFill>
                    <w14:schemeClr w14:val="bg1"/>
                  </w14:solidFill>
                </w14:textFill>
              </w:rPr>
            </w:pPr>
            <w:r>
              <w:rPr>
                <w:color w:val="FFFFFF" w:themeColor="background1"/>
                <w14:textFill>
                  <w14:solidFill>
                    <w14:schemeClr w14:val="bg1"/>
                  </w14:solidFill>
                </w14:textFill>
              </w:rPr>
              <w:t>Product version / access date</w:t>
            </w:r>
          </w:p>
        </w:tc>
        <w:tc>
          <w:tcPr>
            <w:tcW w:w="794" w:type="pct"/>
            <w:shd w:val="clear" w:color="auto" w:fill="1F4E78"/>
          </w:tcPr>
          <w:p w14:paraId="62E32D46">
            <w:pPr>
              <w:pStyle w:val="26"/>
              <w:rPr>
                <w:color w:val="FFFFFF" w:themeColor="background1"/>
                <w14:textFill>
                  <w14:solidFill>
                    <w14:schemeClr w14:val="bg1"/>
                  </w14:solidFill>
                </w14:textFill>
              </w:rPr>
            </w:pPr>
            <w:r>
              <w:rPr>
                <w:color w:val="FFFFFF" w:themeColor="background1"/>
                <w14:textFill>
                  <w14:solidFill>
                    <w14:schemeClr w14:val="bg1"/>
                  </w14:solidFill>
                </w14:textFill>
              </w:rPr>
              <w:t>Health functions documented</w:t>
            </w:r>
          </w:p>
        </w:tc>
        <w:tc>
          <w:tcPr>
            <w:tcW w:w="864" w:type="pct"/>
            <w:shd w:val="clear" w:color="auto" w:fill="1F4E78"/>
          </w:tcPr>
          <w:p w14:paraId="25B18534">
            <w:pPr>
              <w:pStyle w:val="26"/>
              <w:rPr>
                <w:color w:val="FFFFFF" w:themeColor="background1"/>
                <w14:textFill>
                  <w14:solidFill>
                    <w14:schemeClr w14:val="bg1"/>
                  </w14:solidFill>
                </w14:textFill>
              </w:rPr>
            </w:pPr>
            <w:r>
              <w:rPr>
                <w:color w:val="FFFFFF" w:themeColor="background1"/>
                <w14:textFill>
                  <w14:solidFill>
                    <w14:schemeClr w14:val="bg1"/>
                  </w14:solidFill>
                </w14:textFill>
              </w:rPr>
              <w:t>Basis for linking product → policy</w:t>
            </w:r>
          </w:p>
        </w:tc>
      </w:tr>
      <w:tr w14:paraId="7D58BC72">
        <w:tblPrEx>
          <w:tblCellMar>
            <w:top w:w="0" w:type="dxa"/>
            <w:left w:w="108" w:type="dxa"/>
            <w:bottom w:w="0" w:type="dxa"/>
            <w:right w:w="108" w:type="dxa"/>
          </w:tblCellMar>
        </w:tblPrEx>
        <w:trPr>
          <w:trHeight w:val="90" w:hRule="atLeast"/>
        </w:trPr>
        <w:tc>
          <w:tcPr>
            <w:tcW w:w="345" w:type="pct"/>
          </w:tcPr>
          <w:p w14:paraId="3CFC134A">
            <w:pPr>
              <w:pStyle w:val="26"/>
              <w:rPr>
                <w:color w:val="auto"/>
              </w:rPr>
            </w:pPr>
            <w:r>
              <w:rPr>
                <w:color w:val="auto"/>
              </w:rPr>
              <w:t>AG1</w:t>
            </w:r>
          </w:p>
        </w:tc>
        <w:tc>
          <w:tcPr>
            <w:tcW w:w="862" w:type="pct"/>
          </w:tcPr>
          <w:p w14:paraId="52E998F5">
            <w:pPr>
              <w:pStyle w:val="26"/>
              <w:rPr>
                <w:color w:val="auto"/>
              </w:rPr>
            </w:pPr>
            <w:r>
              <w:rPr>
                <w:color w:val="auto"/>
              </w:rPr>
              <w:t>Yes</w:t>
            </w:r>
          </w:p>
        </w:tc>
        <w:tc>
          <w:tcPr>
            <w:tcW w:w="1273" w:type="pct"/>
          </w:tcPr>
          <w:p w14:paraId="6637A4CA">
            <w:pPr>
              <w:pStyle w:val="26"/>
              <w:rPr>
                <w:color w:val="auto"/>
              </w:rPr>
            </w:pPr>
            <w:r>
              <w:rPr>
                <w:color w:val="auto"/>
              </w:rPr>
              <w:t>—</w:t>
            </w:r>
          </w:p>
        </w:tc>
        <w:tc>
          <w:tcPr>
            <w:tcW w:w="860" w:type="pct"/>
          </w:tcPr>
          <w:p w14:paraId="3AA7D163">
            <w:pPr>
              <w:pStyle w:val="26"/>
              <w:rPr>
                <w:color w:val="auto"/>
              </w:rPr>
            </w:pPr>
            <w:r>
              <w:rPr>
                <w:color w:val="auto"/>
              </w:rPr>
              <w:t>—</w:t>
            </w:r>
          </w:p>
        </w:tc>
        <w:tc>
          <w:tcPr>
            <w:tcW w:w="794" w:type="pct"/>
          </w:tcPr>
          <w:p w14:paraId="41CFFB73">
            <w:pPr>
              <w:pStyle w:val="26"/>
              <w:rPr>
                <w:color w:val="auto"/>
              </w:rPr>
            </w:pPr>
            <w:r>
              <w:rPr>
                <w:color w:val="auto"/>
              </w:rPr>
              <w:t>—</w:t>
            </w:r>
          </w:p>
        </w:tc>
        <w:tc>
          <w:tcPr>
            <w:tcW w:w="864" w:type="pct"/>
          </w:tcPr>
          <w:p w14:paraId="513E16F9">
            <w:pPr>
              <w:pStyle w:val="26"/>
              <w:rPr>
                <w:color w:val="auto"/>
              </w:rPr>
            </w:pPr>
            <w:r>
              <w:rPr>
                <w:color w:val="auto"/>
              </w:rPr>
              <w:t>—</w:t>
            </w:r>
          </w:p>
        </w:tc>
      </w:tr>
      <w:tr w14:paraId="7896BCA4">
        <w:tblPrEx>
          <w:tblCellMar>
            <w:top w:w="0" w:type="dxa"/>
            <w:left w:w="108" w:type="dxa"/>
            <w:bottom w:w="0" w:type="dxa"/>
            <w:right w:w="108" w:type="dxa"/>
          </w:tblCellMar>
        </w:tblPrEx>
        <w:tc>
          <w:tcPr>
            <w:tcW w:w="345" w:type="pct"/>
          </w:tcPr>
          <w:p w14:paraId="50E69ABE">
            <w:pPr>
              <w:pStyle w:val="26"/>
              <w:rPr>
                <w:color w:val="auto"/>
              </w:rPr>
            </w:pPr>
            <w:r>
              <w:rPr>
                <w:color w:val="auto"/>
              </w:rPr>
              <w:t>AG2</w:t>
            </w:r>
          </w:p>
        </w:tc>
        <w:tc>
          <w:tcPr>
            <w:tcW w:w="862" w:type="pct"/>
          </w:tcPr>
          <w:p w14:paraId="596BBA0F">
            <w:pPr>
              <w:pStyle w:val="26"/>
              <w:rPr>
                <w:color w:val="auto"/>
              </w:rPr>
            </w:pPr>
            <w:r>
              <w:rPr>
                <w:color w:val="auto"/>
              </w:rPr>
              <w:t>Yes</w:t>
            </w:r>
          </w:p>
        </w:tc>
        <w:tc>
          <w:tcPr>
            <w:tcW w:w="1273" w:type="pct"/>
          </w:tcPr>
          <w:p w14:paraId="53E2A3A8">
            <w:pPr>
              <w:pStyle w:val="26"/>
              <w:rPr>
                <w:color w:val="auto"/>
              </w:rPr>
            </w:pPr>
            <w:r>
              <w:rPr>
                <w:color w:val="auto"/>
              </w:rPr>
              <w:t>—</w:t>
            </w:r>
          </w:p>
        </w:tc>
        <w:tc>
          <w:tcPr>
            <w:tcW w:w="860" w:type="pct"/>
          </w:tcPr>
          <w:p w14:paraId="1FB370EA">
            <w:pPr>
              <w:pStyle w:val="26"/>
              <w:rPr>
                <w:color w:val="auto"/>
              </w:rPr>
            </w:pPr>
            <w:r>
              <w:rPr>
                <w:color w:val="auto"/>
              </w:rPr>
              <w:t>—</w:t>
            </w:r>
          </w:p>
        </w:tc>
        <w:tc>
          <w:tcPr>
            <w:tcW w:w="794" w:type="pct"/>
          </w:tcPr>
          <w:p w14:paraId="3F6B6689">
            <w:pPr>
              <w:pStyle w:val="26"/>
              <w:rPr>
                <w:color w:val="auto"/>
              </w:rPr>
            </w:pPr>
            <w:r>
              <w:rPr>
                <w:color w:val="auto"/>
              </w:rPr>
              <w:t>—</w:t>
            </w:r>
          </w:p>
        </w:tc>
        <w:tc>
          <w:tcPr>
            <w:tcW w:w="864" w:type="pct"/>
          </w:tcPr>
          <w:p w14:paraId="0C6DC2F3">
            <w:pPr>
              <w:pStyle w:val="26"/>
              <w:rPr>
                <w:color w:val="auto"/>
              </w:rPr>
            </w:pPr>
            <w:r>
              <w:rPr>
                <w:color w:val="auto"/>
              </w:rPr>
              <w:t>—</w:t>
            </w:r>
          </w:p>
        </w:tc>
      </w:tr>
      <w:tr w14:paraId="0694B349">
        <w:tblPrEx>
          <w:tblCellMar>
            <w:top w:w="0" w:type="dxa"/>
            <w:left w:w="108" w:type="dxa"/>
            <w:bottom w:w="0" w:type="dxa"/>
            <w:right w:w="108" w:type="dxa"/>
          </w:tblCellMar>
        </w:tblPrEx>
        <w:tc>
          <w:tcPr>
            <w:tcW w:w="345" w:type="pct"/>
          </w:tcPr>
          <w:p w14:paraId="7AA1F4A1">
            <w:pPr>
              <w:pStyle w:val="26"/>
              <w:rPr>
                <w:color w:val="auto"/>
              </w:rPr>
            </w:pPr>
            <w:r>
              <w:rPr>
                <w:color w:val="auto"/>
              </w:rPr>
              <w:t>AG3</w:t>
            </w:r>
          </w:p>
        </w:tc>
        <w:tc>
          <w:tcPr>
            <w:tcW w:w="862" w:type="pct"/>
          </w:tcPr>
          <w:p w14:paraId="523B0274">
            <w:pPr>
              <w:pStyle w:val="26"/>
              <w:rPr>
                <w:color w:val="auto"/>
              </w:rPr>
            </w:pPr>
            <w:r>
              <w:rPr>
                <w:color w:val="auto"/>
              </w:rPr>
              <w:t>Yes. The policy itself itemises the relevant health data and marks specific sensitive fields; the incorporated third-party list identifies health-data sharing. A1 and A2 are fully met under their respective coding rules.</w:t>
            </w:r>
          </w:p>
        </w:tc>
        <w:tc>
          <w:tcPr>
            <w:tcW w:w="1273" w:type="pct"/>
          </w:tcPr>
          <w:p w14:paraId="19580F30">
            <w:pPr>
              <w:pStyle w:val="26"/>
              <w:rPr>
                <w:rFonts w:hint="eastAsia" w:eastAsiaTheme="minorEastAsia"/>
                <w:color w:val="auto"/>
                <w:lang w:eastAsia="zh-CN"/>
              </w:rPr>
            </w:pPr>
            <w:r>
              <w:rPr>
                <w:rFonts w:hint="eastAsia"/>
                <w:color w:val="auto"/>
              </w:rPr>
              <w:fldChar w:fldCharType="begin"/>
            </w:r>
            <w:r>
              <w:rPr>
                <w:rFonts w:hint="eastAsia"/>
                <w:color w:val="auto"/>
              </w:rPr>
              <w:instrText xml:space="preserve"> HYPERLINK "https://www.opposhop.cn/cn/web/products/47803.html?us=fenleiye&amp;um=003885&amp;ut=rengong（）" </w:instrText>
            </w:r>
            <w:r>
              <w:rPr>
                <w:rFonts w:hint="eastAsia"/>
                <w:color w:val="auto"/>
              </w:rPr>
              <w:fldChar w:fldCharType="separate"/>
            </w:r>
            <w:r>
              <w:rPr>
                <w:rStyle w:val="21"/>
                <w:rFonts w:hint="eastAsia"/>
                <w:color w:val="auto"/>
              </w:rPr>
              <w:t>https://www.opposhop.cn/cn/web/products/47803.html?us=fenleiye&amp;um=003885&amp;ut=rengong</w:t>
            </w:r>
            <w:r>
              <w:rPr>
                <w:rStyle w:val="21"/>
                <w:rFonts w:hint="eastAsia"/>
                <w:color w:val="auto"/>
                <w:lang w:eastAsia="zh-CN"/>
              </w:rPr>
              <w:t>（</w:t>
            </w:r>
            <w:r>
              <w:rPr>
                <w:rStyle w:val="21"/>
                <w:rFonts w:hint="eastAsia"/>
                <w:color w:val="auto"/>
                <w:lang w:val="en-US" w:eastAsia="zh-CN"/>
              </w:rPr>
              <w:t>features and applications</w:t>
            </w:r>
            <w:r>
              <w:rPr>
                <w:rStyle w:val="21"/>
                <w:rFonts w:hint="eastAsia"/>
                <w:color w:val="auto"/>
                <w:lang w:eastAsia="zh-CN"/>
              </w:rPr>
              <w:t>）</w:t>
            </w:r>
            <w:r>
              <w:rPr>
                <w:rFonts w:hint="eastAsia"/>
                <w:color w:val="auto"/>
              </w:rPr>
              <w:fldChar w:fldCharType="end"/>
            </w:r>
          </w:p>
        </w:tc>
        <w:tc>
          <w:tcPr>
            <w:tcW w:w="860" w:type="pct"/>
          </w:tcPr>
          <w:p w14:paraId="27461CA0">
            <w:pPr>
              <w:pStyle w:val="26"/>
              <w:rPr>
                <w:color w:val="auto"/>
              </w:rPr>
            </w:pPr>
            <w:r>
              <w:rPr>
                <w:rFonts w:hint="eastAsia" w:ascii="微软雅黑" w:hAnsi="微软雅黑" w:eastAsia="微软雅黑" w:cs="微软雅黑"/>
                <w:i w:val="0"/>
                <w:iCs w:val="0"/>
                <w:caps w:val="0"/>
                <w:color w:val="auto"/>
                <w:spacing w:val="0"/>
                <w:sz w:val="24"/>
                <w:szCs w:val="24"/>
                <w:shd w:val="clear" w:fill="FFFFFF"/>
              </w:rPr>
              <w:t>All categories of OPPO smartwatches</w:t>
            </w:r>
            <w:r>
              <w:rPr>
                <w:color w:val="auto"/>
              </w:rPr>
              <w:t>/ 5 Aug 2026</w:t>
            </w:r>
          </w:p>
        </w:tc>
        <w:tc>
          <w:tcPr>
            <w:tcW w:w="794" w:type="pct"/>
          </w:tcPr>
          <w:p w14:paraId="19B5F241">
            <w:pPr>
              <w:pStyle w:val="26"/>
              <w:rPr>
                <w:color w:val="auto"/>
              </w:rPr>
            </w:pPr>
            <w:r>
              <w:rPr>
                <w:color w:val="auto"/>
              </w:rPr>
              <w:t>Heart rate, blood oxygen, sleep; ECG on some models</w:t>
            </w:r>
          </w:p>
        </w:tc>
        <w:tc>
          <w:tcPr>
            <w:tcW w:w="864" w:type="pct"/>
          </w:tcPr>
          <w:p w14:paraId="750111EE">
            <w:pPr>
              <w:pStyle w:val="26"/>
              <w:rPr>
                <w:color w:val="auto"/>
              </w:rPr>
            </w:pPr>
            <w:r>
              <w:rPr>
                <w:rFonts w:hint="eastAsia"/>
                <w:color w:val="auto"/>
              </w:rPr>
              <w:t>Cross-reference</w:t>
            </w:r>
          </w:p>
        </w:tc>
      </w:tr>
      <w:tr w14:paraId="68C9EC7A">
        <w:tblPrEx>
          <w:tblCellMar>
            <w:top w:w="0" w:type="dxa"/>
            <w:left w:w="108" w:type="dxa"/>
            <w:bottom w:w="0" w:type="dxa"/>
            <w:right w:w="108" w:type="dxa"/>
          </w:tblCellMar>
        </w:tblPrEx>
        <w:tc>
          <w:tcPr>
            <w:tcW w:w="345" w:type="pct"/>
          </w:tcPr>
          <w:p w14:paraId="395736D7">
            <w:pPr>
              <w:pStyle w:val="26"/>
              <w:rPr>
                <w:color w:val="auto"/>
              </w:rPr>
            </w:pPr>
            <w:r>
              <w:rPr>
                <w:color w:val="auto"/>
              </w:rPr>
              <w:t>AG4</w:t>
            </w:r>
          </w:p>
        </w:tc>
        <w:tc>
          <w:tcPr>
            <w:tcW w:w="862" w:type="pct"/>
          </w:tcPr>
          <w:p w14:paraId="4C6D5890">
            <w:pPr>
              <w:pStyle w:val="26"/>
              <w:rPr>
                <w:color w:val="auto"/>
              </w:rPr>
            </w:pPr>
            <w:r>
              <w:rPr>
                <w:color w:val="auto"/>
              </w:rPr>
              <w:t>Yes</w:t>
            </w:r>
          </w:p>
        </w:tc>
        <w:tc>
          <w:tcPr>
            <w:tcW w:w="1273" w:type="pct"/>
          </w:tcPr>
          <w:p w14:paraId="4F28C3B5">
            <w:pPr>
              <w:pStyle w:val="26"/>
              <w:rPr>
                <w:color w:val="auto"/>
              </w:rPr>
            </w:pPr>
            <w:r>
              <w:rPr>
                <w:color w:val="auto"/>
              </w:rPr>
              <w:t>—</w:t>
            </w:r>
          </w:p>
        </w:tc>
        <w:tc>
          <w:tcPr>
            <w:tcW w:w="860" w:type="pct"/>
          </w:tcPr>
          <w:p w14:paraId="750323B2">
            <w:pPr>
              <w:pStyle w:val="26"/>
              <w:rPr>
                <w:color w:val="auto"/>
              </w:rPr>
            </w:pPr>
            <w:r>
              <w:rPr>
                <w:color w:val="auto"/>
              </w:rPr>
              <w:t>—</w:t>
            </w:r>
          </w:p>
        </w:tc>
        <w:tc>
          <w:tcPr>
            <w:tcW w:w="794" w:type="pct"/>
          </w:tcPr>
          <w:p w14:paraId="1A134D97">
            <w:pPr>
              <w:pStyle w:val="26"/>
              <w:rPr>
                <w:color w:val="auto"/>
              </w:rPr>
            </w:pPr>
            <w:r>
              <w:rPr>
                <w:color w:val="auto"/>
              </w:rPr>
              <w:t>—</w:t>
            </w:r>
          </w:p>
        </w:tc>
        <w:tc>
          <w:tcPr>
            <w:tcW w:w="864" w:type="pct"/>
          </w:tcPr>
          <w:p w14:paraId="56EEE16C">
            <w:pPr>
              <w:pStyle w:val="26"/>
              <w:rPr>
                <w:color w:val="auto"/>
              </w:rPr>
            </w:pPr>
            <w:r>
              <w:rPr>
                <w:color w:val="auto"/>
              </w:rPr>
              <w:t>—</w:t>
            </w:r>
          </w:p>
        </w:tc>
      </w:tr>
      <w:tr w14:paraId="2DEC1127">
        <w:tblPrEx>
          <w:tblCellMar>
            <w:top w:w="0" w:type="dxa"/>
            <w:left w:w="108" w:type="dxa"/>
            <w:bottom w:w="0" w:type="dxa"/>
            <w:right w:w="108" w:type="dxa"/>
          </w:tblCellMar>
        </w:tblPrEx>
        <w:tc>
          <w:tcPr>
            <w:tcW w:w="345" w:type="pct"/>
          </w:tcPr>
          <w:p w14:paraId="21E9C8D2">
            <w:pPr>
              <w:pStyle w:val="26"/>
              <w:rPr>
                <w:color w:val="auto"/>
              </w:rPr>
            </w:pPr>
            <w:r>
              <w:rPr>
                <w:color w:val="auto"/>
              </w:rPr>
              <w:t>AG5</w:t>
            </w:r>
          </w:p>
        </w:tc>
        <w:tc>
          <w:tcPr>
            <w:tcW w:w="862" w:type="pct"/>
          </w:tcPr>
          <w:p w14:paraId="124F12E3">
            <w:pPr>
              <w:pStyle w:val="26"/>
              <w:rPr>
                <w:color w:val="auto"/>
              </w:rPr>
            </w:pPr>
            <w:r>
              <w:rPr>
                <w:color w:val="auto"/>
              </w:rPr>
              <w:t>Yes</w:t>
            </w:r>
          </w:p>
        </w:tc>
        <w:tc>
          <w:tcPr>
            <w:tcW w:w="1273" w:type="pct"/>
          </w:tcPr>
          <w:p w14:paraId="15BD1D4E">
            <w:pPr>
              <w:pStyle w:val="26"/>
              <w:rPr>
                <w:color w:val="auto"/>
              </w:rPr>
            </w:pPr>
            <w:r>
              <w:rPr>
                <w:color w:val="auto"/>
              </w:rPr>
              <w:t>—</w:t>
            </w:r>
          </w:p>
        </w:tc>
        <w:tc>
          <w:tcPr>
            <w:tcW w:w="860" w:type="pct"/>
          </w:tcPr>
          <w:p w14:paraId="4E330DEE">
            <w:pPr>
              <w:pStyle w:val="26"/>
              <w:rPr>
                <w:color w:val="auto"/>
              </w:rPr>
            </w:pPr>
            <w:r>
              <w:rPr>
                <w:color w:val="auto"/>
              </w:rPr>
              <w:t>—</w:t>
            </w:r>
          </w:p>
        </w:tc>
        <w:tc>
          <w:tcPr>
            <w:tcW w:w="794" w:type="pct"/>
          </w:tcPr>
          <w:p w14:paraId="754D4674">
            <w:pPr>
              <w:pStyle w:val="26"/>
              <w:rPr>
                <w:color w:val="auto"/>
              </w:rPr>
            </w:pPr>
            <w:r>
              <w:rPr>
                <w:color w:val="auto"/>
              </w:rPr>
              <w:t>—</w:t>
            </w:r>
          </w:p>
        </w:tc>
        <w:tc>
          <w:tcPr>
            <w:tcW w:w="864" w:type="pct"/>
          </w:tcPr>
          <w:p w14:paraId="45379110">
            <w:pPr>
              <w:pStyle w:val="26"/>
              <w:rPr>
                <w:color w:val="auto"/>
              </w:rPr>
            </w:pPr>
            <w:r>
              <w:rPr>
                <w:color w:val="auto"/>
              </w:rPr>
              <w:t>—</w:t>
            </w:r>
          </w:p>
        </w:tc>
      </w:tr>
      <w:tr w14:paraId="69321971">
        <w:tblPrEx>
          <w:tblCellMar>
            <w:top w:w="0" w:type="dxa"/>
            <w:left w:w="108" w:type="dxa"/>
            <w:bottom w:w="0" w:type="dxa"/>
            <w:right w:w="108" w:type="dxa"/>
          </w:tblCellMar>
        </w:tblPrEx>
        <w:tc>
          <w:tcPr>
            <w:tcW w:w="345" w:type="pct"/>
          </w:tcPr>
          <w:p w14:paraId="7633D505">
            <w:pPr>
              <w:pStyle w:val="26"/>
              <w:rPr>
                <w:color w:val="auto"/>
              </w:rPr>
            </w:pPr>
            <w:r>
              <w:rPr>
                <w:color w:val="auto"/>
              </w:rPr>
              <w:t>AG6</w:t>
            </w:r>
          </w:p>
        </w:tc>
        <w:tc>
          <w:tcPr>
            <w:tcW w:w="862" w:type="pct"/>
          </w:tcPr>
          <w:p w14:paraId="1A73FFA6">
            <w:pPr>
              <w:pStyle w:val="26"/>
              <w:rPr>
                <w:color w:val="auto"/>
              </w:rPr>
            </w:pPr>
            <w:r>
              <w:rPr>
                <w:color w:val="auto"/>
              </w:rPr>
              <w:t>Yes</w:t>
            </w:r>
          </w:p>
        </w:tc>
        <w:tc>
          <w:tcPr>
            <w:tcW w:w="1273" w:type="pct"/>
          </w:tcPr>
          <w:p w14:paraId="3D131F0A">
            <w:pPr>
              <w:pStyle w:val="26"/>
              <w:rPr>
                <w:color w:val="auto"/>
              </w:rPr>
            </w:pPr>
            <w:r>
              <w:rPr>
                <w:color w:val="auto"/>
              </w:rPr>
              <w:t>—</w:t>
            </w:r>
          </w:p>
        </w:tc>
        <w:tc>
          <w:tcPr>
            <w:tcW w:w="860" w:type="pct"/>
          </w:tcPr>
          <w:p w14:paraId="2F90F311">
            <w:pPr>
              <w:pStyle w:val="26"/>
              <w:rPr>
                <w:color w:val="auto"/>
              </w:rPr>
            </w:pPr>
            <w:r>
              <w:rPr>
                <w:color w:val="auto"/>
              </w:rPr>
              <w:t>—</w:t>
            </w:r>
          </w:p>
        </w:tc>
        <w:tc>
          <w:tcPr>
            <w:tcW w:w="794" w:type="pct"/>
          </w:tcPr>
          <w:p w14:paraId="7A8622EF">
            <w:pPr>
              <w:pStyle w:val="26"/>
              <w:rPr>
                <w:color w:val="auto"/>
              </w:rPr>
            </w:pPr>
            <w:r>
              <w:rPr>
                <w:color w:val="auto"/>
              </w:rPr>
              <w:t>—</w:t>
            </w:r>
          </w:p>
        </w:tc>
        <w:tc>
          <w:tcPr>
            <w:tcW w:w="864" w:type="pct"/>
          </w:tcPr>
          <w:p w14:paraId="049AEB9C">
            <w:pPr>
              <w:pStyle w:val="26"/>
              <w:rPr>
                <w:color w:val="auto"/>
              </w:rPr>
            </w:pPr>
            <w:r>
              <w:rPr>
                <w:color w:val="auto"/>
              </w:rPr>
              <w:t>—</w:t>
            </w:r>
          </w:p>
        </w:tc>
      </w:tr>
      <w:tr w14:paraId="747A8539">
        <w:tblPrEx>
          <w:tblCellMar>
            <w:top w:w="0" w:type="dxa"/>
            <w:left w:w="108" w:type="dxa"/>
            <w:bottom w:w="0" w:type="dxa"/>
            <w:right w:w="108" w:type="dxa"/>
          </w:tblCellMar>
        </w:tblPrEx>
        <w:tc>
          <w:tcPr>
            <w:tcW w:w="345" w:type="pct"/>
          </w:tcPr>
          <w:p w14:paraId="6A3DE118">
            <w:pPr>
              <w:pStyle w:val="26"/>
              <w:rPr>
                <w:color w:val="auto"/>
              </w:rPr>
            </w:pPr>
            <w:r>
              <w:rPr>
                <w:color w:val="auto"/>
              </w:rPr>
              <w:t>AG7</w:t>
            </w:r>
          </w:p>
        </w:tc>
        <w:tc>
          <w:tcPr>
            <w:tcW w:w="862" w:type="pct"/>
          </w:tcPr>
          <w:p w14:paraId="74EC68E8">
            <w:pPr>
              <w:pStyle w:val="26"/>
              <w:rPr>
                <w:color w:val="auto"/>
              </w:rPr>
            </w:pPr>
            <w:r>
              <w:rPr>
                <w:color w:val="auto"/>
              </w:rPr>
              <w:t>Yes</w:t>
            </w:r>
          </w:p>
        </w:tc>
        <w:tc>
          <w:tcPr>
            <w:tcW w:w="1273" w:type="pct"/>
          </w:tcPr>
          <w:p w14:paraId="62D4268C">
            <w:pPr>
              <w:pStyle w:val="26"/>
              <w:rPr>
                <w:color w:val="auto"/>
              </w:rPr>
            </w:pPr>
            <w:r>
              <w:rPr>
                <w:color w:val="auto"/>
              </w:rPr>
              <w:t>—</w:t>
            </w:r>
          </w:p>
        </w:tc>
        <w:tc>
          <w:tcPr>
            <w:tcW w:w="860" w:type="pct"/>
          </w:tcPr>
          <w:p w14:paraId="4B801E9A">
            <w:pPr>
              <w:pStyle w:val="26"/>
              <w:rPr>
                <w:color w:val="auto"/>
              </w:rPr>
            </w:pPr>
            <w:r>
              <w:rPr>
                <w:color w:val="auto"/>
              </w:rPr>
              <w:t>—</w:t>
            </w:r>
          </w:p>
        </w:tc>
        <w:tc>
          <w:tcPr>
            <w:tcW w:w="794" w:type="pct"/>
          </w:tcPr>
          <w:p w14:paraId="6F8D5A92">
            <w:pPr>
              <w:pStyle w:val="26"/>
              <w:rPr>
                <w:color w:val="auto"/>
              </w:rPr>
            </w:pPr>
            <w:r>
              <w:rPr>
                <w:color w:val="auto"/>
              </w:rPr>
              <w:t>—</w:t>
            </w:r>
          </w:p>
        </w:tc>
        <w:tc>
          <w:tcPr>
            <w:tcW w:w="864" w:type="pct"/>
          </w:tcPr>
          <w:p w14:paraId="00330014">
            <w:pPr>
              <w:pStyle w:val="26"/>
              <w:rPr>
                <w:color w:val="auto"/>
              </w:rPr>
            </w:pPr>
            <w:r>
              <w:rPr>
                <w:color w:val="auto"/>
              </w:rPr>
              <w:t>—</w:t>
            </w:r>
          </w:p>
        </w:tc>
      </w:tr>
      <w:tr w14:paraId="7BE96BBD">
        <w:tblPrEx>
          <w:tblCellMar>
            <w:top w:w="0" w:type="dxa"/>
            <w:left w:w="108" w:type="dxa"/>
            <w:bottom w:w="0" w:type="dxa"/>
            <w:right w:w="108" w:type="dxa"/>
          </w:tblCellMar>
        </w:tblPrEx>
        <w:tc>
          <w:tcPr>
            <w:tcW w:w="345" w:type="pct"/>
          </w:tcPr>
          <w:p w14:paraId="29C42309">
            <w:pPr>
              <w:pStyle w:val="26"/>
              <w:rPr>
                <w:color w:val="auto"/>
              </w:rPr>
            </w:pPr>
            <w:r>
              <w:rPr>
                <w:color w:val="auto"/>
              </w:rPr>
              <w:t>AG8</w:t>
            </w:r>
          </w:p>
        </w:tc>
        <w:tc>
          <w:tcPr>
            <w:tcW w:w="862" w:type="pct"/>
          </w:tcPr>
          <w:p w14:paraId="0A17DDBB">
            <w:pPr>
              <w:pStyle w:val="26"/>
              <w:rPr>
                <w:color w:val="auto"/>
              </w:rPr>
            </w:pPr>
            <w:r>
              <w:rPr>
                <w:color w:val="auto"/>
              </w:rPr>
              <w:t>Yes</w:t>
            </w:r>
          </w:p>
        </w:tc>
        <w:tc>
          <w:tcPr>
            <w:tcW w:w="1273" w:type="pct"/>
          </w:tcPr>
          <w:p w14:paraId="135E027B">
            <w:pPr>
              <w:pStyle w:val="26"/>
              <w:rPr>
                <w:color w:val="auto"/>
              </w:rPr>
            </w:pPr>
            <w:r>
              <w:rPr>
                <w:color w:val="auto"/>
              </w:rPr>
              <w:t>—</w:t>
            </w:r>
          </w:p>
        </w:tc>
        <w:tc>
          <w:tcPr>
            <w:tcW w:w="860" w:type="pct"/>
          </w:tcPr>
          <w:p w14:paraId="75C7A716">
            <w:pPr>
              <w:pStyle w:val="26"/>
              <w:rPr>
                <w:color w:val="auto"/>
              </w:rPr>
            </w:pPr>
            <w:r>
              <w:rPr>
                <w:color w:val="auto"/>
              </w:rPr>
              <w:t>—</w:t>
            </w:r>
          </w:p>
        </w:tc>
        <w:tc>
          <w:tcPr>
            <w:tcW w:w="794" w:type="pct"/>
          </w:tcPr>
          <w:p w14:paraId="3608ADEA">
            <w:pPr>
              <w:pStyle w:val="26"/>
              <w:rPr>
                <w:color w:val="auto"/>
              </w:rPr>
            </w:pPr>
            <w:r>
              <w:rPr>
                <w:color w:val="auto"/>
              </w:rPr>
              <w:t>—</w:t>
            </w:r>
          </w:p>
        </w:tc>
        <w:tc>
          <w:tcPr>
            <w:tcW w:w="864" w:type="pct"/>
          </w:tcPr>
          <w:p w14:paraId="4C2B5AD0">
            <w:pPr>
              <w:pStyle w:val="26"/>
              <w:rPr>
                <w:color w:val="auto"/>
              </w:rPr>
            </w:pPr>
            <w:r>
              <w:rPr>
                <w:color w:val="auto"/>
              </w:rPr>
              <w:t>—</w:t>
            </w:r>
          </w:p>
        </w:tc>
      </w:tr>
      <w:tr w14:paraId="7DB2853F">
        <w:tblPrEx>
          <w:tblCellMar>
            <w:top w:w="0" w:type="dxa"/>
            <w:left w:w="108" w:type="dxa"/>
            <w:bottom w:w="0" w:type="dxa"/>
            <w:right w:w="108" w:type="dxa"/>
          </w:tblCellMar>
        </w:tblPrEx>
        <w:tc>
          <w:tcPr>
            <w:tcW w:w="345" w:type="pct"/>
          </w:tcPr>
          <w:p w14:paraId="30BB8B5D">
            <w:pPr>
              <w:pStyle w:val="26"/>
              <w:rPr>
                <w:color w:val="auto"/>
              </w:rPr>
            </w:pPr>
            <w:r>
              <w:rPr>
                <w:color w:val="auto"/>
              </w:rPr>
              <w:t>AG9</w:t>
            </w:r>
          </w:p>
        </w:tc>
        <w:tc>
          <w:tcPr>
            <w:tcW w:w="862" w:type="pct"/>
          </w:tcPr>
          <w:p w14:paraId="17ED10C7">
            <w:pPr>
              <w:pStyle w:val="26"/>
              <w:rPr>
                <w:color w:val="auto"/>
              </w:rPr>
            </w:pPr>
            <w:r>
              <w:rPr>
                <w:color w:val="auto"/>
              </w:rPr>
              <w:t xml:space="preserve">Yes. The archived Dreame Health policy itself enumerates ECG, heart rate, blood oxygen, sleep and other relevant health-data fields; the product page corroborates the device functions. The existing A1 assessment is therefore supported by the policy text.</w:t>
            </w:r>
          </w:p>
        </w:tc>
        <w:tc>
          <w:tcPr>
            <w:tcW w:w="1273" w:type="pct"/>
          </w:tcPr>
          <w:p w14:paraId="396B27B3">
            <w:pPr>
              <w:pStyle w:val="26"/>
              <w:rPr>
                <w:rFonts w:hint="default" w:eastAsiaTheme="minorEastAsia"/>
                <w:color w:val="auto"/>
                <w:lang w:val="en-US" w:eastAsia="zh-CN"/>
              </w:rPr>
            </w:pPr>
            <w:r>
              <w:rPr>
                <w:rFonts w:hint="eastAsia"/>
                <w:color w:val="auto"/>
                <w:lang w:val="en-US" w:eastAsia="zh-CN"/>
              </w:rPr>
              <w:t xml:space="preserve">Dreame Health App home page </w:t>
            </w:r>
          </w:p>
        </w:tc>
        <w:tc>
          <w:tcPr>
            <w:tcW w:w="860" w:type="pct"/>
          </w:tcPr>
          <w:p w14:paraId="5C22F019">
            <w:pPr>
              <w:pStyle w:val="26"/>
              <w:rPr>
                <w:color w:val="auto"/>
              </w:rPr>
            </w:pPr>
            <w:r>
              <w:rPr>
                <w:rFonts w:hint="eastAsia"/>
                <w:color w:val="auto"/>
                <w:lang w:val="en-US" w:eastAsia="zh-CN"/>
              </w:rPr>
              <w:t>App version number: 2.4.0</w:t>
            </w:r>
            <w:r>
              <w:rPr>
                <w:color w:val="auto"/>
              </w:rPr>
              <w:t>/ 5 Aug 2026</w:t>
            </w:r>
          </w:p>
        </w:tc>
        <w:tc>
          <w:tcPr>
            <w:tcW w:w="794" w:type="pct"/>
          </w:tcPr>
          <w:p w14:paraId="24E40FF6">
            <w:pPr>
              <w:pStyle w:val="26"/>
              <w:rPr>
                <w:color w:val="auto"/>
              </w:rPr>
            </w:pPr>
            <w:r>
              <w:rPr>
                <w:color w:val="auto"/>
              </w:rPr>
              <w:t>ECG, heart rate, blood oxygen, activity data</w:t>
            </w:r>
          </w:p>
        </w:tc>
        <w:tc>
          <w:tcPr>
            <w:tcW w:w="864" w:type="pct"/>
          </w:tcPr>
          <w:p w14:paraId="3E2F668A">
            <w:pPr>
              <w:pStyle w:val="26"/>
              <w:rPr>
                <w:color w:val="auto"/>
              </w:rPr>
            </w:pPr>
            <w:r>
              <w:rPr>
                <w:rFonts w:hint="eastAsia"/>
                <w:color w:val="auto"/>
              </w:rPr>
              <w:t>In-app distribution</w:t>
            </w:r>
          </w:p>
        </w:tc>
      </w:tr>
      <w:tr w14:paraId="2F482900">
        <w:tblPrEx>
          <w:tblCellMar>
            <w:top w:w="0" w:type="dxa"/>
            <w:left w:w="108" w:type="dxa"/>
            <w:bottom w:w="0" w:type="dxa"/>
            <w:right w:w="108" w:type="dxa"/>
          </w:tblCellMar>
        </w:tblPrEx>
        <w:tc>
          <w:tcPr>
            <w:tcW w:w="345" w:type="pct"/>
          </w:tcPr>
          <w:p w14:paraId="7FBF1697">
            <w:pPr>
              <w:pStyle w:val="26"/>
              <w:rPr>
                <w:color w:val="auto"/>
              </w:rPr>
            </w:pPr>
            <w:r>
              <w:rPr>
                <w:color w:val="auto"/>
              </w:rPr>
              <w:t>AG10</w:t>
            </w:r>
          </w:p>
        </w:tc>
        <w:tc>
          <w:tcPr>
            <w:tcW w:w="862" w:type="pct"/>
          </w:tcPr>
          <w:p w14:paraId="7837DDBB">
            <w:pPr>
              <w:pStyle w:val="26"/>
              <w:rPr>
                <w:rFonts w:hint="default" w:eastAsiaTheme="minorEastAsia"/>
                <w:color w:val="auto"/>
                <w:lang w:val="en-US" w:eastAsia="zh-CN"/>
              </w:rPr>
            </w:pPr>
            <w:r>
              <w:rPr>
                <w:rFonts w:hint="eastAsia"/>
                <w:color w:val="auto"/>
                <w:lang w:val="en-US" w:eastAsia="zh-CN"/>
              </w:rPr>
              <w:t>Yes</w:t>
            </w:r>
          </w:p>
        </w:tc>
        <w:tc>
          <w:tcPr>
            <w:tcW w:w="1273" w:type="pct"/>
          </w:tcPr>
          <w:p w14:paraId="26D8BCED">
            <w:pPr>
              <w:pStyle w:val="26"/>
              <w:rPr>
                <w:color w:val="auto"/>
              </w:rPr>
            </w:pPr>
            <w:r>
              <w:rPr>
                <w:color w:val="auto"/>
              </w:rPr>
              <w:t>—</w:t>
            </w:r>
          </w:p>
        </w:tc>
        <w:tc>
          <w:tcPr>
            <w:tcW w:w="860" w:type="pct"/>
          </w:tcPr>
          <w:p w14:paraId="741904DD">
            <w:pPr>
              <w:pStyle w:val="26"/>
              <w:rPr>
                <w:color w:val="auto"/>
              </w:rPr>
            </w:pPr>
            <w:r>
              <w:rPr>
                <w:color w:val="auto"/>
              </w:rPr>
              <w:t>—</w:t>
            </w:r>
          </w:p>
        </w:tc>
        <w:tc>
          <w:tcPr>
            <w:tcW w:w="794" w:type="pct"/>
          </w:tcPr>
          <w:p w14:paraId="0ED4BCAB">
            <w:pPr>
              <w:pStyle w:val="26"/>
              <w:rPr>
                <w:color w:val="auto"/>
              </w:rPr>
            </w:pPr>
            <w:r>
              <w:rPr>
                <w:color w:val="auto"/>
              </w:rPr>
              <w:t>—</w:t>
            </w:r>
          </w:p>
        </w:tc>
        <w:tc>
          <w:tcPr>
            <w:tcW w:w="864" w:type="pct"/>
          </w:tcPr>
          <w:p w14:paraId="17432C9E">
            <w:pPr>
              <w:pStyle w:val="26"/>
              <w:rPr>
                <w:color w:val="auto"/>
              </w:rPr>
            </w:pPr>
            <w:r>
              <w:rPr>
                <w:color w:val="auto"/>
              </w:rPr>
              <w:t>—</w:t>
            </w:r>
          </w:p>
        </w:tc>
      </w:tr>
      <w:tr w14:paraId="642BCDD0">
        <w:tblPrEx>
          <w:tblCellMar>
            <w:top w:w="0" w:type="dxa"/>
            <w:left w:w="108" w:type="dxa"/>
            <w:bottom w:w="0" w:type="dxa"/>
            <w:right w:w="108" w:type="dxa"/>
          </w:tblCellMar>
        </w:tblPrEx>
        <w:tc>
          <w:tcPr>
            <w:tcW w:w="345" w:type="pct"/>
          </w:tcPr>
          <w:p w14:paraId="340D983F">
            <w:pPr>
              <w:pStyle w:val="26"/>
              <w:rPr>
                <w:color w:val="auto"/>
              </w:rPr>
            </w:pPr>
            <w:r>
              <w:rPr>
                <w:color w:val="auto"/>
              </w:rPr>
              <w:t>AG11</w:t>
            </w:r>
          </w:p>
        </w:tc>
        <w:tc>
          <w:tcPr>
            <w:tcW w:w="862" w:type="pct"/>
          </w:tcPr>
          <w:p w14:paraId="49F83468">
            <w:pPr>
              <w:pStyle w:val="26"/>
              <w:rPr>
                <w:color w:val="auto"/>
              </w:rPr>
            </w:pPr>
            <w:r>
              <w:rPr>
                <w:rFonts w:hint="eastAsia"/>
                <w:color w:val="auto"/>
                <w:lang w:val="en-US" w:eastAsia="zh-CN"/>
              </w:rPr>
              <w:t>Yes</w:t>
            </w:r>
          </w:p>
        </w:tc>
        <w:tc>
          <w:tcPr>
            <w:tcW w:w="1273" w:type="pct"/>
          </w:tcPr>
          <w:p w14:paraId="2EE5F1A1">
            <w:pPr>
              <w:pStyle w:val="26"/>
              <w:rPr>
                <w:rFonts w:hint="default" w:eastAsiaTheme="minorEastAsia"/>
                <w:color w:val="auto"/>
                <w:lang w:val="en-US" w:eastAsia="zh-CN"/>
              </w:rPr>
            </w:pPr>
            <w:r>
              <w:rPr>
                <w:color w:val="auto"/>
              </w:rPr>
              <w:t>—</w:t>
            </w:r>
          </w:p>
        </w:tc>
        <w:tc>
          <w:tcPr>
            <w:tcW w:w="860" w:type="pct"/>
          </w:tcPr>
          <w:p w14:paraId="5F599452">
            <w:pPr>
              <w:pStyle w:val="26"/>
              <w:rPr>
                <w:color w:val="auto"/>
              </w:rPr>
            </w:pPr>
            <w:r>
              <w:rPr>
                <w:color w:val="auto"/>
              </w:rPr>
              <w:t>—</w:t>
            </w:r>
          </w:p>
        </w:tc>
        <w:tc>
          <w:tcPr>
            <w:tcW w:w="794" w:type="pct"/>
          </w:tcPr>
          <w:p w14:paraId="6AC17804">
            <w:pPr>
              <w:pStyle w:val="26"/>
              <w:rPr>
                <w:color w:val="auto"/>
              </w:rPr>
            </w:pPr>
            <w:r>
              <w:rPr>
                <w:color w:val="auto"/>
              </w:rPr>
              <w:t>—</w:t>
            </w:r>
          </w:p>
        </w:tc>
        <w:tc>
          <w:tcPr>
            <w:tcW w:w="864" w:type="pct"/>
          </w:tcPr>
          <w:p w14:paraId="13EFA6F0">
            <w:pPr>
              <w:pStyle w:val="26"/>
              <w:rPr>
                <w:color w:val="auto"/>
              </w:rPr>
            </w:pPr>
            <w:r>
              <w:rPr>
                <w:color w:val="auto"/>
              </w:rPr>
              <w:t>—</w:t>
            </w:r>
          </w:p>
        </w:tc>
      </w:tr>
      <w:tr w14:paraId="505634D0">
        <w:tblPrEx>
          <w:tblCellMar>
            <w:top w:w="0" w:type="dxa"/>
            <w:left w:w="108" w:type="dxa"/>
            <w:bottom w:w="0" w:type="dxa"/>
            <w:right w:w="108" w:type="dxa"/>
          </w:tblCellMar>
        </w:tblPrEx>
        <w:tc>
          <w:tcPr>
            <w:tcW w:w="345" w:type="pct"/>
          </w:tcPr>
          <w:p w14:paraId="36F6DF20">
            <w:pPr>
              <w:pStyle w:val="26"/>
              <w:rPr>
                <w:color w:val="auto"/>
              </w:rPr>
            </w:pPr>
            <w:r>
              <w:rPr>
                <w:color w:val="auto"/>
              </w:rPr>
              <w:t>AG12</w:t>
            </w:r>
          </w:p>
        </w:tc>
        <w:tc>
          <w:tcPr>
            <w:tcW w:w="862" w:type="pct"/>
          </w:tcPr>
          <w:p w14:paraId="13B370E7">
            <w:pPr>
              <w:pStyle w:val="26"/>
              <w:rPr>
                <w:color w:val="auto"/>
              </w:rPr>
            </w:pPr>
            <w:r>
              <w:rPr>
                <w:color w:val="auto"/>
              </w:rPr>
              <w:t>Yes. The product-specific policy itself lists exercise and health fields, including heart rate, steps, blood pressure, sleep, body temperature and blood oxygen saturation.</w:t>
            </w:r>
          </w:p>
        </w:tc>
        <w:tc>
          <w:tcPr>
            <w:tcW w:w="1273" w:type="pct"/>
          </w:tcPr>
          <w:p w14:paraId="4E44BB15">
            <w:pPr>
              <w:pStyle w:val="26"/>
              <w:rPr>
                <w:color w:val="auto"/>
              </w:rPr>
            </w:pPr>
            <w:r>
              <w:rPr>
                <w:rFonts w:hint="eastAsia"/>
                <w:color w:val="auto"/>
              </w:rPr>
              <w:t>—</w:t>
            </w:r>
          </w:p>
        </w:tc>
        <w:tc>
          <w:tcPr>
            <w:tcW w:w="860" w:type="pct"/>
          </w:tcPr>
          <w:p w14:paraId="42892543">
            <w:pPr>
              <w:pStyle w:val="26"/>
              <w:rPr>
                <w:color w:val="auto"/>
              </w:rPr>
            </w:pPr>
            <w:r>
              <w:rPr>
                <w:rFonts w:hint="eastAsia"/>
                <w:color w:val="auto"/>
              </w:rPr>
              <w:t>Lenovo Health Life policy effective 8 Oct 2024; archived 27 Sep 2026 during revision</w:t>
            </w:r>
            <w:r>
              <w:rPr>
                <w:rFonts w:hint="eastAsia"/>
                <w:color w:val="auto"/>
                <w:lang w:val="en-US" w:eastAsia="zh-CN"/>
              </w:rPr>
            </w:r>
            <w:r>
              <w:rPr>
                <w:rFonts w:hint="eastAsia"/>
                <w:color w:val="auto"/>
              </w:rPr>
            </w:r>
            <w:r>
              <w:rPr>
                <w:color w:val="auto"/>
              </w:rPr>
            </w:r>
          </w:p>
        </w:tc>
        <w:tc>
          <w:tcPr>
            <w:tcW w:w="794" w:type="pct"/>
          </w:tcPr>
          <w:p w14:paraId="63BB8B94">
            <w:pPr>
              <w:pStyle w:val="26"/>
              <w:rPr>
                <w:color w:val="auto"/>
              </w:rPr>
            </w:pPr>
            <w:r>
              <w:rPr>
                <w:color w:val="auto"/>
              </w:rPr>
              <w:t>Exercise distance/type/duration, calories, location, heart rate, steps, blood pressure, sleep, exercise route, body temperature, blood oxygen saturation</w:t>
            </w:r>
          </w:p>
        </w:tc>
        <w:tc>
          <w:tcPr>
            <w:tcW w:w="864" w:type="pct"/>
          </w:tcPr>
          <w:p w14:paraId="1B9B1330">
            <w:pPr>
              <w:pStyle w:val="26"/>
              <w:rPr>
                <w:color w:val="auto"/>
              </w:rPr>
            </w:pPr>
            <w:r>
              <w:rPr>
                <w:rFonts w:hint="eastAsia"/>
                <w:color w:val="auto"/>
              </w:rPr>
              <w:t>Official product-specific policy directly governing Lenovo Health Life and wearable-health functions</w:t>
            </w:r>
          </w:p>
        </w:tc>
      </w:tr>
      <w:tr w14:paraId="6988128A">
        <w:tblPrEx>
          <w:tblCellMar>
            <w:top w:w="0" w:type="dxa"/>
            <w:left w:w="108" w:type="dxa"/>
            <w:bottom w:w="0" w:type="dxa"/>
            <w:right w:w="108" w:type="dxa"/>
          </w:tblCellMar>
        </w:tblPrEx>
        <w:tc>
          <w:tcPr>
            <w:tcW w:w="345" w:type="pct"/>
          </w:tcPr>
          <w:p w14:paraId="264B6F9F">
            <w:pPr>
              <w:pStyle w:val="26"/>
              <w:rPr>
                <w:color w:val="auto"/>
              </w:rPr>
            </w:pPr>
            <w:r>
              <w:rPr>
                <w:color w:val="auto"/>
              </w:rPr>
              <w:t>AG13</w:t>
            </w:r>
          </w:p>
        </w:tc>
        <w:tc>
          <w:tcPr>
            <w:tcW w:w="862" w:type="pct"/>
          </w:tcPr>
          <w:p w14:paraId="6AD9F995">
            <w:pPr>
              <w:pStyle w:val="26"/>
              <w:rPr>
                <w:color w:val="auto"/>
              </w:rPr>
            </w:pPr>
            <w:r>
              <w:rPr>
                <w:color w:val="auto"/>
              </w:rPr>
              <w:t xml:space="preserve">Yes, within the combined case-document set. The DuerOS policy applies to DuerOS smart devices and enumerates health and fitness data categories for connected devices; the Xiaodu AI Watch Fit product page confirms heart-rate, blood-oxygen and sleep-monitoring functions. The linkage is cross-reference-based rather than a watch-specific policy statement.</w:t>
            </w:r>
          </w:p>
        </w:tc>
        <w:tc>
          <w:tcPr>
            <w:tcW w:w="1273" w:type="pct"/>
          </w:tcPr>
          <w:p w14:paraId="488C6E71">
            <w:pPr>
              <w:pStyle w:val="26"/>
              <w:rPr>
                <w:color w:val="auto"/>
              </w:rPr>
            </w:pPr>
            <w:r>
              <w:rPr>
                <w:rFonts w:hint="eastAsia"/>
                <w:color w:val="auto"/>
              </w:rPr>
              <w:t>https://dumall.baidu.com/product/1000796910927964?skuNo=S20202200910419</w:t>
            </w:r>
          </w:p>
        </w:tc>
        <w:tc>
          <w:tcPr>
            <w:tcW w:w="860" w:type="pct"/>
          </w:tcPr>
          <w:p w14:paraId="47D9C778">
            <w:pPr>
              <w:pStyle w:val="26"/>
              <w:rPr>
                <w:color w:val="auto"/>
              </w:rPr>
            </w:pPr>
            <w:r>
              <w:rPr>
                <w:rFonts w:hint="eastAsia"/>
                <w:color w:val="auto"/>
              </w:rPr>
              <w:t>Xiaodu AI Watch Fit</w:t>
            </w:r>
            <w:r>
              <w:rPr>
                <w:color w:val="auto"/>
              </w:rPr>
              <w:t xml:space="preserve"> / 5 Aug 2026</w:t>
            </w:r>
          </w:p>
        </w:tc>
        <w:tc>
          <w:tcPr>
            <w:tcW w:w="794" w:type="pct"/>
          </w:tcPr>
          <w:p w14:paraId="2D24A8D0">
            <w:pPr>
              <w:pStyle w:val="26"/>
              <w:rPr>
                <w:color w:val="auto"/>
              </w:rPr>
            </w:pPr>
            <w:r>
              <w:rPr>
                <w:color w:val="auto"/>
              </w:rPr>
              <w:t>Heart rate, blood oxygen, sleep monitoring</w:t>
            </w:r>
          </w:p>
        </w:tc>
        <w:tc>
          <w:tcPr>
            <w:tcW w:w="864" w:type="pct"/>
          </w:tcPr>
          <w:p w14:paraId="469049D2">
            <w:pPr>
              <w:pStyle w:val="26"/>
              <w:rPr>
                <w:color w:val="auto"/>
              </w:rPr>
            </w:pPr>
            <w:r>
              <w:rPr>
                <w:rFonts w:hint="eastAsia"/>
                <w:color w:val="auto"/>
              </w:rPr>
              <w:t>Cross-reference</w:t>
            </w:r>
          </w:p>
        </w:tc>
      </w:tr>
      <w:tr w14:paraId="0F4A1F63">
        <w:tblPrEx>
          <w:tblCellMar>
            <w:top w:w="0" w:type="dxa"/>
            <w:left w:w="108" w:type="dxa"/>
            <w:bottom w:w="0" w:type="dxa"/>
            <w:right w:w="108" w:type="dxa"/>
          </w:tblCellMar>
        </w:tblPrEx>
        <w:tc>
          <w:tcPr>
            <w:tcW w:w="345" w:type="pct"/>
          </w:tcPr>
          <w:p w14:paraId="6DC9560C">
            <w:pPr>
              <w:pStyle w:val="26"/>
              <w:rPr>
                <w:color w:val="auto"/>
              </w:rPr>
            </w:pPr>
            <w:r>
              <w:rPr>
                <w:color w:val="auto"/>
              </w:rPr>
              <w:t>AG14</w:t>
            </w:r>
          </w:p>
        </w:tc>
        <w:tc>
          <w:tcPr>
            <w:tcW w:w="862" w:type="pct"/>
          </w:tcPr>
          <w:p w14:paraId="530D644A">
            <w:pPr>
              <w:pStyle w:val="26"/>
              <w:rPr>
                <w:color w:val="auto"/>
              </w:rPr>
            </w:pPr>
            <w:r>
              <w:rPr>
                <w:color w:val="auto"/>
              </w:rPr>
              <w:t>No (audio policy does not list health functions)</w:t>
            </w:r>
          </w:p>
        </w:tc>
        <w:tc>
          <w:tcPr>
            <w:tcW w:w="1273" w:type="pct"/>
          </w:tcPr>
          <w:p w14:paraId="7F66330C">
            <w:pPr>
              <w:pStyle w:val="26"/>
              <w:rPr>
                <w:color w:val="auto"/>
              </w:rPr>
            </w:pPr>
            <w:r>
              <w:rPr>
                <w:rFonts w:hint="eastAsia"/>
                <w:color w:val="auto"/>
              </w:rPr>
              <w:t>https://consumer.huawei.com/cn/support/content/zh-cn15942833/</w:t>
            </w:r>
          </w:p>
        </w:tc>
        <w:tc>
          <w:tcPr>
            <w:tcW w:w="860" w:type="pct"/>
          </w:tcPr>
          <w:p w14:paraId="7D14C03D">
            <w:pPr>
              <w:pStyle w:val="26"/>
              <w:rPr>
                <w:color w:val="auto"/>
              </w:rPr>
            </w:pPr>
            <w:r>
              <w:rPr>
                <w:rFonts w:hint="default" w:ascii="Segoe UI" w:hAnsi="Segoe UI" w:eastAsia="Segoe UI" w:cs="Segoe UI"/>
                <w:i w:val="0"/>
                <w:iCs w:val="0"/>
                <w:caps w:val="0"/>
                <w:color w:val="auto"/>
                <w:spacing w:val="0"/>
                <w:sz w:val="24"/>
                <w:szCs w:val="24"/>
                <w:shd w:val="clear" w:fill="FFFFFF"/>
              </w:rPr>
              <w:t>FreeBuds Pro 2+ and later models</w:t>
            </w:r>
            <w:r>
              <w:rPr>
                <w:color w:val="auto"/>
              </w:rPr>
              <w:t xml:space="preserve"> / 5 Aug 2026</w:t>
            </w:r>
          </w:p>
        </w:tc>
        <w:tc>
          <w:tcPr>
            <w:tcW w:w="794" w:type="pct"/>
          </w:tcPr>
          <w:p w14:paraId="660B07D7">
            <w:pPr>
              <w:pStyle w:val="26"/>
              <w:rPr>
                <w:color w:val="auto"/>
              </w:rPr>
            </w:pPr>
            <w:r>
              <w:rPr>
                <w:color w:val="auto"/>
              </w:rPr>
              <w:t>Heart-rate sensing, body-temperature monitoring</w:t>
            </w:r>
          </w:p>
        </w:tc>
        <w:tc>
          <w:tcPr>
            <w:tcW w:w="864" w:type="pct"/>
          </w:tcPr>
          <w:p w14:paraId="2062543B">
            <w:pPr>
              <w:pStyle w:val="26"/>
              <w:rPr>
                <w:color w:val="auto"/>
              </w:rPr>
            </w:pPr>
            <w:r>
              <w:rPr>
                <w:rFonts w:hint="eastAsia"/>
                <w:color w:val="auto"/>
              </w:rPr>
              <w:t>Cross-reference</w:t>
            </w:r>
          </w:p>
        </w:tc>
      </w:tr>
      <w:tr w14:paraId="357A6320">
        <w:tblPrEx>
          <w:tblCellMar>
            <w:top w:w="0" w:type="dxa"/>
            <w:left w:w="108" w:type="dxa"/>
            <w:bottom w:w="0" w:type="dxa"/>
            <w:right w:w="108" w:type="dxa"/>
          </w:tblCellMar>
        </w:tblPrEx>
        <w:tc>
          <w:tcPr>
            <w:tcW w:w="345" w:type="pct"/>
          </w:tcPr>
          <w:p w14:paraId="49013511">
            <w:pPr>
              <w:pStyle w:val="26"/>
              <w:rPr>
                <w:color w:val="auto"/>
              </w:rPr>
            </w:pPr>
            <w:r>
              <w:rPr>
                <w:color w:val="auto"/>
              </w:rPr>
              <w:t>AG15</w:t>
            </w:r>
          </w:p>
        </w:tc>
        <w:tc>
          <w:tcPr>
            <w:tcW w:w="862" w:type="pct"/>
          </w:tcPr>
          <w:p w14:paraId="111D44A4">
            <w:pPr>
              <w:pStyle w:val="26"/>
              <w:rPr>
                <w:rFonts w:hint="default" w:eastAsiaTheme="minorEastAsia"/>
                <w:color w:val="auto"/>
                <w:lang w:val="en-US" w:eastAsia="zh-CN"/>
              </w:rPr>
            </w:pPr>
            <w:r>
              <w:rPr>
                <w:color w:val="auto"/>
              </w:rPr>
              <w:t>No(policy does not list health functions)</w:t>
            </w:r>
          </w:p>
        </w:tc>
        <w:tc>
          <w:tcPr>
            <w:tcW w:w="1273" w:type="pct"/>
          </w:tcPr>
          <w:p w14:paraId="5066E192">
            <w:pPr>
              <w:pStyle w:val="26"/>
              <w:rPr>
                <w:color w:val="auto"/>
              </w:rPr>
            </w:pPr>
            <w:r>
              <w:rPr>
                <w:rFonts w:hint="eastAsia"/>
                <w:color w:val="auto"/>
              </w:rPr>
              <w:t>https://www.edifier.com/global/p/open-ear-true-wireless-earbuds/lolliclip</w:t>
            </w:r>
          </w:p>
        </w:tc>
        <w:tc>
          <w:tcPr>
            <w:tcW w:w="860" w:type="pct"/>
          </w:tcPr>
          <w:p w14:paraId="45167BD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firstLine="0"/>
              <w:textAlignment w:val="baseline"/>
              <w:rPr>
                <w:rFonts w:asciiTheme="minorHAnsi" w:hAnsiTheme="minorHAnsi" w:eastAsiaTheme="minorEastAsia" w:cstheme="minorBidi"/>
                <w:color w:val="auto"/>
                <w:sz w:val="24"/>
                <w:szCs w:val="24"/>
                <w:lang w:val="en-US" w:eastAsia="zh-CN" w:bidi="ar-SA"/>
              </w:rPr>
            </w:pPr>
            <w:r>
              <w:rPr>
                <w:rFonts w:hint="default" w:asciiTheme="minorHAnsi" w:hAnsiTheme="minorHAnsi" w:eastAsiaTheme="minorEastAsia" w:cstheme="minorBidi"/>
                <w:color w:val="auto"/>
                <w:sz w:val="24"/>
                <w:szCs w:val="24"/>
                <w:lang w:val="en-US" w:eastAsia="zh-CN" w:bidi="ar-SA"/>
              </w:rPr>
              <w:t>LolliClip</w:t>
            </w:r>
          </w:p>
          <w:p w14:paraId="3A515E00">
            <w:pPr>
              <w:pStyle w:val="26"/>
              <w:rPr>
                <w:color w:val="auto"/>
              </w:rPr>
            </w:pPr>
            <w:r>
              <w:rPr>
                <w:rFonts w:asciiTheme="minorHAnsi" w:hAnsiTheme="minorHAnsi" w:eastAsiaTheme="minorEastAsia" w:cstheme="minorBidi"/>
                <w:color w:val="auto"/>
                <w:sz w:val="24"/>
                <w:szCs w:val="24"/>
                <w:lang w:val="en-US" w:eastAsia="zh-CN" w:bidi="ar-SA"/>
              </w:rPr>
              <w:t xml:space="preserve"> / 5 Aug 2026</w:t>
            </w:r>
          </w:p>
        </w:tc>
        <w:tc>
          <w:tcPr>
            <w:tcW w:w="794" w:type="pct"/>
          </w:tcPr>
          <w:p w14:paraId="50BA6512">
            <w:pPr>
              <w:pStyle w:val="26"/>
              <w:rPr>
                <w:color w:val="auto"/>
              </w:rPr>
            </w:pPr>
            <w:r>
              <w:rPr>
                <w:rFonts w:hint="eastAsia"/>
                <w:color w:val="auto"/>
                <w:lang w:val="en-US" w:eastAsia="zh-CN"/>
              </w:rPr>
              <w:t>H</w:t>
            </w:r>
            <w:r>
              <w:rPr>
                <w:rFonts w:hint="eastAsia"/>
                <w:color w:val="auto"/>
              </w:rPr>
              <w:t>eart rate and blood oxygen detection</w:t>
            </w:r>
          </w:p>
        </w:tc>
        <w:tc>
          <w:tcPr>
            <w:tcW w:w="864" w:type="pct"/>
          </w:tcPr>
          <w:p w14:paraId="4C367C60">
            <w:pPr>
              <w:pStyle w:val="26"/>
              <w:rPr>
                <w:color w:val="auto"/>
              </w:rPr>
            </w:pPr>
            <w:r>
              <w:rPr>
                <w:rFonts w:hint="eastAsia"/>
                <w:color w:val="auto"/>
              </w:rPr>
              <w:t>Cross-reference</w:t>
            </w:r>
          </w:p>
        </w:tc>
      </w:tr>
      <w:tr w14:paraId="520E20E3">
        <w:tblPrEx>
          <w:tblCellMar>
            <w:top w:w="0" w:type="dxa"/>
            <w:left w:w="108" w:type="dxa"/>
            <w:bottom w:w="0" w:type="dxa"/>
            <w:right w:w="108" w:type="dxa"/>
          </w:tblCellMar>
        </w:tblPrEx>
        <w:tc>
          <w:tcPr>
            <w:tcW w:w="345" w:type="pct"/>
          </w:tcPr>
          <w:p w14:paraId="2EC79B7B">
            <w:pPr>
              <w:pStyle w:val="26"/>
              <w:rPr>
                <w:color w:val="auto"/>
              </w:rPr>
            </w:pPr>
            <w:r>
              <w:rPr>
                <w:color w:val="auto"/>
              </w:rPr>
              <w:t>AG16</w:t>
            </w:r>
          </w:p>
        </w:tc>
        <w:tc>
          <w:tcPr>
            <w:tcW w:w="862" w:type="pct"/>
          </w:tcPr>
          <w:p w14:paraId="2BBC0867">
            <w:pPr>
              <w:pStyle w:val="26"/>
              <w:rPr>
                <w:color w:val="auto"/>
              </w:rPr>
            </w:pPr>
            <w:r>
              <w:rPr>
                <w:color w:val="auto"/>
              </w:rPr>
              <w:t>Yes</w:t>
            </w:r>
          </w:p>
        </w:tc>
        <w:tc>
          <w:tcPr>
            <w:tcW w:w="1273" w:type="pct"/>
          </w:tcPr>
          <w:p w14:paraId="03B9FB8F">
            <w:pPr>
              <w:pStyle w:val="26"/>
              <w:rPr>
                <w:color w:val="auto"/>
              </w:rPr>
            </w:pPr>
            <w:r>
              <w:rPr>
                <w:color w:val="auto"/>
              </w:rPr>
              <w:t>—</w:t>
            </w:r>
          </w:p>
        </w:tc>
        <w:tc>
          <w:tcPr>
            <w:tcW w:w="860" w:type="pct"/>
          </w:tcPr>
          <w:p w14:paraId="1E5A73F3">
            <w:pPr>
              <w:pStyle w:val="26"/>
              <w:rPr>
                <w:color w:val="auto"/>
              </w:rPr>
            </w:pPr>
            <w:r>
              <w:rPr>
                <w:color w:val="auto"/>
              </w:rPr>
              <w:t>—</w:t>
            </w:r>
          </w:p>
        </w:tc>
        <w:tc>
          <w:tcPr>
            <w:tcW w:w="794" w:type="pct"/>
          </w:tcPr>
          <w:p w14:paraId="40E087BC">
            <w:pPr>
              <w:pStyle w:val="26"/>
              <w:rPr>
                <w:color w:val="auto"/>
              </w:rPr>
            </w:pPr>
            <w:r>
              <w:rPr>
                <w:color w:val="auto"/>
              </w:rPr>
              <w:t>—</w:t>
            </w:r>
          </w:p>
        </w:tc>
        <w:tc>
          <w:tcPr>
            <w:tcW w:w="864" w:type="pct"/>
          </w:tcPr>
          <w:p w14:paraId="76BCA2E2">
            <w:pPr>
              <w:pStyle w:val="26"/>
              <w:rPr>
                <w:color w:val="auto"/>
              </w:rPr>
            </w:pPr>
            <w:r>
              <w:rPr>
                <w:color w:val="auto"/>
              </w:rPr>
              <w:t>—</w:t>
            </w:r>
          </w:p>
        </w:tc>
      </w:tr>
      <w:tr w14:paraId="3065AD96">
        <w:tblPrEx>
          <w:tblCellMar>
            <w:top w:w="0" w:type="dxa"/>
            <w:left w:w="108" w:type="dxa"/>
            <w:bottom w:w="0" w:type="dxa"/>
            <w:right w:w="108" w:type="dxa"/>
          </w:tblCellMar>
        </w:tblPrEx>
        <w:tc>
          <w:tcPr>
            <w:tcW w:w="345" w:type="pct"/>
          </w:tcPr>
          <w:p w14:paraId="19A6B4AA">
            <w:pPr>
              <w:pStyle w:val="26"/>
              <w:rPr>
                <w:color w:val="auto"/>
              </w:rPr>
            </w:pPr>
            <w:r>
              <w:rPr>
                <w:color w:val="auto"/>
              </w:rPr>
              <w:t>AG17</w:t>
            </w:r>
          </w:p>
        </w:tc>
        <w:tc>
          <w:tcPr>
            <w:tcW w:w="862" w:type="pct"/>
          </w:tcPr>
          <w:p w14:paraId="07DB0BC9">
            <w:pPr>
              <w:pStyle w:val="26"/>
              <w:rPr>
                <w:color w:val="auto"/>
              </w:rPr>
            </w:pPr>
            <w:r>
              <w:rPr>
                <w:color w:val="auto"/>
              </w:rPr>
              <w:t>Yes</w:t>
            </w:r>
          </w:p>
        </w:tc>
        <w:tc>
          <w:tcPr>
            <w:tcW w:w="1273" w:type="pct"/>
          </w:tcPr>
          <w:p w14:paraId="0693C9B7">
            <w:pPr>
              <w:pStyle w:val="26"/>
              <w:rPr>
                <w:color w:val="auto"/>
              </w:rPr>
            </w:pPr>
            <w:r>
              <w:rPr>
                <w:color w:val="auto"/>
              </w:rPr>
              <w:t>—</w:t>
            </w:r>
          </w:p>
        </w:tc>
        <w:tc>
          <w:tcPr>
            <w:tcW w:w="860" w:type="pct"/>
          </w:tcPr>
          <w:p w14:paraId="3CC9DDE8">
            <w:pPr>
              <w:pStyle w:val="26"/>
              <w:rPr>
                <w:color w:val="auto"/>
              </w:rPr>
            </w:pPr>
            <w:r>
              <w:rPr>
                <w:color w:val="auto"/>
              </w:rPr>
              <w:t>—</w:t>
            </w:r>
          </w:p>
        </w:tc>
        <w:tc>
          <w:tcPr>
            <w:tcW w:w="794" w:type="pct"/>
          </w:tcPr>
          <w:p w14:paraId="71D16690">
            <w:pPr>
              <w:pStyle w:val="26"/>
              <w:rPr>
                <w:color w:val="auto"/>
              </w:rPr>
            </w:pPr>
            <w:r>
              <w:rPr>
                <w:color w:val="auto"/>
              </w:rPr>
              <w:t>—</w:t>
            </w:r>
          </w:p>
        </w:tc>
        <w:tc>
          <w:tcPr>
            <w:tcW w:w="864" w:type="pct"/>
          </w:tcPr>
          <w:p w14:paraId="510F051B">
            <w:pPr>
              <w:pStyle w:val="26"/>
              <w:rPr>
                <w:color w:val="auto"/>
              </w:rPr>
            </w:pPr>
            <w:r>
              <w:rPr>
                <w:color w:val="auto"/>
              </w:rPr>
              <w:t>—</w:t>
            </w:r>
          </w:p>
        </w:tc>
      </w:tr>
      <w:tr w14:paraId="5EF095E2">
        <w:tblPrEx>
          <w:tblCellMar>
            <w:top w:w="0" w:type="dxa"/>
            <w:left w:w="108" w:type="dxa"/>
            <w:bottom w:w="0" w:type="dxa"/>
            <w:right w:w="108" w:type="dxa"/>
          </w:tblCellMar>
        </w:tblPrEx>
        <w:tc>
          <w:tcPr>
            <w:tcW w:w="345" w:type="pct"/>
          </w:tcPr>
          <w:p w14:paraId="7ADA126D">
            <w:pPr>
              <w:pStyle w:val="26"/>
              <w:rPr>
                <w:color w:val="auto"/>
              </w:rPr>
            </w:pPr>
            <w:r>
              <w:rPr>
                <w:color w:val="auto"/>
              </w:rPr>
              <w:t>AG18</w:t>
            </w:r>
          </w:p>
        </w:tc>
        <w:tc>
          <w:tcPr>
            <w:tcW w:w="862" w:type="pct"/>
          </w:tcPr>
          <w:p w14:paraId="1C026A1B">
            <w:pPr>
              <w:pStyle w:val="26"/>
              <w:rPr>
                <w:color w:val="auto"/>
              </w:rPr>
            </w:pPr>
            <w:r>
              <w:rPr>
                <w:color w:val="auto"/>
              </w:rPr>
              <w:t>Yes</w:t>
            </w:r>
          </w:p>
        </w:tc>
        <w:tc>
          <w:tcPr>
            <w:tcW w:w="1273" w:type="pct"/>
          </w:tcPr>
          <w:p w14:paraId="7353B02D">
            <w:pPr>
              <w:pStyle w:val="26"/>
              <w:rPr>
                <w:color w:val="auto"/>
              </w:rPr>
            </w:pPr>
            <w:r>
              <w:rPr>
                <w:color w:val="auto"/>
              </w:rPr>
              <w:t>—</w:t>
            </w:r>
          </w:p>
        </w:tc>
        <w:tc>
          <w:tcPr>
            <w:tcW w:w="860" w:type="pct"/>
          </w:tcPr>
          <w:p w14:paraId="43F5C79D">
            <w:pPr>
              <w:pStyle w:val="26"/>
              <w:rPr>
                <w:color w:val="auto"/>
              </w:rPr>
            </w:pPr>
            <w:r>
              <w:rPr>
                <w:color w:val="auto"/>
              </w:rPr>
              <w:t>—</w:t>
            </w:r>
          </w:p>
        </w:tc>
        <w:tc>
          <w:tcPr>
            <w:tcW w:w="794" w:type="pct"/>
          </w:tcPr>
          <w:p w14:paraId="2232B8EA">
            <w:pPr>
              <w:pStyle w:val="26"/>
              <w:rPr>
                <w:color w:val="auto"/>
              </w:rPr>
            </w:pPr>
            <w:r>
              <w:rPr>
                <w:color w:val="auto"/>
              </w:rPr>
              <w:t>—</w:t>
            </w:r>
          </w:p>
        </w:tc>
        <w:tc>
          <w:tcPr>
            <w:tcW w:w="864" w:type="pct"/>
          </w:tcPr>
          <w:p w14:paraId="69BA6066">
            <w:pPr>
              <w:pStyle w:val="26"/>
              <w:rPr>
                <w:color w:val="auto"/>
              </w:rPr>
            </w:pPr>
            <w:r>
              <w:rPr>
                <w:color w:val="auto"/>
              </w:rPr>
              <w:t>—</w:t>
            </w:r>
          </w:p>
        </w:tc>
      </w:tr>
    </w:tbl>
    <w:p w14:paraId="236E13C4">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sz w:val="20"/>
          <w:szCs w:val="20"/>
          <w:lang w:val="en-US" w:eastAsia="zh-CN"/>
        </w:rPr>
      </w:pPr>
      <w:r>
        <w:rPr>
          <w:rFonts w:hint="default"/>
          <w:sz w:val="20"/>
          <w:szCs w:val="20"/>
          <w:lang w:val="en-US" w:eastAsia="zh-CN"/>
        </w:rPr>
        <w:t>Linkage typology (for the “Basis for linking” column, in descending order of strength)</w:t>
      </w:r>
      <w:r>
        <w:rPr>
          <w:rFonts w:hint="eastAsia"/>
          <w:sz w:val="20"/>
          <w:szCs w:val="20"/>
          <w:lang w:val="en-US" w:eastAsia="zh-CN"/>
        </w:rPr>
        <w:t xml:space="preserve">: </w:t>
      </w:r>
      <w:r>
        <w:rPr>
          <w:rFonts w:hint="default"/>
          <w:sz w:val="20"/>
          <w:szCs w:val="20"/>
          <w:lang w:val="en-US" w:eastAsia="zh-CN"/>
        </w:rPr>
        <w:t>In-app distribution — the policy is served through the device’s companion application (the policy the device user actually sees).</w:t>
      </w:r>
      <w:r>
        <w:rPr>
          <w:rFonts w:hint="eastAsia"/>
          <w:sz w:val="20"/>
          <w:szCs w:val="20"/>
          <w:lang w:val="en-US" w:eastAsia="zh-CN"/>
        </w:rPr>
        <w:t xml:space="preserve"> </w:t>
      </w:r>
      <w:r>
        <w:rPr>
          <w:rFonts w:hint="default"/>
          <w:sz w:val="20"/>
          <w:szCs w:val="20"/>
          <w:lang w:val="en-US" w:eastAsia="zh-CN"/>
        </w:rPr>
        <w:t>Cross-reference — the product page explicitly links to or names this policy.</w:t>
      </w:r>
      <w:r>
        <w:rPr>
          <w:rFonts w:hint="eastAsia"/>
          <w:sz w:val="20"/>
          <w:szCs w:val="20"/>
          <w:lang w:val="en-US" w:eastAsia="zh-CN"/>
        </w:rPr>
        <w:t xml:space="preserve"> </w:t>
      </w:r>
      <w:r>
        <w:rPr>
          <w:rFonts w:hint="default"/>
          <w:sz w:val="20"/>
          <w:szCs w:val="20"/>
          <w:lang w:val="en-US" w:eastAsia="zh-CN"/>
        </w:rPr>
        <w:t>Listing-link — the developer entity on the product page / app-store listing matches the policy’s issuing entity, and the app is the device’s only companion app.</w:t>
      </w:r>
    </w:p>
    <w:p w14:paraId="4DD761EC">
      <w:pPr>
        <w:pStyle w:val="3"/>
      </w:pPr>
    </w:p>
    <w:p w14:paraId="749F2D0B">
      <w:pPr>
        <w:pStyle w:val="3"/>
      </w:pPr>
    </w:p>
    <w:p w14:paraId="74BBD4D2">
      <w:pPr>
        <w:pStyle w:val="2"/>
      </w:pPr>
      <w:r>
        <w:rPr>
          <w:rFonts w:hint="eastAsia"/>
          <w:lang w:val="en-US" w:eastAsia="zh-CN"/>
        </w:rPr>
        <w:t>5</w:t>
      </w:r>
      <w:r>
        <w:t xml:space="preserve">  case-level applicability audit</w:t>
      </w:r>
    </w:p>
    <w:p w14:paraId="64E07F30">
      <w:r>
        <w:rPr>
          <w:rFonts w:hint="eastAsia"/>
        </w:rPr>
        <w:t>For each case, it is determined independently under the applicability trichotomy set out in Section 3.3 of the Coding Manual. Each case is assigned to one of three states: Applicable (the activity's connection to the health/physiological data is established; the safeguard is assessed and coded ✓, ○, or ×), Insufficient (the document refers to the activity but the connection, or the completeness of the safeguard, cannot be determined; recorded as "insufficient to determine" and not coded ×), or N/A (the documents do not establish that the activity occurs; excluded from the indicator's denominator). Documentary silence is never treated as non-compliance.</w:t>
      </w:r>
    </w:p>
    <w:p w14:paraId="137C3ADE">
      <w:r>
        <w:rPr>
          <w:rFonts w:hint="eastAsia"/>
        </w:rPr>
        <w:t>We categorize all indicators into two groups: (1) Universal indicators (10 items: A1–A3, B1–B2, C1–C2, E1–E3): The prerequisite activity involves collecting/processing health data, obtaining consent, or describing the rights pathway. This activity occurs in all 18 cases and is supported by evidence; therefore, it is applicable to all 18 cases. (2) Conditional indicators (4 items: A4, D1, D2, D3): The prerequisite activities include providing data (health data) to a third party (A4/D3), secondary use of health data (D1), or an interaction between health data and a third-party application (D2). These activities must be established by the archival documentation itself; each shall be audited and classified as "Applicable,"  "Insufficient," or "N/A".</w:t>
      </w:r>
      <w:bookmarkStart w:id="0" w:name="_GoBack"/>
      <w:bookmarkEnd w:id="0"/>
    </w:p>
    <w:p w14:paraId="1FEB15BE">
      <w:pPr>
        <w:rPr>
          <w:rFonts w:asciiTheme="majorHAnsi" w:hAnsiTheme="majorHAnsi" w:eastAsiaTheme="majorEastAsia" w:cstheme="majorBidi"/>
          <w:color w:val="104862" w:themeColor="accent1" w:themeShade="BF"/>
          <w:sz w:val="40"/>
          <w:szCs w:val="40"/>
        </w:rPr>
      </w:pPr>
      <w:r>
        <w:rPr>
          <w:rFonts w:hint="eastAsia" w:asciiTheme="majorHAnsi" w:hAnsiTheme="majorHAnsi" w:eastAsiaTheme="majorEastAsia" w:cstheme="majorBidi"/>
          <w:color w:val="104862" w:themeColor="accent1" w:themeShade="BF"/>
          <w:sz w:val="40"/>
          <w:szCs w:val="40"/>
          <w:lang w:val="en-US" w:eastAsia="zh-CN"/>
        </w:rPr>
        <w:t>5</w:t>
      </w:r>
      <w:r>
        <w:rPr>
          <w:rFonts w:hint="eastAsia" w:asciiTheme="majorHAnsi" w:hAnsiTheme="majorHAnsi" w:eastAsiaTheme="majorEastAsia" w:cstheme="majorBidi"/>
          <w:color w:val="104862" w:themeColor="accent1" w:themeShade="BF"/>
          <w:sz w:val="40"/>
          <w:szCs w:val="40"/>
        </w:rPr>
        <w:t>.1 Sub-indicator Reconsideration Form</w:t>
      </w:r>
      <w:r>
        <w:rPr>
          <w:rFonts w:hint="eastAsia" w:asciiTheme="majorHAnsi" w:hAnsiTheme="majorHAnsi" w:eastAsiaTheme="majorEastAsia" w:cstheme="majorBidi"/>
          <w:color w:val="104862" w:themeColor="accent1" w:themeShade="BF"/>
          <w:sz w:val="40"/>
          <w:szCs w:val="40"/>
          <w:lang w:val="en-US" w:eastAsia="zh-CN"/>
        </w:rPr>
        <w:t xml:space="preserve"> </w:t>
      </w:r>
      <w:r>
        <w:rPr>
          <w:rFonts w:hint="eastAsia" w:asciiTheme="majorHAnsi" w:hAnsiTheme="majorHAnsi" w:eastAsiaTheme="majorEastAsia" w:cstheme="majorBidi"/>
          <w:color w:val="104862" w:themeColor="accent1" w:themeShade="BF"/>
          <w:sz w:val="40"/>
          <w:szCs w:val="40"/>
        </w:rPr>
        <w:t>(Universal indicators)</w:t>
      </w:r>
    </w:p>
    <w:p w14:paraId="18ADCB41">
      <w:pPr>
        <w:pStyle w:val="2"/>
        <w:rPr>
          <w:rFonts w:asciiTheme="minorHAnsi" w:hAnsiTheme="minorHAnsi" w:eastAsiaTheme="minorEastAsia" w:cstheme="minorBidi"/>
          <w:color w:val="auto"/>
          <w:sz w:val="24"/>
          <w:szCs w:val="24"/>
        </w:rPr>
      </w:pPr>
      <w:r>
        <w:rPr>
          <w:rFonts w:hint="eastAsia" w:asciiTheme="minorHAnsi" w:hAnsiTheme="minorHAnsi" w:eastAsiaTheme="minorEastAsia" w:cstheme="minorBidi"/>
          <w:color w:val="auto"/>
          <w:sz w:val="24"/>
          <w:szCs w:val="24"/>
        </w:rPr>
        <w:t>There are a total of 10 universal indicators: A1–A3, B1–B2, C1–C2, and E1–E3. For these indicators, all cases are classified as "Applicable"; for the specific determination criteria, please refer to Column “O” of</w:t>
      </w:r>
      <w:r>
        <w:rPr>
          <w:rFonts w:hint="eastAsia" w:asciiTheme="minorHAnsi" w:hAnsiTheme="minorHAnsi" w:eastAsiaTheme="minorEastAsia" w:cstheme="minorBidi"/>
          <w:color w:val="auto"/>
          <w:sz w:val="24"/>
          <w:szCs w:val="24"/>
          <w:highlight w:val="none"/>
        </w:rPr>
        <w:t xml:space="preserve"> the "Evidence Matrix".</w:t>
      </w:r>
    </w:p>
    <w:p w14:paraId="5E5B3D0D">
      <w:pPr>
        <w:pStyle w:val="2"/>
      </w:pPr>
      <w:r>
        <w:rPr>
          <w:rFonts w:hint="eastAsia"/>
          <w:lang w:val="en-US" w:eastAsia="zh-CN"/>
        </w:rPr>
        <w:t>5</w:t>
      </w:r>
      <w:r>
        <w:rPr>
          <w:rFonts w:hint="eastAsia"/>
        </w:rPr>
        <w:t>.2 Sub-indicator Reconsideration Form(Conditional indicators)</w:t>
      </w:r>
    </w:p>
    <w:p w14:paraId="6D41FDA7">
      <w:pPr>
        <w:pStyle w:val="3"/>
      </w:pPr>
      <w:r>
        <w:rPr>
          <w:rFonts w:hint="eastAsia"/>
        </w:rPr>
        <w:t>There are four conditional indicators in total: A4, D1, D2, and D3. Their applicability assessment and the rationale behind it are as follows:</w:t>
      </w:r>
    </w:p>
    <w:p w14:paraId="17ACD905">
      <w:pPr>
        <w:pStyle w:val="3"/>
      </w:pPr>
      <w:r>
        <w:rPr>
          <w:rFonts w:hint="eastAsia"/>
        </w:rPr>
        <w:t>A4-whether scenarios of third-party sharing are publicly disclosed.</w:t>
      </w:r>
    </w:p>
    <w:tbl>
      <w:tblPr>
        <w:tblStyle w:val="43"/>
        <w:tblW w:w="4851" w:type="pct"/>
        <w:tblInd w:w="0" w:type="dxa"/>
        <w:tblLayout w:type="fixed"/>
        <w:tblCellMar>
          <w:top w:w="0" w:type="dxa"/>
          <w:left w:w="108" w:type="dxa"/>
          <w:bottom w:w="0" w:type="dxa"/>
          <w:right w:w="108" w:type="dxa"/>
        </w:tblCellMar>
      </w:tblPr>
      <w:tblGrid>
        <w:gridCol w:w="854"/>
        <w:gridCol w:w="1602"/>
        <w:gridCol w:w="12633"/>
      </w:tblGrid>
      <w:tr w14:paraId="76C64536">
        <w:tblPrEx>
          <w:tblCellMar>
            <w:top w:w="0" w:type="dxa"/>
            <w:left w:w="108" w:type="dxa"/>
            <w:bottom w:w="0" w:type="dxa"/>
            <w:right w:w="108" w:type="dxa"/>
          </w:tblCellMar>
        </w:tblPrEx>
        <w:trPr>
          <w:tblHeader/>
        </w:trPr>
        <w:tc>
          <w:tcPr>
            <w:tcW w:w="283" w:type="pct"/>
            <w:tcBorders>
              <w:bottom w:val="single" w:color="auto" w:sz="0" w:space="0"/>
              <w:insideH w:val="single" w:sz="0" w:space="0"/>
            </w:tcBorders>
            <w:vAlign w:val="bottom"/>
          </w:tcPr>
          <w:p w14:paraId="5D0E5720">
            <w:pPr>
              <w:pStyle w:val="26"/>
            </w:pPr>
            <w:r>
              <w:t>Case</w:t>
            </w:r>
          </w:p>
        </w:tc>
        <w:tc>
          <w:tcPr>
            <w:tcW w:w="531" w:type="pct"/>
            <w:tcBorders>
              <w:bottom w:val="single" w:color="auto" w:sz="0" w:space="0"/>
              <w:insideH w:val="single" w:sz="0" w:space="0"/>
            </w:tcBorders>
            <w:vAlign w:val="bottom"/>
          </w:tcPr>
          <w:p w14:paraId="0A315D51">
            <w:pPr>
              <w:pStyle w:val="26"/>
            </w:pPr>
            <w:r>
              <w:rPr>
                <w:rFonts w:hint="eastAsia"/>
              </w:rPr>
              <w:t>Applicability decision</w:t>
            </w:r>
          </w:p>
        </w:tc>
        <w:tc>
          <w:tcPr>
            <w:tcW w:w="4184" w:type="pct"/>
            <w:tcBorders>
              <w:bottom w:val="single" w:color="auto" w:sz="0" w:space="0"/>
              <w:insideH w:val="single" w:sz="0" w:space="0"/>
            </w:tcBorders>
            <w:vAlign w:val="bottom"/>
          </w:tcPr>
          <w:p w14:paraId="22D5951D">
            <w:pPr>
              <w:pStyle w:val="26"/>
            </w:pPr>
            <w:r>
              <w:rPr>
                <w:rFonts w:hint="eastAsia"/>
              </w:rPr>
              <w:t>Rationale</w:t>
            </w:r>
          </w:p>
        </w:tc>
      </w:tr>
      <w:tr w14:paraId="0951693A">
        <w:tblPrEx>
          <w:tblCellMar>
            <w:top w:w="0" w:type="dxa"/>
            <w:left w:w="108" w:type="dxa"/>
            <w:bottom w:w="0" w:type="dxa"/>
            <w:right w:w="108" w:type="dxa"/>
          </w:tblCellMar>
        </w:tblPrEx>
        <w:tc>
          <w:tcPr>
            <w:tcW w:w="283" w:type="pct"/>
          </w:tcPr>
          <w:p w14:paraId="2F5A13FE">
            <w:pPr>
              <w:pStyle w:val="26"/>
            </w:pPr>
            <w:r>
              <w:t>AG1</w:t>
            </w:r>
          </w:p>
        </w:tc>
        <w:tc>
          <w:tcPr>
            <w:tcW w:w="531" w:type="pct"/>
          </w:tcPr>
          <w:p w14:paraId="2DBDB5FD">
            <w:pPr>
              <w:pStyle w:val="26"/>
            </w:pPr>
            <w:r>
              <w:t xml:space="preserve"> </w:t>
            </w:r>
            <w:r>
              <w:rPr>
                <w:rFonts w:hint="eastAsia"/>
              </w:rPr>
              <w:t>Applicable</w:t>
            </w:r>
          </w:p>
        </w:tc>
        <w:tc>
          <w:tcPr>
            <w:tcW w:w="4184" w:type="pct"/>
          </w:tcPr>
          <w:p w14:paraId="61FB8605">
            <w:pPr>
              <w:pStyle w:val="26"/>
            </w:pPr>
            <w:r>
              <w:rPr>
                <w:rFonts w:hint="eastAsia"/>
              </w:rPr>
              <w:t>The case documents the processing of heart rate, blood oxygen, sleep, body temperature, blood glucose, body fat, ECG, respiratory rate, and other health data. Relevant locations: Abstract; Sections 6 and 7.</w:t>
            </w:r>
          </w:p>
        </w:tc>
      </w:tr>
      <w:tr w14:paraId="11FD4C2B">
        <w:tblPrEx>
          <w:tblCellMar>
            <w:top w:w="0" w:type="dxa"/>
            <w:left w:w="108" w:type="dxa"/>
            <w:bottom w:w="0" w:type="dxa"/>
            <w:right w:w="108" w:type="dxa"/>
          </w:tblCellMar>
        </w:tblPrEx>
        <w:tc>
          <w:tcPr>
            <w:tcW w:w="283" w:type="pct"/>
          </w:tcPr>
          <w:p w14:paraId="133E8FC5">
            <w:pPr>
              <w:pStyle w:val="26"/>
            </w:pPr>
            <w:r>
              <w:t>AG2</w:t>
            </w:r>
          </w:p>
        </w:tc>
        <w:tc>
          <w:tcPr>
            <w:tcW w:w="531" w:type="pct"/>
          </w:tcPr>
          <w:p w14:paraId="621E26CC">
            <w:pPr>
              <w:pStyle w:val="26"/>
            </w:pPr>
            <w:r>
              <w:t xml:space="preserve"> </w:t>
            </w:r>
            <w:r>
              <w:rPr>
                <w:rFonts w:hint="eastAsia"/>
              </w:rPr>
              <w:t>Applicable</w:t>
            </w:r>
          </w:p>
        </w:tc>
        <w:tc>
          <w:tcPr>
            <w:tcW w:w="4184" w:type="pct"/>
          </w:tcPr>
          <w:p w14:paraId="39C33CB9">
            <w:pPr>
              <w:pStyle w:val="26"/>
            </w:pPr>
            <w:r>
              <w:rPr>
                <w:rFonts w:hint="eastAsia"/>
              </w:rPr>
              <w:t>The case documents the processing of heart rate, blood pressure, blood glucose, sleep, stress, and blood oxygen saturation. Relevant location: Section 2, “How We Share, Transfer, and Publicly Disclose Your Personal Information,” subsection 3, “Sharing Your Personal Information with Third-Party Service Providers,” and the “Mi Fitness App Third-Party Data-Sharing Statement,” item (5), “Sharing Exercise Data.” The policy states that users may choose to share exercise data with third-party platforms, such as WeChat and Alipay, for an enhanced exercise-data recording experience.</w:t>
            </w:r>
          </w:p>
        </w:tc>
      </w:tr>
      <w:tr w14:paraId="4298BA82">
        <w:tblPrEx>
          <w:tblCellMar>
            <w:top w:w="0" w:type="dxa"/>
            <w:left w:w="108" w:type="dxa"/>
            <w:bottom w:w="0" w:type="dxa"/>
            <w:right w:w="108" w:type="dxa"/>
          </w:tblCellMar>
        </w:tblPrEx>
        <w:tc>
          <w:tcPr>
            <w:tcW w:w="283" w:type="pct"/>
          </w:tcPr>
          <w:p w14:paraId="3D5FC19F">
            <w:pPr>
              <w:pStyle w:val="26"/>
            </w:pPr>
            <w:r>
              <w:t>AG3</w:t>
            </w:r>
          </w:p>
        </w:tc>
        <w:tc>
          <w:tcPr>
            <w:tcW w:w="531" w:type="pct"/>
          </w:tcPr>
          <w:p w14:paraId="1D93CCDA">
            <w:pPr>
              <w:pStyle w:val="26"/>
            </w:pPr>
            <w:r>
              <w:rPr>
                <w:rFonts w:hint="eastAsia"/>
              </w:rPr>
              <w:t>Applicable</w:t>
            </w:r>
          </w:p>
        </w:tc>
        <w:tc>
          <w:tcPr>
            <w:tcW w:w="4184" w:type="pct"/>
          </w:tcPr>
          <w:p w14:paraId="4A2683BD">
            <w:pPr>
              <w:pStyle w:val="26"/>
            </w:pPr>
            <w:r>
              <w:rPr>
                <w:rFonts w:hint="eastAsia"/>
              </w:rPr>
              <w:t>The correct Health App Personal Information Protection Policy incorporates an accessible Third-Party Information Sharing List. Under the exercise-and-health data-sharing entries, named recipients including Alipay, Keep, Codoon, Joyrun and YueDongQuan may receive fields such as heart rate, steps, blood oxygen, stress, sleep data and exercise records. The archived evidence therefore establishes third-party sharing of health data, so A4 is Applicable.</w:t>
            </w:r>
          </w:p>
        </w:tc>
      </w:tr>
      <w:tr w14:paraId="0A5255CB">
        <w:tblPrEx>
          <w:tblCellMar>
            <w:top w:w="0" w:type="dxa"/>
            <w:left w:w="108" w:type="dxa"/>
            <w:bottom w:w="0" w:type="dxa"/>
            <w:right w:w="108" w:type="dxa"/>
          </w:tblCellMar>
        </w:tblPrEx>
        <w:tc>
          <w:tcPr>
            <w:tcW w:w="283" w:type="pct"/>
          </w:tcPr>
          <w:p w14:paraId="7837E6B0">
            <w:pPr>
              <w:pStyle w:val="26"/>
            </w:pPr>
            <w:r>
              <w:t>AG4</w:t>
            </w:r>
          </w:p>
        </w:tc>
        <w:tc>
          <w:tcPr>
            <w:tcW w:w="531" w:type="pct"/>
          </w:tcPr>
          <w:p w14:paraId="1399E97F">
            <w:pPr>
              <w:pStyle w:val="26"/>
            </w:pPr>
            <w:r>
              <w:t xml:space="preserve"> </w:t>
            </w:r>
            <w:r>
              <w:rPr>
                <w:rFonts w:hint="eastAsia"/>
              </w:rPr>
              <w:t>Applicable</w:t>
            </w:r>
          </w:p>
        </w:tc>
        <w:tc>
          <w:tcPr>
            <w:tcW w:w="4184" w:type="pct"/>
          </w:tcPr>
          <w:p w14:paraId="129F74D9">
            <w:pPr>
              <w:pStyle w:val="26"/>
            </w:pPr>
            <w:r>
              <w:rPr>
                <w:rFonts w:hint="eastAsia"/>
              </w:rPr>
              <w:t>The case documents body data such as height, weight, and sex, as well as heart rate, blood oxygen, and sleep data. A4 assesses whether the case identifies recipients, sharing scenarios, or SDKs. Relevant locations: “Information That vivo May Share with Third Parties,” the third-party SDK section, and sharing with affiliated companies. The disclosed third-party-sharing scenarios include health data.</w:t>
            </w:r>
          </w:p>
        </w:tc>
      </w:tr>
      <w:tr w14:paraId="096C4318">
        <w:tblPrEx>
          <w:tblCellMar>
            <w:top w:w="0" w:type="dxa"/>
            <w:left w:w="108" w:type="dxa"/>
            <w:bottom w:w="0" w:type="dxa"/>
            <w:right w:w="108" w:type="dxa"/>
          </w:tblCellMar>
        </w:tblPrEx>
        <w:trPr>
          <w:trHeight w:val="910" w:hRule="atLeast"/>
        </w:trPr>
        <w:tc>
          <w:tcPr>
            <w:tcW w:w="283" w:type="pct"/>
          </w:tcPr>
          <w:p w14:paraId="13B1FFA0">
            <w:pPr>
              <w:pStyle w:val="26"/>
            </w:pPr>
            <w:r>
              <w:t>AG5</w:t>
            </w:r>
          </w:p>
        </w:tc>
        <w:tc>
          <w:tcPr>
            <w:tcW w:w="531" w:type="pct"/>
          </w:tcPr>
          <w:p w14:paraId="2EA85D6A">
            <w:pPr>
              <w:pStyle w:val="26"/>
            </w:pPr>
            <w:r>
              <w:t xml:space="preserve"> </w:t>
            </w:r>
            <w:r>
              <w:rPr>
                <w:rFonts w:hint="eastAsia"/>
              </w:rPr>
              <w:t>Applicable</w:t>
            </w:r>
          </w:p>
        </w:tc>
        <w:tc>
          <w:tcPr>
            <w:tcW w:w="4184" w:type="pct"/>
          </w:tcPr>
          <w:p w14:paraId="0C147F82">
            <w:pPr>
              <w:pStyle w:val="26"/>
            </w:pPr>
            <w:r>
              <w:rPr>
                <w:rFonts w:hint="eastAsia"/>
              </w:rPr>
              <w:t>The case documents the processing of heart rate, blood oxygen, sleep, and exercise data. A4 assesses whether recipients, sharing scenarios, or SDKs are identified. Relevant locations: Sections 1.2.4, “Exercise Data Management,” and 1.2.26, “HONOR Health Membership”; “How We Provide Your Personal Information to Third Parties”; and the integrated third-party SDK disclosures.</w:t>
            </w:r>
          </w:p>
        </w:tc>
      </w:tr>
      <w:tr w14:paraId="4A9E61B2">
        <w:tblPrEx>
          <w:tblCellMar>
            <w:top w:w="0" w:type="dxa"/>
            <w:left w:w="108" w:type="dxa"/>
            <w:bottom w:w="0" w:type="dxa"/>
            <w:right w:w="108" w:type="dxa"/>
          </w:tblCellMar>
        </w:tblPrEx>
        <w:tc>
          <w:tcPr>
            <w:tcW w:w="283" w:type="pct"/>
          </w:tcPr>
          <w:p w14:paraId="1956B149">
            <w:pPr>
              <w:pStyle w:val="26"/>
            </w:pPr>
            <w:r>
              <w:t>AG6</w:t>
            </w:r>
          </w:p>
        </w:tc>
        <w:tc>
          <w:tcPr>
            <w:tcW w:w="531" w:type="pct"/>
          </w:tcPr>
          <w:p w14:paraId="2DDBEE86">
            <w:pPr>
              <w:pStyle w:val="26"/>
            </w:pPr>
            <w:r>
              <w:rPr>
                <w:rFonts w:hint="eastAsia"/>
              </w:rPr>
              <w:t>Insufficient</w:t>
            </w:r>
          </w:p>
        </w:tc>
        <w:tc>
          <w:tcPr>
            <w:tcW w:w="4184" w:type="pct"/>
          </w:tcPr>
          <w:p w14:paraId="695A5C93">
            <w:pPr>
              <w:pStyle w:val="26"/>
            </w:pPr>
            <w:r>
              <w:rPr>
                <w:rFonts w:hint="eastAsia"/>
              </w:rPr>
              <w:t>The case documents activity information, sleep, heart rate, and weight. A4 assesses whether recipients, sharing scenarios, or SDKs are identified. The sections “Third-Party Websites, Social Media Platforms and SDKs” and “How We Share Your Information” describe third-party sharing, but do not specify sharing of health data; therefore, applicability is insufficient to determine.</w:t>
            </w:r>
          </w:p>
        </w:tc>
      </w:tr>
      <w:tr w14:paraId="64EAFC0D">
        <w:tblPrEx>
          <w:tblCellMar>
            <w:top w:w="0" w:type="dxa"/>
            <w:left w:w="108" w:type="dxa"/>
            <w:bottom w:w="0" w:type="dxa"/>
            <w:right w:w="108" w:type="dxa"/>
          </w:tblCellMar>
        </w:tblPrEx>
        <w:tc>
          <w:tcPr>
            <w:tcW w:w="283" w:type="pct"/>
          </w:tcPr>
          <w:p w14:paraId="3916D1E4">
            <w:pPr>
              <w:pStyle w:val="26"/>
            </w:pPr>
            <w:r>
              <w:t>AG7</w:t>
            </w:r>
          </w:p>
        </w:tc>
        <w:tc>
          <w:tcPr>
            <w:tcW w:w="531" w:type="pct"/>
          </w:tcPr>
          <w:p w14:paraId="3B7EE4B5">
            <w:pPr>
              <w:pStyle w:val="26"/>
            </w:pPr>
            <w:r>
              <w:t xml:space="preserve"> </w:t>
            </w:r>
            <w:r>
              <w:rPr>
                <w:rFonts w:hint="eastAsia"/>
              </w:rPr>
              <w:t>Applicable</w:t>
            </w:r>
          </w:p>
        </w:tc>
        <w:tc>
          <w:tcPr>
            <w:tcW w:w="4184" w:type="pct"/>
          </w:tcPr>
          <w:p w14:paraId="0E18B52B">
            <w:pPr>
              <w:pStyle w:val="26"/>
            </w:pPr>
            <w:r>
              <w:rPr>
                <w:rFonts w:hint="eastAsia"/>
              </w:rPr>
              <w:t>The case documents heart rate, body-fat percentage, and weight. A4 assesses whether recipients, sharing scenarios, or SDKs are identified. Relevant location: Section 2, “How We Entrust, Share, Transfer, and Publicly Disclose Your Personal Information,” subsection (2), “Sharing,” and the “Keep Third-Party Information-Sharing List.”</w:t>
            </w:r>
          </w:p>
        </w:tc>
      </w:tr>
      <w:tr w14:paraId="4464B739">
        <w:tblPrEx>
          <w:tblCellMar>
            <w:top w:w="0" w:type="dxa"/>
            <w:left w:w="108" w:type="dxa"/>
            <w:bottom w:w="0" w:type="dxa"/>
            <w:right w:w="108" w:type="dxa"/>
          </w:tblCellMar>
        </w:tblPrEx>
        <w:tc>
          <w:tcPr>
            <w:tcW w:w="283" w:type="pct"/>
          </w:tcPr>
          <w:p w14:paraId="25D458DD">
            <w:pPr>
              <w:pStyle w:val="26"/>
            </w:pPr>
            <w:r>
              <w:t>AG8</w:t>
            </w:r>
          </w:p>
        </w:tc>
        <w:tc>
          <w:tcPr>
            <w:tcW w:w="531" w:type="pct"/>
          </w:tcPr>
          <w:p w14:paraId="5E61DD77">
            <w:pPr>
              <w:pStyle w:val="26"/>
            </w:pPr>
            <w:r>
              <w:t xml:space="preserve"> </w:t>
            </w:r>
            <w:r>
              <w:rPr>
                <w:rFonts w:hint="eastAsia"/>
              </w:rPr>
              <w:t>Applicable</w:t>
            </w:r>
          </w:p>
        </w:tc>
        <w:tc>
          <w:tcPr>
            <w:tcW w:w="4184" w:type="pct"/>
          </w:tcPr>
          <w:p w14:paraId="6B7A0D7F">
            <w:r>
              <w:rPr>
                <w:rFonts w:hint="eastAsia"/>
              </w:rPr>
              <w:t>The case documents heart rate, sleep, blood oxygen, and body temperature. Relevant location: Section 7.2, “With Your Consent or at Your Direction,” subsection (1), “Sharing with Third-Party Applications.” The policy states that when users authorise third-party applications, such as Apple Health or Google Fit, to access their data, relevant health data may be shared with those applications in accordance with the users’ instructions.</w:t>
            </w:r>
          </w:p>
        </w:tc>
      </w:tr>
      <w:tr w14:paraId="7FEE94E8">
        <w:tblPrEx>
          <w:tblCellMar>
            <w:top w:w="0" w:type="dxa"/>
            <w:left w:w="108" w:type="dxa"/>
            <w:bottom w:w="0" w:type="dxa"/>
            <w:right w:w="108" w:type="dxa"/>
          </w:tblCellMar>
        </w:tblPrEx>
        <w:tc>
          <w:tcPr>
            <w:tcW w:w="283" w:type="pct"/>
          </w:tcPr>
          <w:p w14:paraId="66D5E9BC">
            <w:pPr>
              <w:pStyle w:val="26"/>
            </w:pPr>
            <w:r>
              <w:t>AG9</w:t>
            </w:r>
          </w:p>
        </w:tc>
        <w:tc>
          <w:tcPr>
            <w:tcW w:w="531" w:type="pct"/>
          </w:tcPr>
          <w:p w14:paraId="3774BDF2">
            <w:pPr>
              <w:pStyle w:val="26"/>
            </w:pPr>
            <w:r>
              <w:rPr>
                <w:rFonts w:hint="eastAsia"/>
              </w:rPr>
              <w:t>Insufficient</w:t>
            </w:r>
          </w:p>
        </w:tc>
        <w:tc>
          <w:tcPr>
            <w:tcW w:w="4184" w:type="pct"/>
          </w:tcPr>
          <w:p w14:paraId="14A7AEEE">
            <w:pPr>
              <w:pStyle w:val="26"/>
            </w:pPr>
            <w:r>
              <w:rPr>
                <w:rFonts w:hint="eastAsia"/>
              </w:rPr>
              <w:t>Product materials indicate ECG, heart rate, blood oxygen, and activity data. Section 3, “How We Share, Transfer, and Publicly Disclose Your Personal Information,” subsection (1), “Sharing,” identifies third-party sharing of personal information. Neither this section nor the “Third-Party Information-Sharing List” specifies that the activity involves health data; therefore, applicability is insufficient to determine.</w:t>
            </w:r>
          </w:p>
        </w:tc>
      </w:tr>
      <w:tr w14:paraId="4A14DF31">
        <w:tblPrEx>
          <w:tblCellMar>
            <w:top w:w="0" w:type="dxa"/>
            <w:left w:w="108" w:type="dxa"/>
            <w:bottom w:w="0" w:type="dxa"/>
            <w:right w:w="108" w:type="dxa"/>
          </w:tblCellMar>
        </w:tblPrEx>
        <w:tc>
          <w:tcPr>
            <w:tcW w:w="283" w:type="pct"/>
          </w:tcPr>
          <w:p w14:paraId="7ED38E2D">
            <w:pPr>
              <w:pStyle w:val="26"/>
            </w:pPr>
            <w:r>
              <w:t>AG10</w:t>
            </w:r>
          </w:p>
        </w:tc>
        <w:tc>
          <w:tcPr>
            <w:tcW w:w="531" w:type="pct"/>
          </w:tcPr>
          <w:p w14:paraId="150244F8">
            <w:pPr>
              <w:pStyle w:val="26"/>
            </w:pPr>
            <w:r>
              <w:t xml:space="preserve"> </w:t>
            </w:r>
            <w:r>
              <w:rPr>
                <w:rFonts w:hint="eastAsia"/>
              </w:rPr>
              <w:t>Applicable</w:t>
            </w:r>
          </w:p>
        </w:tc>
        <w:tc>
          <w:tcPr>
            <w:tcW w:w="4184" w:type="pct"/>
          </w:tcPr>
          <w:p w14:paraId="131C91DF">
            <w:pPr>
              <w:pStyle w:val="26"/>
            </w:pPr>
            <w:r>
              <w:rPr>
                <w:rFonts w:hint="eastAsia"/>
              </w:rPr>
              <w:t>Product materials indicate blood oxygen, blood glucose, and heart rate data. A4 assesses whether recipients, sharing scenarios, or SDKs are identified. Relevant locations: Section 2, “How We Entrust, Share, Transfer, and Publicly Disclose Your Personal Information,” and the “Third-Party Information-Sharing List.”</w:t>
            </w:r>
          </w:p>
        </w:tc>
      </w:tr>
      <w:tr w14:paraId="2E8AFCCC">
        <w:tblPrEx>
          <w:tblCellMar>
            <w:top w:w="0" w:type="dxa"/>
            <w:left w:w="108" w:type="dxa"/>
            <w:bottom w:w="0" w:type="dxa"/>
            <w:right w:w="108" w:type="dxa"/>
          </w:tblCellMar>
        </w:tblPrEx>
        <w:trPr>
          <w:trHeight w:val="1071" w:hRule="atLeast"/>
        </w:trPr>
        <w:tc>
          <w:tcPr>
            <w:tcW w:w="283" w:type="pct"/>
          </w:tcPr>
          <w:p w14:paraId="1DC34A12">
            <w:pPr>
              <w:pStyle w:val="26"/>
            </w:pPr>
            <w:r>
              <w:t>AG11</w:t>
            </w:r>
          </w:p>
        </w:tc>
        <w:tc>
          <w:tcPr>
            <w:tcW w:w="531" w:type="pct"/>
          </w:tcPr>
          <w:p w14:paraId="67FD6443">
            <w:pPr>
              <w:pStyle w:val="26"/>
            </w:pPr>
            <w:r>
              <w:rPr>
                <w:rFonts w:hint="eastAsia"/>
              </w:rPr>
              <w:t>Applicable</w:t>
            </w:r>
          </w:p>
        </w:tc>
        <w:tc>
          <w:tcPr>
            <w:tcW w:w="4184" w:type="pct"/>
          </w:tcPr>
          <w:p w14:paraId="7EFC425E">
            <w:r>
              <w:rPr>
                <w:rFonts w:hint="eastAsia"/>
              </w:rPr>
              <w:t>The A4 check verifies whether this case discloses shared objects, shared scenarios, or SDKs; the scope of this check is Section 3.1 "Data Synchronization with Third Parties": upon obtaining your explicit consent, we will share your personal data with third parties. If you wish to share your personal information with third-party devices or platforms, we will, in accordance with your request, share your information (e.g., step count, distance, height, weight, heart rate, sleep data, calories burned, and other fitness and health metrics) with such third parties; therefore, this is classified as "Applicable".</w:t>
            </w:r>
          </w:p>
        </w:tc>
      </w:tr>
      <w:tr w14:paraId="79B54ADD">
        <w:tblPrEx>
          <w:tblCellMar>
            <w:top w:w="0" w:type="dxa"/>
            <w:left w:w="108" w:type="dxa"/>
            <w:bottom w:w="0" w:type="dxa"/>
            <w:right w:w="108" w:type="dxa"/>
          </w:tblCellMar>
        </w:tblPrEx>
        <w:tc>
          <w:tcPr>
            <w:tcW w:w="283" w:type="pct"/>
          </w:tcPr>
          <w:p w14:paraId="2510E020">
            <w:pPr>
              <w:pStyle w:val="26"/>
            </w:pPr>
            <w:r>
              <w:t>AG12</w:t>
            </w:r>
          </w:p>
        </w:tc>
        <w:tc>
          <w:tcPr>
            <w:tcW w:w="531" w:type="pct"/>
          </w:tcPr>
          <w:p w14:paraId="1372E014">
            <w:pPr>
              <w:pStyle w:val="26"/>
            </w:pPr>
            <w:r>
              <w:t>Applicable</w:t>
            </w:r>
            <w:r>
              <w:rPr>
                <w:rFonts w:hint="eastAsia"/>
              </w:rPr>
            </w:r>
          </w:p>
        </w:tc>
        <w:tc>
          <w:tcPr>
            <w:tcW w:w="4184" w:type="pct"/>
          </w:tcPr>
          <w:p w14:paraId="390B1870">
            <w:pPr>
              <w:pStyle w:val="26"/>
            </w:pPr>
            <w:r>
              <w:rPr>
                <w:rFonts w:hint="eastAsia"/>
              </w:rPr>
              <w:t>The product-specific policy expressly describes entrusted processing, sharing with affiliates and authorised partners, and access by named third-party SDKs used to provide product functions; A4 is therefore assessed and fully met.</w:t>
            </w:r>
          </w:p>
        </w:tc>
      </w:tr>
      <w:tr w14:paraId="36261DAF">
        <w:tblPrEx>
          <w:tblCellMar>
            <w:top w:w="0" w:type="dxa"/>
            <w:left w:w="108" w:type="dxa"/>
            <w:bottom w:w="0" w:type="dxa"/>
            <w:right w:w="108" w:type="dxa"/>
          </w:tblCellMar>
        </w:tblPrEx>
        <w:tc>
          <w:tcPr>
            <w:tcW w:w="283" w:type="pct"/>
          </w:tcPr>
          <w:p w14:paraId="3B05F9BF">
            <w:pPr>
              <w:pStyle w:val="26"/>
            </w:pPr>
            <w:r>
              <w:t>AG13</w:t>
            </w:r>
          </w:p>
        </w:tc>
        <w:tc>
          <w:tcPr>
            <w:tcW w:w="531" w:type="pct"/>
          </w:tcPr>
          <w:p w14:paraId="6F4AD8CB">
            <w:pPr>
              <w:pStyle w:val="26"/>
            </w:pPr>
            <w:r>
              <w:rPr>
                <w:rFonts w:hint="eastAsia"/>
              </w:rPr>
              <w:t>Insufficient</w:t>
            </w:r>
          </w:p>
        </w:tc>
        <w:tc>
          <w:tcPr>
            <w:tcW w:w="4184" w:type="pct"/>
          </w:tcPr>
          <w:p w14:paraId="256BDDBB">
            <w:pPr>
              <w:pStyle w:val="26"/>
            </w:pPr>
            <w:r>
              <w:rPr>
                <w:rFonts w:hint="eastAsia"/>
              </w:rPr>
              <w:t>The case documents heart rate, blood oxygen, and sleep monitoring. It states that DuerOS connects to third-party services and mini-programs and may provide personal information to third parties on the basis of valid authorisation or contract performance. Marketing activities may involve sharing account nicknames, avatars, names, and contact details. The same-account system and Du Xiaoman financial-services scenario may involve usernames, nicknames, avatars, linked real-name information, account-risk information, and IP addresses. These disclosed third-party-sharing scenarios involve personal information but not health data; therefore, applicability is insufficient to determine.</w:t>
            </w:r>
          </w:p>
        </w:tc>
      </w:tr>
      <w:tr w14:paraId="66A99F9B">
        <w:tblPrEx>
          <w:tblCellMar>
            <w:top w:w="0" w:type="dxa"/>
            <w:left w:w="108" w:type="dxa"/>
            <w:bottom w:w="0" w:type="dxa"/>
            <w:right w:w="108" w:type="dxa"/>
          </w:tblCellMar>
        </w:tblPrEx>
        <w:tc>
          <w:tcPr>
            <w:tcW w:w="283" w:type="pct"/>
          </w:tcPr>
          <w:p w14:paraId="6F4D98BD">
            <w:pPr>
              <w:pStyle w:val="26"/>
            </w:pPr>
            <w:r>
              <w:t>AG14</w:t>
            </w:r>
          </w:p>
        </w:tc>
        <w:tc>
          <w:tcPr>
            <w:tcW w:w="531" w:type="pct"/>
          </w:tcPr>
          <w:p w14:paraId="0EE98685">
            <w:pPr>
              <w:pStyle w:val="26"/>
            </w:pPr>
            <w:r>
              <w:rPr>
                <w:rFonts w:hint="eastAsia"/>
              </w:rPr>
              <w:t>N/A</w:t>
            </w:r>
          </w:p>
        </w:tc>
        <w:tc>
          <w:tcPr>
            <w:tcW w:w="4184" w:type="pct"/>
          </w:tcPr>
          <w:p w14:paraId="2FDA5989">
            <w:pPr>
              <w:pStyle w:val="26"/>
            </w:pPr>
            <w:r>
              <w:rPr>
                <w:rFonts w:hint="eastAsia"/>
              </w:rPr>
              <w:t>Applicable Huawei earbud models are evidenced as involving heart-rate sensing and body-temperature monitoring. The policy states that relevant information is encrypted and uploaded to Huawei Cloud, with servers located in China, but does not identify specific scenarios, data types, or lists for sharing personal information with external third parties, third-party SDKs, advertising or analytics partners, or third-party health platforms.</w:t>
            </w:r>
          </w:p>
        </w:tc>
      </w:tr>
      <w:tr w14:paraId="07F8E1C7">
        <w:tblPrEx>
          <w:tblCellMar>
            <w:top w:w="0" w:type="dxa"/>
            <w:left w:w="108" w:type="dxa"/>
            <w:bottom w:w="0" w:type="dxa"/>
            <w:right w:w="108" w:type="dxa"/>
          </w:tblCellMar>
        </w:tblPrEx>
        <w:tc>
          <w:tcPr>
            <w:tcW w:w="283" w:type="pct"/>
          </w:tcPr>
          <w:p w14:paraId="145CD80D">
            <w:pPr>
              <w:pStyle w:val="26"/>
            </w:pPr>
            <w:r>
              <w:t>AG15</w:t>
            </w:r>
          </w:p>
        </w:tc>
        <w:tc>
          <w:tcPr>
            <w:tcW w:w="531" w:type="pct"/>
          </w:tcPr>
          <w:p w14:paraId="48D91CED">
            <w:pPr>
              <w:pStyle w:val="26"/>
            </w:pPr>
            <w:r>
              <w:rPr>
                <w:rFonts w:hint="eastAsia"/>
              </w:rPr>
              <w:t>Insufficient</w:t>
            </w:r>
          </w:p>
        </w:tc>
        <w:tc>
          <w:tcPr>
            <w:tcW w:w="4184" w:type="pct"/>
          </w:tcPr>
          <w:p w14:paraId="4C377E66">
            <w:pPr>
              <w:pStyle w:val="26"/>
            </w:pPr>
            <w:r>
              <w:rPr>
                <w:rFonts w:hint="eastAsia"/>
              </w:rPr>
              <w:t>The case documents heart rate and blood oxygen data. It states that the Android version integrates WeChat Open SDK and the QQ Connect mobile SDK, while the iOS version integrates Umeng+ U-Share SDK. These SDKs collect device identifiers and publicly available social-account information for third-party login and one-tap sharing; links to Tencent and Umeng privacy policies are also provided. Third-party sharing of personal information is disclosed, but the policy does not specify health data; therefore, applicability is insufficient to determine.</w:t>
            </w:r>
          </w:p>
        </w:tc>
      </w:tr>
      <w:tr w14:paraId="59AEA899">
        <w:tblPrEx>
          <w:tblCellMar>
            <w:top w:w="0" w:type="dxa"/>
            <w:left w:w="108" w:type="dxa"/>
            <w:bottom w:w="0" w:type="dxa"/>
            <w:right w:w="108" w:type="dxa"/>
          </w:tblCellMar>
        </w:tblPrEx>
        <w:tc>
          <w:tcPr>
            <w:tcW w:w="283" w:type="pct"/>
          </w:tcPr>
          <w:p w14:paraId="71FA5725">
            <w:pPr>
              <w:pStyle w:val="26"/>
            </w:pPr>
            <w:r>
              <w:t>AG16</w:t>
            </w:r>
          </w:p>
        </w:tc>
        <w:tc>
          <w:tcPr>
            <w:tcW w:w="531" w:type="pct"/>
          </w:tcPr>
          <w:p w14:paraId="2BEE2E10">
            <w:pPr>
              <w:pStyle w:val="26"/>
            </w:pPr>
            <w:r>
              <w:rPr>
                <w:rFonts w:hint="eastAsia"/>
              </w:rPr>
              <w:t>Insufficient</w:t>
            </w:r>
          </w:p>
        </w:tc>
        <w:tc>
          <w:tcPr>
            <w:tcW w:w="4184" w:type="pct"/>
          </w:tcPr>
          <w:p w14:paraId="6B69ECCF">
            <w:pPr>
              <w:pStyle w:val="26"/>
            </w:pPr>
            <w:r>
              <w:rPr>
                <w:rFonts w:hint="eastAsia"/>
              </w:rPr>
              <w:t>The case documents health data, including heart rate. Section 3, “Sharing” and “Sharing with Authorised Partners,” describes sharing personal information with explicit consent, at the user’s choice, with affiliates, and with authorised partners, and refers to the “List of Personal Information Shared with Third Parties.” It does not specify that this activity involves health information; therefore, applicability is insufficient to determine.</w:t>
            </w:r>
          </w:p>
        </w:tc>
      </w:tr>
      <w:tr w14:paraId="1E3A2DBA">
        <w:tblPrEx>
          <w:tblCellMar>
            <w:top w:w="0" w:type="dxa"/>
            <w:left w:w="108" w:type="dxa"/>
            <w:bottom w:w="0" w:type="dxa"/>
            <w:right w:w="108" w:type="dxa"/>
          </w:tblCellMar>
        </w:tblPrEx>
        <w:tc>
          <w:tcPr>
            <w:tcW w:w="283" w:type="pct"/>
          </w:tcPr>
          <w:p w14:paraId="1C86E8E6">
            <w:pPr>
              <w:pStyle w:val="26"/>
            </w:pPr>
            <w:r>
              <w:t>AG17</w:t>
            </w:r>
          </w:p>
        </w:tc>
        <w:tc>
          <w:tcPr>
            <w:tcW w:w="531" w:type="pct"/>
          </w:tcPr>
          <w:p w14:paraId="7EA187EF">
            <w:pPr>
              <w:pStyle w:val="26"/>
            </w:pPr>
            <w:r>
              <w:rPr>
                <w:rFonts w:hint="eastAsia"/>
              </w:rPr>
              <w:t>Insufficient</w:t>
            </w:r>
          </w:p>
        </w:tc>
        <w:tc>
          <w:tcPr>
            <w:tcW w:w="4184" w:type="pct"/>
          </w:tcPr>
          <w:p w14:paraId="15E8C780">
            <w:pPr>
              <w:pStyle w:val="26"/>
            </w:pPr>
            <w:r>
              <w:rPr>
                <w:rFonts w:hint="eastAsia"/>
              </w:rPr>
              <w:t>The case documents heart rate, blood oxygen, and stress data. The policy states that personal information may be shared in the following circumstance: “(3) To ensure that APP-related functions are implemented and that the application operates safely and stably, we may integrate software development kits (SDKs) provided by third parties for this purpose.” Third-party sharing of personal information is disclosed, but the policy does not specify health data; therefore, applicability is insufficient to determine.</w:t>
            </w:r>
          </w:p>
        </w:tc>
      </w:tr>
      <w:tr w14:paraId="0474067E">
        <w:tblPrEx>
          <w:tblCellMar>
            <w:top w:w="0" w:type="dxa"/>
            <w:left w:w="108" w:type="dxa"/>
            <w:bottom w:w="0" w:type="dxa"/>
            <w:right w:w="108" w:type="dxa"/>
          </w:tblCellMar>
        </w:tblPrEx>
        <w:tc>
          <w:tcPr>
            <w:tcW w:w="283" w:type="pct"/>
          </w:tcPr>
          <w:p w14:paraId="38F90333">
            <w:pPr>
              <w:pStyle w:val="26"/>
            </w:pPr>
            <w:r>
              <w:t>AG18</w:t>
            </w:r>
          </w:p>
        </w:tc>
        <w:tc>
          <w:tcPr>
            <w:tcW w:w="531" w:type="pct"/>
          </w:tcPr>
          <w:p w14:paraId="43FC9212">
            <w:pPr>
              <w:pStyle w:val="26"/>
            </w:pPr>
            <w:r>
              <w:rPr>
                <w:rFonts w:hint="eastAsia"/>
              </w:rPr>
              <w:t>Insufficient</w:t>
            </w:r>
          </w:p>
        </w:tc>
        <w:tc>
          <w:tcPr>
            <w:tcW w:w="4184" w:type="pct"/>
          </w:tcPr>
          <w:p w14:paraId="4B7C8E83">
            <w:pPr>
              <w:pStyle w:val="26"/>
            </w:pPr>
            <w:r>
              <w:rPr>
                <w:rFonts w:hint="eastAsia"/>
              </w:rPr>
              <w:t>The case documents heart rate, blood oxygen monitoring, and related health data. It discloses third-party sharing of personal information and a third-party SDK list, but does not specify that health data are involved; therefore, applicability is insufficient to determine.</w:t>
            </w:r>
          </w:p>
        </w:tc>
      </w:tr>
    </w:tbl>
    <w:p w14:paraId="7229CD83">
      <w:pPr>
        <w:pStyle w:val="5"/>
        <w:spacing w:line="400" w:lineRule="exact"/>
        <w:jc w:val="both"/>
        <w:rPr>
          <w:rFonts w:ascii="Times New Roman" w:hAnsi="Times New Roman" w:cs="Times New Roman"/>
        </w:rPr>
      </w:pPr>
      <w:r>
        <w:rPr>
          <w:rFonts w:hint="eastAsia"/>
        </w:rPr>
        <w:t>D-</w:t>
      </w:r>
      <w:r>
        <w:t>Transparency of secondary use</w:t>
      </w:r>
    </w:p>
    <w:tbl>
      <w:tblPr>
        <w:tblStyle w:val="43"/>
        <w:tblW w:w="0" w:type="auto"/>
        <w:tblInd w:w="0" w:type="dxa"/>
        <w:tblLayout w:type="fixed"/>
        <w:tblCellMar>
          <w:top w:w="0" w:type="dxa"/>
          <w:left w:w="108" w:type="dxa"/>
          <w:bottom w:w="0" w:type="dxa"/>
          <w:right w:w="108" w:type="dxa"/>
        </w:tblCellMar>
      </w:tblPr>
      <w:tblGrid>
        <w:gridCol w:w="795"/>
        <w:gridCol w:w="885"/>
        <w:gridCol w:w="2904"/>
        <w:gridCol w:w="996"/>
        <w:gridCol w:w="4517"/>
        <w:gridCol w:w="988"/>
        <w:gridCol w:w="4398"/>
      </w:tblGrid>
      <w:tr w14:paraId="1D1B2A01">
        <w:tblPrEx>
          <w:tblCellMar>
            <w:top w:w="0" w:type="dxa"/>
            <w:left w:w="108" w:type="dxa"/>
            <w:bottom w:w="0" w:type="dxa"/>
            <w:right w:w="108" w:type="dxa"/>
          </w:tblCellMar>
        </w:tblPrEx>
        <w:trPr>
          <w:tblHeader/>
        </w:trPr>
        <w:tc>
          <w:tcPr>
            <w:tcW w:w="795" w:type="dxa"/>
            <w:tcBorders>
              <w:bottom w:val="single" w:color="auto" w:sz="0" w:space="0"/>
              <w:insideH w:val="single" w:sz="0" w:space="0"/>
            </w:tcBorders>
            <w:vAlign w:val="bottom"/>
          </w:tcPr>
          <w:p w14:paraId="48BE0E34">
            <w:pPr>
              <w:pStyle w:val="26"/>
            </w:pPr>
            <w:r>
              <w:t>Case</w:t>
            </w:r>
          </w:p>
        </w:tc>
        <w:tc>
          <w:tcPr>
            <w:tcW w:w="885" w:type="dxa"/>
            <w:tcBorders>
              <w:bottom w:val="single" w:color="auto" w:sz="0" w:space="0"/>
              <w:insideH w:val="single" w:sz="0" w:space="0"/>
            </w:tcBorders>
            <w:vAlign w:val="bottom"/>
          </w:tcPr>
          <w:p w14:paraId="3E33C538">
            <w:pPr>
              <w:pStyle w:val="26"/>
            </w:pPr>
            <w:r>
              <w:rPr>
                <w:rFonts w:hint="eastAsia"/>
              </w:rPr>
              <w:t>D1</w:t>
            </w:r>
          </w:p>
        </w:tc>
        <w:tc>
          <w:tcPr>
            <w:tcW w:w="2904" w:type="dxa"/>
            <w:tcBorders>
              <w:bottom w:val="single" w:color="auto" w:sz="0" w:space="0"/>
              <w:insideH w:val="single" w:sz="0" w:space="0"/>
            </w:tcBorders>
            <w:vAlign w:val="bottom"/>
          </w:tcPr>
          <w:p w14:paraId="6321D77F">
            <w:pPr>
              <w:pStyle w:val="26"/>
            </w:pPr>
            <w:r>
              <w:rPr>
                <w:rFonts w:hint="eastAsia"/>
              </w:rPr>
              <w:t xml:space="preserve">Rationale </w:t>
            </w:r>
          </w:p>
        </w:tc>
        <w:tc>
          <w:tcPr>
            <w:tcW w:w="996" w:type="dxa"/>
            <w:tcBorders>
              <w:bottom w:val="single" w:color="auto" w:sz="0" w:space="0"/>
              <w:insideH w:val="single" w:sz="0" w:space="0"/>
            </w:tcBorders>
            <w:vAlign w:val="bottom"/>
          </w:tcPr>
          <w:p w14:paraId="24552165">
            <w:pPr>
              <w:pStyle w:val="26"/>
            </w:pPr>
            <w:r>
              <w:rPr>
                <w:rFonts w:hint="eastAsia"/>
              </w:rPr>
              <w:t>D2</w:t>
            </w:r>
          </w:p>
        </w:tc>
        <w:tc>
          <w:tcPr>
            <w:tcW w:w="4517" w:type="dxa"/>
            <w:tcBorders>
              <w:bottom w:val="single" w:color="auto" w:sz="0" w:space="0"/>
              <w:insideH w:val="single" w:sz="0" w:space="0"/>
            </w:tcBorders>
            <w:vAlign w:val="bottom"/>
          </w:tcPr>
          <w:p w14:paraId="70EED5A3">
            <w:pPr>
              <w:pStyle w:val="26"/>
            </w:pPr>
            <w:r>
              <w:rPr>
                <w:rFonts w:hint="eastAsia"/>
              </w:rPr>
              <w:t xml:space="preserve">Rationale </w:t>
            </w:r>
          </w:p>
        </w:tc>
        <w:tc>
          <w:tcPr>
            <w:tcW w:w="988" w:type="dxa"/>
            <w:tcBorders>
              <w:bottom w:val="single" w:color="auto" w:sz="0" w:space="0"/>
              <w:insideH w:val="single" w:sz="0" w:space="0"/>
            </w:tcBorders>
            <w:vAlign w:val="bottom"/>
          </w:tcPr>
          <w:p w14:paraId="1586C607">
            <w:pPr>
              <w:pStyle w:val="26"/>
            </w:pPr>
            <w:r>
              <w:rPr>
                <w:rFonts w:hint="eastAsia"/>
              </w:rPr>
              <w:t>D3</w:t>
            </w:r>
          </w:p>
        </w:tc>
        <w:tc>
          <w:tcPr>
            <w:tcW w:w="4398" w:type="dxa"/>
            <w:tcBorders>
              <w:bottom w:val="single" w:color="auto" w:sz="0" w:space="0"/>
              <w:insideH w:val="single" w:sz="0" w:space="0"/>
            </w:tcBorders>
            <w:vAlign w:val="bottom"/>
          </w:tcPr>
          <w:p w14:paraId="6E67BF1A">
            <w:pPr>
              <w:pStyle w:val="26"/>
            </w:pPr>
            <w:r>
              <w:rPr>
                <w:rFonts w:hint="eastAsia"/>
              </w:rPr>
              <w:t xml:space="preserve">Rationale </w:t>
            </w:r>
          </w:p>
        </w:tc>
      </w:tr>
      <w:tr w14:paraId="30CA6183">
        <w:tblPrEx>
          <w:tblCellMar>
            <w:top w:w="0" w:type="dxa"/>
            <w:left w:w="108" w:type="dxa"/>
            <w:bottom w:w="0" w:type="dxa"/>
            <w:right w:w="108" w:type="dxa"/>
          </w:tblCellMar>
        </w:tblPrEx>
        <w:trPr>
          <w:cantSplit/>
          <w:trHeight w:val="90" w:hRule="atLeast"/>
        </w:trPr>
        <w:tc>
          <w:tcPr>
            <w:tcW w:w="795" w:type="dxa"/>
          </w:tcPr>
          <w:p w14:paraId="36272EDF">
            <w:pPr>
              <w:pStyle w:val="26"/>
              <w:rPr>
                <w:sz w:val="21"/>
                <w:szCs w:val="21"/>
              </w:rPr>
            </w:pPr>
            <w:r>
              <w:rPr>
                <w:sz w:val="21"/>
                <w:szCs w:val="21"/>
              </w:rPr>
              <w:t>AG1</w:t>
            </w:r>
          </w:p>
        </w:tc>
        <w:tc>
          <w:tcPr>
            <w:tcW w:w="885" w:type="dxa"/>
          </w:tcPr>
          <w:p w14:paraId="183DF7EE">
            <w:pPr>
              <w:pStyle w:val="26"/>
              <w:rPr>
                <w:sz w:val="21"/>
                <w:szCs w:val="21"/>
              </w:rPr>
            </w:pPr>
            <w:r>
              <w:rPr>
                <w:rFonts w:hint="eastAsia"/>
                <w:sz w:val="21"/>
                <w:szCs w:val="21"/>
              </w:rPr>
              <w:t>Applicable</w:t>
            </w:r>
          </w:p>
        </w:tc>
        <w:tc>
          <w:tcPr>
            <w:tcW w:w="2904" w:type="dxa"/>
          </w:tcPr>
          <w:p w14:paraId="1C5D33EA">
            <w:pPr>
              <w:pStyle w:val="26"/>
              <w:rPr>
                <w:sz w:val="21"/>
                <w:szCs w:val="21"/>
              </w:rPr>
            </w:pPr>
            <w:r>
              <w:rPr>
                <w:rFonts w:hint="eastAsia"/>
                <w:sz w:val="21"/>
                <w:szCs w:val="21"/>
              </w:rPr>
              <w:t>The case documents heart rate, blood oxygen, sleep, body temperature, blood glucose, body fat, ECG, respiratory rate, and other health data. D1 is triggered by the secondary-use scenario in Section 1.11: personal, exercise, and health data (including sleep, heart rate, stress, blood oxygen, body fat, blood glucose, blood pressure, mood, respiratory rate, and HRV) are anonymised and used for algorithm training and statistical analysis to improve models, algorithms, and the exercise and health experience. Users who do not wish to provide these data can disable “Data for Training and Statistics” under “Me” &gt; “Privacy Management.”</w:t>
            </w:r>
          </w:p>
        </w:tc>
        <w:tc>
          <w:tcPr>
            <w:tcW w:w="996" w:type="dxa"/>
            <w:shd w:val="clear" w:color="auto" w:fill="auto"/>
          </w:tcPr>
          <w:p w14:paraId="3E9D524D">
            <w:pPr>
              <w:pStyle w:val="26"/>
              <w:rPr>
                <w:sz w:val="21"/>
                <w:szCs w:val="21"/>
              </w:rPr>
            </w:pPr>
            <w:r>
              <w:rPr>
                <w:rFonts w:hint="eastAsia"/>
                <w:sz w:val="21"/>
                <w:szCs w:val="21"/>
              </w:rPr>
              <w:t>Applicable</w:t>
            </w:r>
          </w:p>
        </w:tc>
        <w:tc>
          <w:tcPr>
            <w:tcW w:w="4517" w:type="dxa"/>
          </w:tcPr>
          <w:p w14:paraId="346B39F3">
            <w:pPr>
              <w:pStyle w:val="26"/>
              <w:rPr>
                <w:sz w:val="21"/>
                <w:szCs w:val="21"/>
              </w:rPr>
            </w:pPr>
            <w:r>
              <w:rPr>
                <w:rFonts w:hint="eastAsia"/>
                <w:sz w:val="21"/>
                <w:szCs w:val="21"/>
              </w:rPr>
              <w:t>The case documents heart rate, blood oxygen, sleep, body temperature, blood glucose, body fat, ECG, respiratory rate, and other health data. D2 is triggered by the third-party interactions described in the Summary and Sections 1.9–1.10. The Summary states that Exercise Health supports data sharing with third parties and that authorisation is obtained again before sharing. Section 1.9 states that, with express authorisation, third-party applications may access sensor data, heart rate, ECG, sleep status, and other data, and that permissions can be managed under “Open Device Capabilities.” The ECG interpretation and premium protection services in Section 1.10 also state that authorisation is obtained again before sharing.</w:t>
            </w:r>
          </w:p>
        </w:tc>
        <w:tc>
          <w:tcPr>
            <w:tcW w:w="988" w:type="dxa"/>
            <w:shd w:val="clear" w:color="auto" w:fill="auto"/>
          </w:tcPr>
          <w:p w14:paraId="109B0149">
            <w:pPr>
              <w:pStyle w:val="26"/>
              <w:rPr>
                <w:sz w:val="21"/>
                <w:szCs w:val="21"/>
              </w:rPr>
            </w:pPr>
            <w:r>
              <w:rPr>
                <w:sz w:val="21"/>
                <w:szCs w:val="21"/>
              </w:rPr>
              <w:t xml:space="preserve"> </w:t>
            </w:r>
            <w:r>
              <w:rPr>
                <w:rFonts w:hint="eastAsia"/>
                <w:sz w:val="21"/>
                <w:szCs w:val="21"/>
              </w:rPr>
              <w:t>Applicable</w:t>
            </w:r>
          </w:p>
        </w:tc>
        <w:tc>
          <w:tcPr>
            <w:tcW w:w="4398" w:type="dxa"/>
          </w:tcPr>
          <w:p w14:paraId="258D177A">
            <w:pPr>
              <w:pStyle w:val="26"/>
              <w:rPr>
                <w:sz w:val="21"/>
                <w:szCs w:val="21"/>
              </w:rPr>
            </w:pPr>
            <w:r>
              <w:rPr>
                <w:rFonts w:hint="eastAsia"/>
                <w:sz w:val="21"/>
                <w:szCs w:val="21"/>
              </w:rPr>
              <w:t xml:space="preserve">The case documents health-data provision to third parties and is therefore Applicable to D3. The policy text identifies fields including heart rate, ECG, sleep status and exercise type and names some service providers. The separately archived third-party list identifies additional recipients, shared data categories, purposes, scenarios and transfer methods. However, the preserved PDF ends part-way through the Apple HealthKit entry and its second page is blank. The full list of shared fields and recipients therefore cannot be verified from the archive; D3 remains partially covered (○).</w:t>
            </w:r>
          </w:p>
        </w:tc>
      </w:tr>
      <w:tr w14:paraId="419E41B4">
        <w:tblPrEx>
          <w:tblCellMar>
            <w:top w:w="0" w:type="dxa"/>
            <w:left w:w="108" w:type="dxa"/>
            <w:bottom w:w="0" w:type="dxa"/>
            <w:right w:w="108" w:type="dxa"/>
          </w:tblCellMar>
        </w:tblPrEx>
        <w:trPr>
          <w:cantSplit/>
        </w:trPr>
        <w:tc>
          <w:tcPr>
            <w:tcW w:w="795" w:type="dxa"/>
          </w:tcPr>
          <w:p w14:paraId="5F0BAF49">
            <w:pPr>
              <w:pStyle w:val="26"/>
              <w:rPr>
                <w:sz w:val="21"/>
                <w:szCs w:val="21"/>
              </w:rPr>
            </w:pPr>
            <w:r>
              <w:rPr>
                <w:sz w:val="21"/>
                <w:szCs w:val="21"/>
              </w:rPr>
              <w:t>AG2</w:t>
            </w:r>
          </w:p>
        </w:tc>
        <w:tc>
          <w:tcPr>
            <w:tcW w:w="885" w:type="dxa"/>
          </w:tcPr>
          <w:p w14:paraId="5E507569">
            <w:pPr>
              <w:pStyle w:val="26"/>
              <w:rPr>
                <w:sz w:val="21"/>
                <w:szCs w:val="21"/>
              </w:rPr>
            </w:pPr>
            <w:r>
              <w:rPr>
                <w:sz w:val="21"/>
                <w:szCs w:val="21"/>
              </w:rPr>
              <w:t xml:space="preserve"> </w:t>
            </w:r>
            <w:r>
              <w:rPr>
                <w:rFonts w:hint="eastAsia"/>
                <w:sz w:val="21"/>
                <w:szCs w:val="21"/>
              </w:rPr>
              <w:t>N/A</w:t>
            </w:r>
          </w:p>
        </w:tc>
        <w:tc>
          <w:tcPr>
            <w:tcW w:w="2904" w:type="dxa"/>
          </w:tcPr>
          <w:p w14:paraId="4FB51A94">
            <w:pPr>
              <w:pStyle w:val="26"/>
              <w:rPr>
                <w:sz w:val="21"/>
                <w:szCs w:val="21"/>
              </w:rPr>
            </w:pPr>
            <w:r>
              <w:rPr>
                <w:rFonts w:hint="eastAsia"/>
                <w:sz w:val="21"/>
                <w:szCs w:val="21"/>
              </w:rPr>
              <w:t>The policy states that voice data are used to train a speech model and improve speech-recognition results under “Circumstances in Which You May Choose Whether to Authorise Us to Collect and Use Your Personal Information.” This training concerns voice data rather than health data; therefore, the indicator is not applicable (N/A).</w:t>
            </w:r>
          </w:p>
        </w:tc>
        <w:tc>
          <w:tcPr>
            <w:tcW w:w="996" w:type="dxa"/>
            <w:shd w:val="clear" w:color="auto" w:fill="auto"/>
          </w:tcPr>
          <w:p w14:paraId="71C98D02">
            <w:pPr>
              <w:pStyle w:val="26"/>
              <w:rPr>
                <w:sz w:val="21"/>
                <w:szCs w:val="21"/>
              </w:rPr>
            </w:pPr>
            <w:r>
              <w:rPr>
                <w:rFonts w:hint="eastAsia"/>
                <w:sz w:val="21"/>
                <w:szCs w:val="21"/>
              </w:rPr>
              <w:t>Applicable</w:t>
            </w:r>
          </w:p>
        </w:tc>
        <w:tc>
          <w:tcPr>
            <w:tcW w:w="4517" w:type="dxa"/>
          </w:tcPr>
          <w:p w14:paraId="5C337F7C">
            <w:pPr>
              <w:pStyle w:val="26"/>
              <w:rPr>
                <w:sz w:val="21"/>
                <w:szCs w:val="21"/>
              </w:rPr>
            </w:pPr>
            <w:r>
              <w:rPr>
                <w:rFonts w:hint="eastAsia"/>
                <w:sz w:val="21"/>
                <w:szCs w:val="21"/>
              </w:rPr>
              <w:t>The case documents heart rate, blood pressure, blood glucose, sleep, stress, and blood oxygen saturation. The exercise-and-health section states that users may share sleep reports with partner hospitals and choose to share exercise data with third-party platforms such as WeChat and Alipay. The somatic-interaction course shares Xiaomi account information, heart rate, and calorie data with third-party course providers according to user choice and authorisation. Settings allow users to share data with, or import data from, third-party platforms through “Me” &gt; “Third-Party Data Management.”</w:t>
            </w:r>
          </w:p>
        </w:tc>
        <w:tc>
          <w:tcPr>
            <w:tcW w:w="988" w:type="dxa"/>
            <w:shd w:val="clear" w:color="auto" w:fill="auto"/>
          </w:tcPr>
          <w:p w14:paraId="3EAE9855">
            <w:pPr>
              <w:pStyle w:val="26"/>
              <w:rPr>
                <w:sz w:val="21"/>
                <w:szCs w:val="21"/>
              </w:rPr>
            </w:pPr>
            <w:r>
              <w:rPr>
                <w:rFonts w:hint="eastAsia"/>
                <w:sz w:val="21"/>
                <w:szCs w:val="21"/>
              </w:rPr>
              <w:t xml:space="preserve">Applicable  </w:t>
            </w:r>
          </w:p>
        </w:tc>
        <w:tc>
          <w:tcPr>
            <w:tcW w:w="4398" w:type="dxa"/>
          </w:tcPr>
          <w:p w14:paraId="4B16B804">
            <w:pPr>
              <w:pStyle w:val="26"/>
              <w:rPr>
                <w:sz w:val="21"/>
                <w:szCs w:val="21"/>
              </w:rPr>
            </w:pPr>
            <w:r>
              <w:rPr>
                <w:rFonts w:hint="eastAsia"/>
                <w:sz w:val="21"/>
                <w:szCs w:val="21"/>
              </w:rPr>
              <w:t>Relevant location: Section 2, “How We Share, Transfer, and Publicly Disclose Your Personal Information,” subsection (1), “Sharing,” item 3, “Sharing Your Personal Information with Third-Party Service Providers,” and the “Mi Fitness App Third-Party Data-Sharing Statement.”</w:t>
            </w:r>
          </w:p>
        </w:tc>
      </w:tr>
      <w:tr w14:paraId="1E25C361">
        <w:tblPrEx>
          <w:tblCellMar>
            <w:top w:w="0" w:type="dxa"/>
            <w:left w:w="108" w:type="dxa"/>
            <w:bottom w:w="0" w:type="dxa"/>
            <w:right w:w="108" w:type="dxa"/>
          </w:tblCellMar>
        </w:tblPrEx>
        <w:trPr>
          <w:cantSplit/>
        </w:trPr>
        <w:tc>
          <w:tcPr>
            <w:tcW w:w="795" w:type="dxa"/>
          </w:tcPr>
          <w:p w14:paraId="6F4B5E78">
            <w:pPr>
              <w:pStyle w:val="26"/>
              <w:rPr>
                <w:sz w:val="21"/>
                <w:szCs w:val="21"/>
              </w:rPr>
            </w:pPr>
            <w:r>
              <w:rPr>
                <w:sz w:val="21"/>
                <w:szCs w:val="21"/>
              </w:rPr>
              <w:t>AG3</w:t>
            </w:r>
          </w:p>
        </w:tc>
        <w:tc>
          <w:tcPr>
            <w:tcW w:w="885" w:type="dxa"/>
          </w:tcPr>
          <w:p w14:paraId="397417C2">
            <w:pPr>
              <w:pStyle w:val="26"/>
              <w:rPr>
                <w:sz w:val="21"/>
                <w:szCs w:val="21"/>
              </w:rPr>
            </w:pPr>
            <w:r>
              <w:rPr>
                <w:rFonts w:hint="eastAsia"/>
                <w:sz w:val="21"/>
                <w:szCs w:val="21"/>
              </w:rPr>
              <w:t>Applicable</w:t>
            </w:r>
          </w:p>
        </w:tc>
        <w:tc>
          <w:tcPr>
            <w:tcW w:w="2904" w:type="dxa"/>
          </w:tcPr>
          <w:p w14:paraId="35C03230">
            <w:pPr>
              <w:pStyle w:val="26"/>
              <w:rPr>
                <w:sz w:val="21"/>
                <w:szCs w:val="21"/>
              </w:rPr>
            </w:pPr>
            <w:r>
              <w:rPr>
                <w:rFonts w:hint="eastAsia"/>
                <w:sz w:val="21"/>
                <w:szCs w:val="21"/>
              </w:rPr>
              <w:t>The archived policy documents heart rate, blood oxygen, sleep, ECG and other health data. Section 1.2.16, User Experience Improvement Plan, states that, after consent is obtained, exercise-record duration, type and source are collected to improve product quality; refusal does not affect other functions or services. Section 6.5 provides the path Me &gt; Privacy Protection Centre &gt; User Experience Improvement Plan for disabling the plan. This establishes secondary use of health-related exercise-record data for product improvement together with a consent and withdrawal mechanism, so D1 is Applicable and fully met (✓).</w:t>
            </w:r>
          </w:p>
        </w:tc>
        <w:tc>
          <w:tcPr>
            <w:tcW w:w="996" w:type="dxa"/>
            <w:shd w:val="clear" w:color="auto" w:fill="auto"/>
          </w:tcPr>
          <w:p w14:paraId="29522492">
            <w:pPr>
              <w:pStyle w:val="26"/>
              <w:rPr>
                <w:sz w:val="21"/>
                <w:szCs w:val="21"/>
              </w:rPr>
            </w:pPr>
            <w:r>
              <w:rPr>
                <w:sz w:val="21"/>
                <w:szCs w:val="21"/>
              </w:rPr>
              <w:t xml:space="preserve"> </w:t>
            </w:r>
            <w:r>
              <w:rPr>
                <w:rFonts w:hint="eastAsia"/>
                <w:sz w:val="21"/>
                <w:szCs w:val="21"/>
              </w:rPr>
              <w:t>Applicable</w:t>
            </w:r>
          </w:p>
        </w:tc>
        <w:tc>
          <w:tcPr>
            <w:tcW w:w="4517" w:type="dxa"/>
          </w:tcPr>
          <w:p w14:paraId="4F51B34E">
            <w:pPr>
              <w:pStyle w:val="26"/>
              <w:rPr>
                <w:sz w:val="21"/>
                <w:szCs w:val="21"/>
              </w:rPr>
            </w:pPr>
            <w:r>
              <w:rPr>
                <w:rFonts w:hint="eastAsia"/>
                <w:sz w:val="21"/>
                <w:szCs w:val="21"/>
              </w:rPr>
              <w:t>The case documents heart rate, blood oxygen, and sleep; some models also include ECG. The third-party information-sharing list identifies an “exercise and health data sharing” scenario. Under the health-services cloud API item, third parties including Alipay, Keep, Codoon, Joyrun, and YueDongQuan may process data when users authorise them to read personal data stored in “Health.” The listed shared information includes account nickname, location, heart rate, steps, daily activity, linked-device information, blood oxygen, stress, sleep, and other data. The case is applicable.</w:t>
            </w:r>
          </w:p>
        </w:tc>
        <w:tc>
          <w:tcPr>
            <w:tcW w:w="988" w:type="dxa"/>
            <w:shd w:val="clear" w:color="auto" w:fill="auto"/>
          </w:tcPr>
          <w:p w14:paraId="0C588F01">
            <w:pPr>
              <w:pStyle w:val="26"/>
              <w:rPr>
                <w:sz w:val="21"/>
                <w:szCs w:val="21"/>
              </w:rPr>
            </w:pPr>
            <w:r>
              <w:rPr>
                <w:sz w:val="21"/>
                <w:szCs w:val="21"/>
              </w:rPr>
              <w:t xml:space="preserve"> </w:t>
            </w:r>
            <w:r>
              <w:rPr>
                <w:rFonts w:hint="eastAsia"/>
                <w:sz w:val="21"/>
                <w:szCs w:val="21"/>
              </w:rPr>
              <w:t>Applicable</w:t>
            </w:r>
          </w:p>
        </w:tc>
        <w:tc>
          <w:tcPr>
            <w:tcW w:w="4398" w:type="dxa"/>
          </w:tcPr>
          <w:p w14:paraId="3C72E0C5">
            <w:pPr>
              <w:pStyle w:val="26"/>
              <w:rPr>
                <w:sz w:val="21"/>
                <w:szCs w:val="21"/>
              </w:rPr>
            </w:pPr>
            <w:r>
              <w:rPr>
                <w:rFonts w:hint="eastAsia"/>
                <w:sz w:val="21"/>
                <w:szCs w:val="21"/>
              </w:rPr>
              <w:t>The case documents heart rate, blood oxygen, and sleep; some models also include ECG. D3 assesses whether third-party disclosures list shared fields and recipients. The third-party information-sharing list includes a third-party SDK list and a list of other third-party sharing. For each entry it identifies the SDK or third-party entity, system or product/type, company, information collected by the third party, information shared with or received from it, permissions, functions or scenarios, purposes, methods, contact details, and privacy-policy link. Listed services include Amap, Alipay, WeChat Open SDK, the mall SDK, Bugly, push SDK, Lexin SDK, Douyin, QQ, Xiaohongshu, and services for health improvement, exercise improvement, and exercise-and-health data sharing.</w:t>
            </w:r>
          </w:p>
        </w:tc>
      </w:tr>
      <w:tr w14:paraId="2C2BDFA8">
        <w:tblPrEx>
          <w:tblCellMar>
            <w:top w:w="0" w:type="dxa"/>
            <w:left w:w="108" w:type="dxa"/>
            <w:bottom w:w="0" w:type="dxa"/>
            <w:right w:w="108" w:type="dxa"/>
          </w:tblCellMar>
        </w:tblPrEx>
        <w:trPr>
          <w:cantSplit/>
        </w:trPr>
        <w:tc>
          <w:tcPr>
            <w:tcW w:w="795" w:type="dxa"/>
          </w:tcPr>
          <w:p w14:paraId="29C5239A">
            <w:pPr>
              <w:pStyle w:val="26"/>
              <w:rPr>
                <w:sz w:val="21"/>
                <w:szCs w:val="21"/>
              </w:rPr>
            </w:pPr>
            <w:r>
              <w:rPr>
                <w:sz w:val="21"/>
                <w:szCs w:val="21"/>
              </w:rPr>
              <w:t>AG4</w:t>
            </w:r>
          </w:p>
        </w:tc>
        <w:tc>
          <w:tcPr>
            <w:tcW w:w="885" w:type="dxa"/>
          </w:tcPr>
          <w:p w14:paraId="0AF389BD">
            <w:pPr>
              <w:pStyle w:val="26"/>
              <w:rPr>
                <w:sz w:val="21"/>
                <w:szCs w:val="21"/>
              </w:rPr>
            </w:pPr>
            <w:r>
              <w:rPr>
                <w:rFonts w:hint="eastAsia"/>
                <w:sz w:val="21"/>
                <w:szCs w:val="21"/>
              </w:rPr>
              <w:t>Applicable</w:t>
            </w:r>
          </w:p>
        </w:tc>
        <w:tc>
          <w:tcPr>
            <w:tcW w:w="2904" w:type="dxa"/>
          </w:tcPr>
          <w:p w14:paraId="3BF7D361">
            <w:pPr>
              <w:rPr>
                <w:sz w:val="21"/>
                <w:szCs w:val="21"/>
              </w:rPr>
            </w:pPr>
            <w:r>
              <w:rPr>
                <w:rFonts w:hint="eastAsia"/>
                <w:sz w:val="21"/>
                <w:szCs w:val="21"/>
              </w:rPr>
              <w:t>The case documents body data such as height, weight, and sex, as well as heart rate, blood oxygen, and sleep. D1 assesses AI training, product-improvement, and commercial-analysis activities. Relevant location: “(3) How vivo Uses Your Personal Information and Data,” item 21, “Product Experience Optimisation.” The policy describes differential privacy, including concealing the actual values of blood oxygen, heart rate, blood pressure, lactic acid, and calories and using statistical data to improve smart-terminal products while avoiding disclosure of precise personal information.</w:t>
            </w:r>
          </w:p>
        </w:tc>
        <w:tc>
          <w:tcPr>
            <w:tcW w:w="996" w:type="dxa"/>
            <w:shd w:val="clear" w:color="auto" w:fill="auto"/>
          </w:tcPr>
          <w:p w14:paraId="2D75012A">
            <w:pPr>
              <w:pStyle w:val="26"/>
              <w:rPr>
                <w:sz w:val="21"/>
                <w:szCs w:val="21"/>
              </w:rPr>
            </w:pPr>
            <w:r>
              <w:rPr>
                <w:rFonts w:hint="eastAsia"/>
                <w:sz w:val="21"/>
                <w:szCs w:val="21"/>
              </w:rPr>
              <w:t>Applicable</w:t>
            </w:r>
          </w:p>
        </w:tc>
        <w:tc>
          <w:tcPr>
            <w:tcW w:w="4517" w:type="dxa"/>
          </w:tcPr>
          <w:p w14:paraId="7CBA6253">
            <w:pPr>
              <w:rPr>
                <w:sz w:val="21"/>
                <w:szCs w:val="21"/>
              </w:rPr>
            </w:pPr>
            <w:r>
              <w:rPr>
                <w:rFonts w:hint="eastAsia"/>
                <w:sz w:val="21"/>
                <w:szCs w:val="21"/>
              </w:rPr>
              <w:t>The case documents body data such as height, weight, and sex, as well as heart rate, blood oxygen, and sleep. Under “(2) What Data and Information vivo Processes” &gt; “Care Component,” users may establish a sharing relationship by adding another vivo or Xiaocai account, view each other’s shared health data, and use account information to create avatars. Users can choose which information to share with family and friends, including steps, calories, exercise records, stress, heart rate, sleep, blood oxygen, and body temperature. The case therefore documents interaction between health data and a third-party app and is applicable.</w:t>
            </w:r>
          </w:p>
          <w:p w14:paraId="155B0197">
            <w:pPr>
              <w:pStyle w:val="26"/>
              <w:rPr>
                <w:sz w:val="21"/>
                <w:szCs w:val="21"/>
              </w:rPr>
            </w:pPr>
          </w:p>
        </w:tc>
        <w:tc>
          <w:tcPr>
            <w:tcW w:w="988" w:type="dxa"/>
            <w:shd w:val="clear" w:color="auto" w:fill="auto"/>
          </w:tcPr>
          <w:p w14:paraId="5F58C5DC">
            <w:pPr>
              <w:pStyle w:val="26"/>
              <w:rPr>
                <w:sz w:val="21"/>
                <w:szCs w:val="21"/>
              </w:rPr>
            </w:pPr>
            <w:r>
              <w:rPr>
                <w:rFonts w:hint="eastAsia"/>
                <w:sz w:val="21"/>
                <w:szCs w:val="21"/>
              </w:rPr>
              <w:t>Applicable</w:t>
            </w:r>
          </w:p>
        </w:tc>
        <w:tc>
          <w:tcPr>
            <w:tcW w:w="4398" w:type="dxa"/>
          </w:tcPr>
          <w:p w14:paraId="6BAB781D">
            <w:pPr>
              <w:pStyle w:val="26"/>
              <w:rPr>
                <w:sz w:val="21"/>
                <w:szCs w:val="21"/>
              </w:rPr>
            </w:pPr>
            <w:r>
              <w:rPr>
                <w:rFonts w:hint="eastAsia"/>
                <w:sz w:val="21"/>
                <w:szCs w:val="21"/>
              </w:rPr>
              <w:t>The case documents body data such as height, weight, and sex, as well as heart rate, blood oxygen, and sleep. D3 assesses whether third-party disclosures list shared fields and recipients. The “Information That vivo May Share with Third Parties” and “Third-Party SDKs” sections disclose sharing and SDK collection in tables listing the SDK name, organisation, purpose, personal information collected, and privacy-policy link.</w:t>
            </w:r>
          </w:p>
        </w:tc>
      </w:tr>
      <w:tr w14:paraId="75D4A64E">
        <w:tblPrEx>
          <w:tblCellMar>
            <w:top w:w="0" w:type="dxa"/>
            <w:left w:w="108" w:type="dxa"/>
            <w:bottom w:w="0" w:type="dxa"/>
            <w:right w:w="108" w:type="dxa"/>
          </w:tblCellMar>
        </w:tblPrEx>
        <w:trPr>
          <w:cantSplit/>
        </w:trPr>
        <w:tc>
          <w:tcPr>
            <w:tcW w:w="795" w:type="dxa"/>
          </w:tcPr>
          <w:p w14:paraId="2A2FF1E5">
            <w:pPr>
              <w:pStyle w:val="26"/>
              <w:rPr>
                <w:sz w:val="21"/>
                <w:szCs w:val="21"/>
              </w:rPr>
            </w:pPr>
            <w:r>
              <w:rPr>
                <w:sz w:val="21"/>
                <w:szCs w:val="21"/>
              </w:rPr>
              <w:t>AG5</w:t>
            </w:r>
          </w:p>
        </w:tc>
        <w:tc>
          <w:tcPr>
            <w:tcW w:w="885" w:type="dxa"/>
          </w:tcPr>
          <w:p w14:paraId="0C5FAB12">
            <w:pPr>
              <w:pStyle w:val="26"/>
              <w:rPr>
                <w:sz w:val="21"/>
                <w:szCs w:val="21"/>
              </w:rPr>
            </w:pPr>
            <w:r>
              <w:rPr>
                <w:sz w:val="21"/>
                <w:szCs w:val="21"/>
              </w:rPr>
              <w:t xml:space="preserve"> </w:t>
            </w:r>
            <w:r>
              <w:rPr>
                <w:rFonts w:hint="eastAsia"/>
                <w:sz w:val="21"/>
                <w:szCs w:val="21"/>
              </w:rPr>
              <w:t>Insufficient</w:t>
            </w:r>
          </w:p>
        </w:tc>
        <w:tc>
          <w:tcPr>
            <w:tcW w:w="2904" w:type="dxa"/>
          </w:tcPr>
          <w:p w14:paraId="4D3292F3">
            <w:pPr>
              <w:pStyle w:val="26"/>
              <w:rPr>
                <w:sz w:val="21"/>
                <w:szCs w:val="21"/>
              </w:rPr>
            </w:pPr>
            <w:r>
              <w:rPr>
                <w:rFonts w:hint="eastAsia"/>
                <w:sz w:val="21"/>
                <w:szCs w:val="21"/>
              </w:rPr>
              <w:t>The case documents heart rate, blood oxygen, sleep, and exercise data (Section 1, “How We Collect and Use Your Personal Information”). The policy states that device information, service-use information, and system logs are collected for fault analysis and to optimise smart-device and application design. Surveys are used to improve products, with specific information and authorisation/consent provided. The algorithm-technology section states that personalised recommendation algorithms use lawfully collected user, content, context, and other authorised information for personalised display and optimise model performance based on user feedback. The policy does not specify that these activities involve health data; therefore, applicability is insufficient to determine.</w:t>
            </w:r>
          </w:p>
        </w:tc>
        <w:tc>
          <w:tcPr>
            <w:tcW w:w="996" w:type="dxa"/>
            <w:shd w:val="clear" w:color="auto" w:fill="auto"/>
          </w:tcPr>
          <w:p w14:paraId="283C6412">
            <w:pPr>
              <w:pStyle w:val="26"/>
              <w:rPr>
                <w:sz w:val="21"/>
                <w:szCs w:val="21"/>
              </w:rPr>
            </w:pPr>
            <w:r>
              <w:rPr>
                <w:rFonts w:hint="eastAsia"/>
                <w:sz w:val="21"/>
                <w:szCs w:val="21"/>
              </w:rPr>
              <w:t>Applicable</w:t>
            </w:r>
          </w:p>
        </w:tc>
        <w:tc>
          <w:tcPr>
            <w:tcW w:w="4517" w:type="dxa"/>
          </w:tcPr>
          <w:p w14:paraId="2FD7E0AE">
            <w:pPr>
              <w:pStyle w:val="26"/>
              <w:rPr>
                <w:sz w:val="21"/>
                <w:szCs w:val="21"/>
              </w:rPr>
            </w:pPr>
            <w:r>
              <w:rPr>
                <w:rFonts w:hint="eastAsia"/>
                <w:sz w:val="21"/>
                <w:szCs w:val="21"/>
              </w:rPr>
              <w:t>The case documents heart rate, blood oxygen, sleep, and exercise data. The introduction states that, when users enable data-reading authorisation under “Third-Party Data Sharing” &gt; “Applications Authorised through the Account,” exercise and health data are shared with third-party applications. The third-party-provision section states that, after explicit authorisation and consent, third parties may read and write exercise and health data through HONOR Health Kit. Users can manage this under “Me” &gt; “Privacy Management” &gt; “Third-Party Data Sharing.” The case documents health-data interaction with third-party apps and is applicable.</w:t>
            </w:r>
          </w:p>
        </w:tc>
        <w:tc>
          <w:tcPr>
            <w:tcW w:w="988" w:type="dxa"/>
            <w:shd w:val="clear" w:color="auto" w:fill="auto"/>
          </w:tcPr>
          <w:p w14:paraId="07D33A66">
            <w:pPr>
              <w:pStyle w:val="26"/>
              <w:rPr>
                <w:sz w:val="21"/>
                <w:szCs w:val="21"/>
              </w:rPr>
            </w:pPr>
            <w:r>
              <w:rPr>
                <w:rFonts w:hint="eastAsia"/>
                <w:sz w:val="21"/>
                <w:szCs w:val="21"/>
              </w:rPr>
              <w:t>Applicable</w:t>
            </w:r>
          </w:p>
        </w:tc>
        <w:tc>
          <w:tcPr>
            <w:tcW w:w="4398" w:type="dxa"/>
          </w:tcPr>
          <w:p w14:paraId="4D73FD99">
            <w:pPr>
              <w:pStyle w:val="26"/>
              <w:rPr>
                <w:sz w:val="21"/>
                <w:szCs w:val="21"/>
              </w:rPr>
            </w:pPr>
            <w:r>
              <w:rPr>
                <w:rFonts w:hint="eastAsia"/>
                <w:sz w:val="21"/>
                <w:szCs w:val="21"/>
              </w:rPr>
              <w:t>Relevant locations: Sections 1.2.4, “Exercise Data Management”; 1.2.16, “Personalised Content”; and 1.2.26, “HONOR Health Membership,” together with the third-party-provision and SDK disclosures.</w:t>
            </w:r>
          </w:p>
        </w:tc>
      </w:tr>
      <w:tr w14:paraId="58538411">
        <w:tblPrEx>
          <w:tblCellMar>
            <w:top w:w="0" w:type="dxa"/>
            <w:left w:w="108" w:type="dxa"/>
            <w:bottom w:w="0" w:type="dxa"/>
            <w:right w:w="108" w:type="dxa"/>
          </w:tblCellMar>
        </w:tblPrEx>
        <w:trPr>
          <w:cantSplit/>
        </w:trPr>
        <w:tc>
          <w:tcPr>
            <w:tcW w:w="795" w:type="dxa"/>
          </w:tcPr>
          <w:p w14:paraId="79FCE25D">
            <w:pPr>
              <w:pStyle w:val="26"/>
              <w:rPr>
                <w:sz w:val="21"/>
                <w:szCs w:val="21"/>
              </w:rPr>
            </w:pPr>
            <w:r>
              <w:rPr>
                <w:sz w:val="21"/>
                <w:szCs w:val="21"/>
              </w:rPr>
              <w:t>AG6</w:t>
            </w:r>
          </w:p>
        </w:tc>
        <w:tc>
          <w:tcPr>
            <w:tcW w:w="885" w:type="dxa"/>
          </w:tcPr>
          <w:p w14:paraId="7584F681">
            <w:pPr>
              <w:pStyle w:val="26"/>
              <w:rPr>
                <w:sz w:val="21"/>
                <w:szCs w:val="21"/>
              </w:rPr>
            </w:pPr>
            <w:r>
              <w:rPr>
                <w:rFonts w:hint="eastAsia"/>
                <w:sz w:val="21"/>
                <w:szCs w:val="21"/>
              </w:rPr>
              <w:t>Insufficient</w:t>
            </w:r>
          </w:p>
        </w:tc>
        <w:tc>
          <w:tcPr>
            <w:tcW w:w="2904" w:type="dxa"/>
          </w:tcPr>
          <w:p w14:paraId="08F1A249">
            <w:pPr>
              <w:pStyle w:val="26"/>
              <w:rPr>
                <w:sz w:val="21"/>
                <w:szCs w:val="21"/>
              </w:rPr>
            </w:pPr>
            <w:r>
              <w:rPr>
                <w:rFonts w:hint="eastAsia"/>
                <w:sz w:val="21"/>
                <w:szCs w:val="21"/>
              </w:rPr>
              <w:t>The policy states that personal information may be analysed to generate statistics, optimise device performance, create non-identifiable information for research and internal/data analysis, and improve or develop products and services. Some opt-in functions allow Huami or its third-party partners to analyse how users use Huami products and services to improve the user experience, for example through crash reports. These passages establish product-improvement and commercial-analysis activities involving personal information, but do not specify health data; therefore, applicability is insufficient to determine.</w:t>
            </w:r>
          </w:p>
        </w:tc>
        <w:tc>
          <w:tcPr>
            <w:tcW w:w="996" w:type="dxa"/>
            <w:shd w:val="clear" w:color="auto" w:fill="auto"/>
          </w:tcPr>
          <w:p w14:paraId="38EB81E4">
            <w:pPr>
              <w:pStyle w:val="26"/>
              <w:rPr>
                <w:sz w:val="21"/>
                <w:szCs w:val="21"/>
              </w:rPr>
            </w:pPr>
            <w:r>
              <w:rPr>
                <w:rFonts w:hint="eastAsia"/>
                <w:sz w:val="21"/>
                <w:szCs w:val="21"/>
              </w:rPr>
              <w:t>Insufficient</w:t>
            </w:r>
          </w:p>
        </w:tc>
        <w:tc>
          <w:tcPr>
            <w:tcW w:w="4517" w:type="dxa"/>
          </w:tcPr>
          <w:p w14:paraId="3DE2EA96">
            <w:pPr>
              <w:pStyle w:val="26"/>
              <w:rPr>
                <w:sz w:val="21"/>
                <w:szCs w:val="21"/>
              </w:rPr>
            </w:pPr>
            <w:r>
              <w:rPr>
                <w:rFonts w:hint="eastAsia"/>
                <w:sz w:val="21"/>
                <w:szCs w:val="21"/>
              </w:rPr>
              <w:t>The policy refers to interactions with Strava, Line, and Apple Health and states that users’ interactions with those features are governed by the relevant third-party privacy policies. It also discloses APIs/SDKs and information sharing with third-party service providers. These passages establish third-party interaction, but do not specify that health data are involved; therefore, applicability is insufficient to determine.</w:t>
            </w:r>
          </w:p>
        </w:tc>
        <w:tc>
          <w:tcPr>
            <w:tcW w:w="988" w:type="dxa"/>
            <w:shd w:val="clear" w:color="auto" w:fill="auto"/>
          </w:tcPr>
          <w:p w14:paraId="454E3F67">
            <w:pPr>
              <w:pStyle w:val="26"/>
              <w:rPr>
                <w:sz w:val="21"/>
                <w:szCs w:val="21"/>
              </w:rPr>
            </w:pPr>
            <w:r>
              <w:rPr>
                <w:rFonts w:hint="eastAsia"/>
                <w:sz w:val="21"/>
                <w:szCs w:val="21"/>
              </w:rPr>
              <w:t>Insufficient</w:t>
            </w:r>
          </w:p>
        </w:tc>
        <w:tc>
          <w:tcPr>
            <w:tcW w:w="4398" w:type="dxa"/>
          </w:tcPr>
          <w:p w14:paraId="65E3341F">
            <w:pPr>
              <w:pStyle w:val="26"/>
              <w:rPr>
                <w:sz w:val="21"/>
                <w:szCs w:val="21"/>
              </w:rPr>
            </w:pPr>
            <w:r>
              <w:rPr>
                <w:rFonts w:hint="eastAsia"/>
                <w:sz w:val="21"/>
                <w:szCs w:val="21"/>
              </w:rPr>
              <w:t>The case documents activity information, sleep, heart rate, and weight. D3 assesses whether shared fields and recipients are identified. The policy discloses information sharing with third-party applications, but does not specify that the activity involves health data; therefore, applicability is insufficient to determine.</w:t>
            </w:r>
          </w:p>
        </w:tc>
      </w:tr>
      <w:tr w14:paraId="4FCEFED2">
        <w:tblPrEx>
          <w:tblCellMar>
            <w:top w:w="0" w:type="dxa"/>
            <w:left w:w="108" w:type="dxa"/>
            <w:bottom w:w="0" w:type="dxa"/>
            <w:right w:w="108" w:type="dxa"/>
          </w:tblCellMar>
        </w:tblPrEx>
        <w:trPr>
          <w:cantSplit/>
        </w:trPr>
        <w:tc>
          <w:tcPr>
            <w:tcW w:w="795" w:type="dxa"/>
          </w:tcPr>
          <w:p w14:paraId="16FE7537">
            <w:pPr>
              <w:pStyle w:val="26"/>
              <w:rPr>
                <w:sz w:val="21"/>
                <w:szCs w:val="21"/>
              </w:rPr>
            </w:pPr>
            <w:r>
              <w:rPr>
                <w:sz w:val="21"/>
                <w:szCs w:val="21"/>
              </w:rPr>
              <w:t>AG7</w:t>
            </w:r>
          </w:p>
        </w:tc>
        <w:tc>
          <w:tcPr>
            <w:tcW w:w="885" w:type="dxa"/>
          </w:tcPr>
          <w:p w14:paraId="3AE38E2E">
            <w:pPr>
              <w:pStyle w:val="26"/>
              <w:rPr>
                <w:sz w:val="21"/>
                <w:szCs w:val="21"/>
              </w:rPr>
            </w:pPr>
            <w:r>
              <w:rPr>
                <w:rFonts w:hint="eastAsia"/>
                <w:sz w:val="21"/>
                <w:szCs w:val="21"/>
              </w:rPr>
              <w:t>Applicable</w:t>
            </w:r>
          </w:p>
        </w:tc>
        <w:tc>
          <w:tcPr>
            <w:tcW w:w="2904" w:type="dxa"/>
          </w:tcPr>
          <w:p w14:paraId="46D25453">
            <w:pPr>
              <w:pStyle w:val="26"/>
              <w:rPr>
                <w:sz w:val="21"/>
                <w:szCs w:val="21"/>
              </w:rPr>
            </w:pPr>
            <w:r>
              <w:rPr>
                <w:rFonts w:hint="eastAsia"/>
                <w:sz w:val="21"/>
                <w:szCs w:val="21"/>
              </w:rPr>
              <w:t>The case documents heart rate, body-fat percentage, and weight. The AI Coach service describes customised or generated exercise plans, training guidance, multidimensional data analysis, intelligent conversations, and AI-model training/service optimisation. The model-training section states that exercise data, body-assessment information, and AI Coach interactions may be used to train and optimise the AI Coach large language model or other large-model products. Users can opt out by disabling “Use Data to Optimise Experience” under “Settings” &gt; “Privacy Settings” &gt; “Data Management.”</w:t>
            </w:r>
          </w:p>
        </w:tc>
        <w:tc>
          <w:tcPr>
            <w:tcW w:w="996" w:type="dxa"/>
            <w:shd w:val="clear" w:color="auto" w:fill="auto"/>
          </w:tcPr>
          <w:p w14:paraId="0DF9D749">
            <w:pPr>
              <w:pStyle w:val="26"/>
              <w:rPr>
                <w:sz w:val="21"/>
                <w:szCs w:val="21"/>
              </w:rPr>
            </w:pPr>
            <w:r>
              <w:rPr>
                <w:sz w:val="21"/>
                <w:szCs w:val="21"/>
              </w:rPr>
              <w:t xml:space="preserve"> </w:t>
            </w:r>
            <w:r>
              <w:rPr>
                <w:rFonts w:hint="eastAsia"/>
                <w:sz w:val="21"/>
                <w:szCs w:val="21"/>
              </w:rPr>
              <w:t>Applicable</w:t>
            </w:r>
          </w:p>
        </w:tc>
        <w:tc>
          <w:tcPr>
            <w:tcW w:w="4517" w:type="dxa"/>
          </w:tcPr>
          <w:p w14:paraId="44C4CAE9">
            <w:pPr>
              <w:pStyle w:val="26"/>
              <w:rPr>
                <w:sz w:val="21"/>
                <w:szCs w:val="21"/>
              </w:rPr>
            </w:pPr>
            <w:r>
              <w:rPr>
                <w:rFonts w:hint="eastAsia"/>
                <w:sz w:val="21"/>
                <w:szCs w:val="21"/>
              </w:rPr>
              <w:t>The case documents heart rate, body-fat percentage, and weight. Section 6, “Exercise Data Synchronisation Service,” lists synchronisation with third-party applications and devices including Apple Health, Huawei Health, Garmin, vivo Health, and HeyTap Health. Users must link their Keep account with the third-party account and give explicit authorisation and consent. Supported data include heart rate, sleep, blood oxygen, reproductive health, calories, and nutrition; the data synchronised to Keep depend on the scope of authorisation.</w:t>
            </w:r>
          </w:p>
        </w:tc>
        <w:tc>
          <w:tcPr>
            <w:tcW w:w="988" w:type="dxa"/>
            <w:shd w:val="clear" w:color="auto" w:fill="auto"/>
          </w:tcPr>
          <w:p w14:paraId="4CA919BF">
            <w:pPr>
              <w:pStyle w:val="26"/>
              <w:rPr>
                <w:sz w:val="21"/>
                <w:szCs w:val="21"/>
              </w:rPr>
            </w:pPr>
            <w:r>
              <w:rPr>
                <w:sz w:val="21"/>
                <w:szCs w:val="21"/>
              </w:rPr>
              <w:t xml:space="preserve"> </w:t>
            </w:r>
            <w:r>
              <w:rPr>
                <w:rFonts w:hint="eastAsia"/>
                <w:sz w:val="21"/>
                <w:szCs w:val="21"/>
              </w:rPr>
              <w:t>Applicable</w:t>
            </w:r>
          </w:p>
        </w:tc>
        <w:tc>
          <w:tcPr>
            <w:tcW w:w="4398" w:type="dxa"/>
          </w:tcPr>
          <w:p w14:paraId="0E4D8AB5">
            <w:pPr>
              <w:pStyle w:val="26"/>
              <w:rPr>
                <w:sz w:val="21"/>
                <w:szCs w:val="21"/>
              </w:rPr>
            </w:pPr>
            <w:r>
              <w:rPr>
                <w:rFonts w:hint="eastAsia"/>
                <w:sz w:val="21"/>
                <w:szCs w:val="21"/>
              </w:rPr>
              <w:t>Relevant locations: Privacy Policy, Section 2(2), “Sharing,” and Section 1(4), “Device and Application Permissions.” The policy links to the “Keep Third-Party Information-Sharing List,” which identifies third-party companies, products/types, clients, shared information, purposes, scenarios, sharing methods, and third-party personal-information processing rules.</w:t>
            </w:r>
          </w:p>
        </w:tc>
      </w:tr>
      <w:tr w14:paraId="5312ACA7">
        <w:tblPrEx>
          <w:tblCellMar>
            <w:top w:w="0" w:type="dxa"/>
            <w:left w:w="108" w:type="dxa"/>
            <w:bottom w:w="0" w:type="dxa"/>
            <w:right w:w="108" w:type="dxa"/>
          </w:tblCellMar>
        </w:tblPrEx>
        <w:trPr>
          <w:cantSplit/>
        </w:trPr>
        <w:tc>
          <w:tcPr>
            <w:tcW w:w="795" w:type="dxa"/>
          </w:tcPr>
          <w:p w14:paraId="5312998D">
            <w:pPr>
              <w:pStyle w:val="26"/>
              <w:rPr>
                <w:sz w:val="21"/>
                <w:szCs w:val="21"/>
              </w:rPr>
            </w:pPr>
            <w:r>
              <w:rPr>
                <w:sz w:val="21"/>
                <w:szCs w:val="21"/>
              </w:rPr>
              <w:t>AG8</w:t>
            </w:r>
          </w:p>
        </w:tc>
        <w:tc>
          <w:tcPr>
            <w:tcW w:w="885" w:type="dxa"/>
          </w:tcPr>
          <w:p w14:paraId="0B999935">
            <w:pPr>
              <w:pStyle w:val="26"/>
              <w:rPr>
                <w:sz w:val="21"/>
                <w:szCs w:val="21"/>
              </w:rPr>
            </w:pPr>
            <w:r>
              <w:rPr>
                <w:rFonts w:hint="eastAsia"/>
                <w:sz w:val="21"/>
                <w:szCs w:val="21"/>
              </w:rPr>
              <w:t>Insufficient</w:t>
            </w:r>
          </w:p>
        </w:tc>
        <w:tc>
          <w:tcPr>
            <w:tcW w:w="2904" w:type="dxa"/>
          </w:tcPr>
          <w:p w14:paraId="1E9737B5">
            <w:pPr>
              <w:pStyle w:val="26"/>
              <w:rPr>
                <w:sz w:val="21"/>
                <w:szCs w:val="21"/>
              </w:rPr>
            </w:pPr>
            <w:r>
              <w:rPr>
                <w:rFonts w:hint="eastAsia"/>
                <w:sz w:val="21"/>
                <w:szCs w:val="21"/>
              </w:rPr>
              <w:t>The case documents heart rate, sleep, blood oxygen, and body temperature. RingConn states that it uses personal data, including data processed through third-party SDKs, to improve product performance and usability and develop new functions, including crash diagnostics, push notifications, third-party login, maps, and location-based services. This establishes personal-information processing relevant to D1, but does not specify health data; therefore, applicability is insufficient to determine.</w:t>
            </w:r>
          </w:p>
        </w:tc>
        <w:tc>
          <w:tcPr>
            <w:tcW w:w="996" w:type="dxa"/>
            <w:shd w:val="clear" w:color="auto" w:fill="auto"/>
          </w:tcPr>
          <w:p w14:paraId="2A40F019">
            <w:pPr>
              <w:pStyle w:val="26"/>
              <w:rPr>
                <w:sz w:val="21"/>
                <w:szCs w:val="21"/>
              </w:rPr>
            </w:pPr>
            <w:r>
              <w:rPr>
                <w:rFonts w:hint="eastAsia"/>
                <w:sz w:val="21"/>
                <w:szCs w:val="21"/>
              </w:rPr>
              <w:t>Applicable</w:t>
            </w:r>
          </w:p>
        </w:tc>
        <w:tc>
          <w:tcPr>
            <w:tcW w:w="4517" w:type="dxa"/>
          </w:tcPr>
          <w:p w14:paraId="1847C4A7">
            <w:pPr>
              <w:pStyle w:val="26"/>
              <w:rPr>
                <w:sz w:val="21"/>
                <w:szCs w:val="21"/>
              </w:rPr>
            </w:pPr>
            <w:r>
              <w:rPr>
                <w:rFonts w:hint="eastAsia"/>
                <w:sz w:val="21"/>
                <w:szCs w:val="21"/>
              </w:rPr>
              <w:t>The case documents heart rate, sleep, blood oxygen, and body temperature. Users may choose to synchronise RingConn data with third-party health platforms such as Apple Health and Google Fit. RingConn may also receive or share health metrics according to user permissions and platform settings.</w:t>
            </w:r>
          </w:p>
        </w:tc>
        <w:tc>
          <w:tcPr>
            <w:tcW w:w="988" w:type="dxa"/>
            <w:shd w:val="clear" w:color="auto" w:fill="auto"/>
          </w:tcPr>
          <w:p w14:paraId="144FFEC8">
            <w:pPr>
              <w:pStyle w:val="26"/>
              <w:rPr>
                <w:sz w:val="21"/>
                <w:szCs w:val="21"/>
              </w:rPr>
            </w:pPr>
            <w:r>
              <w:rPr>
                <w:sz w:val="21"/>
                <w:szCs w:val="21"/>
              </w:rPr>
              <w:t xml:space="preserve"> </w:t>
            </w:r>
            <w:r>
              <w:rPr>
                <w:rFonts w:hint="eastAsia"/>
                <w:sz w:val="21"/>
                <w:szCs w:val="21"/>
              </w:rPr>
              <w:t>Applicable</w:t>
            </w:r>
          </w:p>
        </w:tc>
        <w:tc>
          <w:tcPr>
            <w:tcW w:w="4398" w:type="dxa"/>
          </w:tcPr>
          <w:p w14:paraId="5BEDF667">
            <w:pPr>
              <w:pStyle w:val="26"/>
              <w:rPr>
                <w:sz w:val="21"/>
                <w:szCs w:val="21"/>
              </w:rPr>
            </w:pPr>
            <w:r>
              <w:rPr>
                <w:rFonts w:hint="eastAsia"/>
                <w:sz w:val="21"/>
                <w:szCs w:val="21"/>
              </w:rPr>
              <w:t>The case documents heart rate, sleep, blood oxygen, and body temperature. D3 assesses whether shared fields and recipients are identified. Because D2 establishes third-party-app interaction involving health data, D3 is also applicable.</w:t>
            </w:r>
          </w:p>
        </w:tc>
      </w:tr>
      <w:tr w14:paraId="67F84660">
        <w:tblPrEx>
          <w:tblCellMar>
            <w:top w:w="0" w:type="dxa"/>
            <w:left w:w="108" w:type="dxa"/>
            <w:bottom w:w="0" w:type="dxa"/>
            <w:right w:w="108" w:type="dxa"/>
          </w:tblCellMar>
        </w:tblPrEx>
        <w:trPr>
          <w:cantSplit/>
        </w:trPr>
        <w:tc>
          <w:tcPr>
            <w:tcW w:w="795" w:type="dxa"/>
          </w:tcPr>
          <w:p w14:paraId="0E765757">
            <w:pPr>
              <w:pStyle w:val="26"/>
              <w:rPr>
                <w:sz w:val="21"/>
                <w:szCs w:val="21"/>
              </w:rPr>
            </w:pPr>
            <w:r>
              <w:rPr>
                <w:sz w:val="21"/>
                <w:szCs w:val="21"/>
              </w:rPr>
              <w:t>AG9</w:t>
            </w:r>
          </w:p>
        </w:tc>
        <w:tc>
          <w:tcPr>
            <w:tcW w:w="885" w:type="dxa"/>
          </w:tcPr>
          <w:p w14:paraId="6D0161D2">
            <w:pPr>
              <w:pStyle w:val="26"/>
              <w:rPr>
                <w:sz w:val="21"/>
                <w:szCs w:val="21"/>
              </w:rPr>
            </w:pPr>
            <w:r>
              <w:rPr>
                <w:sz w:val="21"/>
                <w:szCs w:val="21"/>
              </w:rPr>
              <w:t xml:space="preserve"> </w:t>
            </w:r>
            <w:r>
              <w:rPr>
                <w:rFonts w:hint="eastAsia"/>
                <w:sz w:val="21"/>
                <w:szCs w:val="21"/>
              </w:rPr>
              <w:t>N/A</w:t>
            </w:r>
          </w:p>
        </w:tc>
        <w:tc>
          <w:tcPr>
            <w:tcW w:w="2904" w:type="dxa"/>
          </w:tcPr>
          <w:p w14:paraId="69129E7C">
            <w:pPr>
              <w:pStyle w:val="26"/>
              <w:rPr>
                <w:sz w:val="21"/>
                <w:szCs w:val="21"/>
              </w:rPr>
            </w:pPr>
            <w:r>
              <w:rPr>
                <w:rFonts w:hint="eastAsia"/>
                <w:sz w:val="21"/>
                <w:szCs w:val="21"/>
              </w:rPr>
              <w:t>The policy states that statistical data that cannot identify a specific individual may be collected to improve services and aggregated to understand customers’ views of the website, products, and services and to optimise the service interface. No AI/model training or use of health personal information for product improvement or commercial analysis was identified; therefore, the indicator is not applicable (N/A).</w:t>
            </w:r>
          </w:p>
        </w:tc>
        <w:tc>
          <w:tcPr>
            <w:tcW w:w="996" w:type="dxa"/>
            <w:shd w:val="clear" w:color="auto" w:fill="auto"/>
          </w:tcPr>
          <w:p w14:paraId="0A56FC27">
            <w:pPr>
              <w:pStyle w:val="26"/>
              <w:rPr>
                <w:sz w:val="21"/>
                <w:szCs w:val="21"/>
              </w:rPr>
            </w:pPr>
            <w:r>
              <w:rPr>
                <w:sz w:val="21"/>
                <w:szCs w:val="21"/>
              </w:rPr>
              <w:t xml:space="preserve"> </w:t>
            </w:r>
            <w:r>
              <w:rPr>
                <w:rFonts w:hint="eastAsia"/>
                <w:sz w:val="21"/>
                <w:szCs w:val="21"/>
              </w:rPr>
              <w:t>N/A</w:t>
            </w:r>
          </w:p>
        </w:tc>
        <w:tc>
          <w:tcPr>
            <w:tcW w:w="4517" w:type="dxa"/>
          </w:tcPr>
          <w:p w14:paraId="4614165F">
            <w:pPr>
              <w:pStyle w:val="26"/>
              <w:rPr>
                <w:sz w:val="21"/>
                <w:szCs w:val="21"/>
              </w:rPr>
            </w:pPr>
            <w:r>
              <w:rPr>
                <w:rFonts w:hint="eastAsia"/>
                <w:sz w:val="21"/>
                <w:szCs w:val="21"/>
              </w:rPr>
              <w:t>Product materials indicate ECG, heart rate, blood oxygen, and activity data. D2 assesses whether a separate authorisation mechanism is provided when health data interact with third-party apps or services. Section 3, “How We Share, Transfer, and Publicly Disclose Your Personal Information,” subsection 3, “Sharing Details,” and the “Third-Party Information-Sharing List” do not identify health data; therefore, the indicator is not applicable (N/A).</w:t>
            </w:r>
          </w:p>
        </w:tc>
        <w:tc>
          <w:tcPr>
            <w:tcW w:w="988" w:type="dxa"/>
            <w:shd w:val="clear" w:color="auto" w:fill="auto"/>
          </w:tcPr>
          <w:p w14:paraId="0BAB08D1">
            <w:pPr>
              <w:pStyle w:val="26"/>
              <w:rPr>
                <w:sz w:val="21"/>
                <w:szCs w:val="21"/>
              </w:rPr>
            </w:pPr>
            <w:r>
              <w:rPr>
                <w:sz w:val="21"/>
                <w:szCs w:val="21"/>
              </w:rPr>
              <w:t xml:space="preserve"> </w:t>
            </w:r>
            <w:r>
              <w:rPr>
                <w:rFonts w:hint="eastAsia"/>
                <w:sz w:val="21"/>
                <w:szCs w:val="21"/>
              </w:rPr>
              <w:t>N/A</w:t>
            </w:r>
          </w:p>
        </w:tc>
        <w:tc>
          <w:tcPr>
            <w:tcW w:w="4398" w:type="dxa"/>
          </w:tcPr>
          <w:p w14:paraId="3B7DE649">
            <w:pPr>
              <w:pStyle w:val="26"/>
              <w:rPr>
                <w:sz w:val="21"/>
                <w:szCs w:val="21"/>
              </w:rPr>
            </w:pPr>
            <w:r>
              <w:rPr>
                <w:rFonts w:hint="eastAsia"/>
                <w:sz w:val="21"/>
                <w:szCs w:val="21"/>
              </w:rPr>
              <w:t>The policy discloses personal-information sharing in Section 3, “How We Share, Transfer, and Publicly Disclose Your Personal Information,” and expressly indicates that the disclosed activity does not involve health data; therefore, the indicator is not applicable (N/A).</w:t>
            </w:r>
          </w:p>
        </w:tc>
      </w:tr>
      <w:tr w14:paraId="63F8D715">
        <w:tblPrEx>
          <w:tblCellMar>
            <w:top w:w="0" w:type="dxa"/>
            <w:left w:w="108" w:type="dxa"/>
            <w:bottom w:w="0" w:type="dxa"/>
            <w:right w:w="108" w:type="dxa"/>
          </w:tblCellMar>
        </w:tblPrEx>
        <w:trPr>
          <w:cantSplit/>
        </w:trPr>
        <w:tc>
          <w:tcPr>
            <w:tcW w:w="795" w:type="dxa"/>
          </w:tcPr>
          <w:p w14:paraId="3AB0B222">
            <w:pPr>
              <w:pStyle w:val="26"/>
              <w:rPr>
                <w:sz w:val="21"/>
                <w:szCs w:val="21"/>
              </w:rPr>
            </w:pPr>
            <w:r>
              <w:rPr>
                <w:sz w:val="21"/>
                <w:szCs w:val="21"/>
              </w:rPr>
              <w:t>AG10</w:t>
            </w:r>
          </w:p>
        </w:tc>
        <w:tc>
          <w:tcPr>
            <w:tcW w:w="885" w:type="dxa"/>
          </w:tcPr>
          <w:p w14:paraId="27AE935A">
            <w:pPr>
              <w:pStyle w:val="26"/>
              <w:rPr>
                <w:sz w:val="21"/>
                <w:szCs w:val="21"/>
              </w:rPr>
            </w:pPr>
            <w:r>
              <w:rPr>
                <w:rFonts w:hint="eastAsia"/>
                <w:sz w:val="21"/>
                <w:szCs w:val="21"/>
              </w:rPr>
              <w:t>N/A</w:t>
            </w:r>
          </w:p>
        </w:tc>
        <w:tc>
          <w:tcPr>
            <w:tcW w:w="2904" w:type="dxa"/>
          </w:tcPr>
          <w:p w14:paraId="6F57A4BB">
            <w:pPr>
              <w:rPr>
                <w:sz w:val="21"/>
                <w:szCs w:val="21"/>
              </w:rPr>
            </w:pPr>
            <w:r>
              <w:rPr>
                <w:rFonts w:hint="eastAsia"/>
                <w:sz w:val="21"/>
                <w:szCs w:val="21"/>
              </w:rPr>
              <w:t>Product materials indicate blood oxygen, blood glucose, and heart rate. The Chinese rationale in the D1 column states that D</w:t>
            </w:r>
            <w:r>
              <w:rPr>
                <w:sz w:val="21"/>
                <w:szCs w:val="21"/>
              </w:rPr>
              <w:t>1</w:t>
            </w:r>
            <w:r>
              <w:rPr>
                <w:rFonts w:hint="eastAsia"/>
                <w:sz w:val="21"/>
                <w:szCs w:val="21"/>
              </w:rPr>
              <w:t xml:space="preserve"> assesses secondary use of health data for AI training, product improvement, or commercial analysis. Although the policy describes secondary use of personal information, it does not involve health data. Article 42, “Improving and Optimising Our Services,” lists device brand/manufacturer/model, terminal type, operating system, device identifiers, application information and events, network type, account ID, system language/time zone, connection time, operation logs, and service logs. These data are used to understand service-use frequency, crashes, overall use, performance, and product origin.</w:t>
            </w:r>
          </w:p>
        </w:tc>
        <w:tc>
          <w:tcPr>
            <w:tcW w:w="996" w:type="dxa"/>
            <w:shd w:val="clear" w:color="auto" w:fill="auto"/>
          </w:tcPr>
          <w:p w14:paraId="10578D40">
            <w:pPr>
              <w:pStyle w:val="26"/>
              <w:rPr>
                <w:sz w:val="21"/>
                <w:szCs w:val="21"/>
              </w:rPr>
            </w:pPr>
            <w:r>
              <w:rPr>
                <w:rFonts w:hint="eastAsia"/>
                <w:sz w:val="21"/>
                <w:szCs w:val="21"/>
              </w:rPr>
              <w:t>Applicable</w:t>
            </w:r>
          </w:p>
        </w:tc>
        <w:tc>
          <w:tcPr>
            <w:tcW w:w="4517" w:type="dxa"/>
          </w:tcPr>
          <w:p w14:paraId="09D298B6">
            <w:pPr>
              <w:pStyle w:val="26"/>
              <w:rPr>
                <w:sz w:val="21"/>
                <w:szCs w:val="21"/>
              </w:rPr>
            </w:pPr>
            <w:r>
              <w:rPr>
                <w:rFonts w:hint="eastAsia"/>
                <w:sz w:val="21"/>
                <w:szCs w:val="21"/>
              </w:rPr>
              <w:t>Product materials indicate blood oxygen, blood glucose, and heart rate. Item 8 states that real-time exercise step counts may be collected, with authorisation, from the phone pedometer, iOS Health permissions, or Android exercise-and-health applications for display on the glasses. The third-party list includes Huawei Health Service SDK, described as a platform for personal profiles and storage/sharing of exercise and health information; listed data include height, weight, steps, distance, calories, maximum oxygen uptake, activity, and exercise data. The source passage is truncated in the Chinese inventory after “exercise…”; the translation does not infer the omitted text.</w:t>
            </w:r>
          </w:p>
        </w:tc>
        <w:tc>
          <w:tcPr>
            <w:tcW w:w="988" w:type="dxa"/>
            <w:shd w:val="clear" w:color="auto" w:fill="auto"/>
          </w:tcPr>
          <w:p w14:paraId="6F392407">
            <w:pPr>
              <w:pStyle w:val="26"/>
              <w:rPr>
                <w:sz w:val="21"/>
                <w:szCs w:val="21"/>
              </w:rPr>
            </w:pPr>
            <w:r>
              <w:rPr>
                <w:rFonts w:hint="eastAsia"/>
                <w:sz w:val="21"/>
                <w:szCs w:val="21"/>
              </w:rPr>
              <w:t>Applicable</w:t>
            </w:r>
          </w:p>
        </w:tc>
        <w:tc>
          <w:tcPr>
            <w:tcW w:w="4398" w:type="dxa"/>
          </w:tcPr>
          <w:p w14:paraId="7E281D4C">
            <w:pPr>
              <w:pStyle w:val="26"/>
              <w:rPr>
                <w:sz w:val="21"/>
                <w:szCs w:val="21"/>
              </w:rPr>
            </w:pPr>
            <w:r>
              <w:rPr>
                <w:rFonts w:hint="eastAsia"/>
                <w:sz w:val="21"/>
                <w:szCs w:val="21"/>
              </w:rPr>
              <w:t>Relevant location: Section 2, “How We Entrust Processing, Share, Transfer, and Publicly Disclose Your Personal Information,” subsection 3, “Third Parties with Whom We Entrust Processing and Share,” including the Huawei Health Service SDK for Android. The list identifies health-data sharing and specifies health-data fields.</w:t>
            </w:r>
          </w:p>
        </w:tc>
      </w:tr>
      <w:tr w14:paraId="122B71A0">
        <w:tblPrEx>
          <w:tblCellMar>
            <w:top w:w="0" w:type="dxa"/>
            <w:left w:w="108" w:type="dxa"/>
            <w:bottom w:w="0" w:type="dxa"/>
            <w:right w:w="108" w:type="dxa"/>
          </w:tblCellMar>
        </w:tblPrEx>
        <w:trPr>
          <w:cantSplit/>
        </w:trPr>
        <w:tc>
          <w:tcPr>
            <w:tcW w:w="795" w:type="dxa"/>
          </w:tcPr>
          <w:p w14:paraId="5C601ED0">
            <w:pPr>
              <w:pStyle w:val="26"/>
              <w:rPr>
                <w:sz w:val="21"/>
                <w:szCs w:val="21"/>
              </w:rPr>
            </w:pPr>
            <w:r>
              <w:rPr>
                <w:sz w:val="21"/>
                <w:szCs w:val="21"/>
              </w:rPr>
              <w:t>AG11</w:t>
            </w:r>
          </w:p>
        </w:tc>
        <w:tc>
          <w:tcPr>
            <w:tcW w:w="885" w:type="dxa"/>
          </w:tcPr>
          <w:p w14:paraId="6E8AF7C3">
            <w:pPr>
              <w:pStyle w:val="26"/>
              <w:rPr>
                <w:sz w:val="21"/>
                <w:szCs w:val="21"/>
              </w:rPr>
            </w:pPr>
            <w:r>
              <w:rPr>
                <w:sz w:val="21"/>
                <w:szCs w:val="21"/>
              </w:rPr>
              <w:t>Insufficient</w:t>
            </w:r>
          </w:p>
        </w:tc>
        <w:tc>
          <w:tcPr>
            <w:tcW w:w="2904" w:type="dxa"/>
          </w:tcPr>
          <w:p w14:paraId="644FEAC0">
            <w:pPr>
              <w:pStyle w:val="18"/>
              <w:keepNext w:val="0"/>
              <w:keepLines w:val="0"/>
              <w:widowControl/>
              <w:suppressLineNumbers w:val="0"/>
              <w:spacing w:before="0" w:beforeAutospacing="1" w:after="0" w:afterAutospacing="1"/>
              <w:ind w:left="0" w:right="0"/>
              <w:rPr>
                <w:sz w:val="21"/>
                <w:szCs w:val="21"/>
              </w:rPr>
            </w:pPr>
            <w:r>
              <w:t>The policy states that personal data may be used for internal audit, data analysis and research, product and service improvement, operational-efficiency analysis and market-share measurement. It separately states that body data are used to calculate exercise results, but does not connect body or health data to the listed secondary-use activities. D1 is therefore Insufficient rather than N/A.</w:t>
            </w:r>
          </w:p>
        </w:tc>
        <w:tc>
          <w:tcPr>
            <w:tcW w:w="996" w:type="dxa"/>
            <w:shd w:val="clear" w:color="auto" w:fill="auto"/>
          </w:tcPr>
          <w:p w14:paraId="68EDABC7">
            <w:pPr>
              <w:pStyle w:val="26"/>
              <w:rPr>
                <w:sz w:val="21"/>
                <w:szCs w:val="21"/>
              </w:rPr>
            </w:pPr>
            <w:r>
              <w:rPr>
                <w:rFonts w:hint="eastAsia"/>
                <w:sz w:val="21"/>
                <w:szCs w:val="21"/>
              </w:rPr>
              <w:t>Applicable</w:t>
            </w:r>
          </w:p>
        </w:tc>
        <w:tc>
          <w:tcPr>
            <w:tcW w:w="4517" w:type="dxa"/>
          </w:tcPr>
          <w:p w14:paraId="00E3DDF1">
            <w:pPr>
              <w:pStyle w:val="18"/>
              <w:keepNext w:val="0"/>
              <w:keepLines w:val="0"/>
              <w:widowControl/>
              <w:suppressLineNumbers w:val="0"/>
              <w:spacing w:before="0" w:beforeAutospacing="1" w:after="0" w:afterAutospacing="1"/>
              <w:ind w:left="0" w:right="0"/>
              <w:rPr>
                <w:sz w:val="21"/>
                <w:szCs w:val="21"/>
              </w:rPr>
            </w:pPr>
            <w:r>
              <w:t>This case contains evidence indicating that the product materials address blood oxygen saturation, blood glucose levels, and heart rate. The case discloses that the Health Kit "may, with your authorization, receive and transmit exercise data"; (i)(vi)(4) Google Fit "requires authorization"; and Section 3.1 "expressly consents."</w:t>
            </w:r>
          </w:p>
        </w:tc>
        <w:tc>
          <w:tcPr>
            <w:tcW w:w="988" w:type="dxa"/>
            <w:shd w:val="clear" w:color="auto" w:fill="auto"/>
          </w:tcPr>
          <w:p w14:paraId="40C62890">
            <w:pPr>
              <w:pStyle w:val="26"/>
              <w:rPr>
                <w:sz w:val="21"/>
                <w:szCs w:val="21"/>
              </w:rPr>
            </w:pPr>
            <w:r>
              <w:rPr>
                <w:rFonts w:hint="eastAsia"/>
                <w:sz w:val="21"/>
                <w:szCs w:val="21"/>
              </w:rPr>
              <w:t>Applicable</w:t>
            </w:r>
          </w:p>
        </w:tc>
        <w:tc>
          <w:tcPr>
            <w:tcW w:w="4398" w:type="dxa"/>
          </w:tcPr>
          <w:p w14:paraId="0D019DBD">
            <w:pPr>
              <w:pStyle w:val="18"/>
              <w:keepNext w:val="0"/>
              <w:keepLines w:val="0"/>
              <w:widowControl/>
              <w:suppressLineNumbers w:val="0"/>
              <w:spacing w:before="0" w:beforeAutospacing="1" w:after="0" w:afterAutospacing="1"/>
              <w:ind w:left="0" w:right="0"/>
            </w:pPr>
            <w:r>
              <w:t>This case has evidence indicating that the product materials being processed involve blood oxygen saturation, blood glucose levels, and heart rate. Case Disclosure 3.1: List the following fields: "steps, distance, height, weight, heart rate, sleep, calories".</w:t>
            </w:r>
          </w:p>
          <w:p w14:paraId="0D0EF721">
            <w:pPr>
              <w:pStyle w:val="26"/>
              <w:rPr>
                <w:sz w:val="21"/>
                <w:szCs w:val="21"/>
              </w:rPr>
            </w:pPr>
          </w:p>
        </w:tc>
      </w:tr>
      <w:tr w14:paraId="322F66F8">
        <w:tblPrEx>
          <w:tblCellMar>
            <w:top w:w="0" w:type="dxa"/>
            <w:left w:w="108" w:type="dxa"/>
            <w:bottom w:w="0" w:type="dxa"/>
            <w:right w:w="108" w:type="dxa"/>
          </w:tblCellMar>
        </w:tblPrEx>
        <w:trPr>
          <w:cantSplit/>
        </w:trPr>
        <w:tc>
          <w:tcPr>
            <w:tcW w:w="795" w:type="dxa"/>
          </w:tcPr>
          <w:p w14:paraId="27B2C94A">
            <w:pPr>
              <w:pStyle w:val="26"/>
              <w:rPr>
                <w:sz w:val="21"/>
                <w:szCs w:val="21"/>
              </w:rPr>
            </w:pPr>
            <w:r>
              <w:rPr>
                <w:sz w:val="21"/>
                <w:szCs w:val="21"/>
              </w:rPr>
              <w:t>AG12</w:t>
            </w:r>
          </w:p>
        </w:tc>
        <w:tc>
          <w:tcPr>
            <w:tcW w:w="885" w:type="dxa"/>
          </w:tcPr>
          <w:p w14:paraId="10E0DE46">
            <w:pPr>
              <w:pStyle w:val="26"/>
              <w:rPr>
                <w:sz w:val="21"/>
                <w:szCs w:val="21"/>
              </w:rPr>
            </w:pPr>
            <w:r>
              <w:rPr>
                <w:rFonts w:hint="eastAsia"/>
                <w:sz w:val="21"/>
                <w:szCs w:val="21"/>
              </w:rPr>
              <w:t>Insufficient</w:t>
            </w:r>
          </w:p>
        </w:tc>
        <w:tc>
          <w:tcPr>
            <w:tcW w:w="2904" w:type="dxa"/>
          </w:tcPr>
          <w:p w14:paraId="1DBBD45C">
            <w:pPr>
              <w:pStyle w:val="26"/>
              <w:rPr>
                <w:sz w:val="21"/>
                <w:szCs w:val="21"/>
              </w:rPr>
            </w:pPr>
            <w:r>
              <w:rPr>
                <w:rFonts w:hint="eastAsia"/>
                <w:sz w:val="21"/>
                <w:szCs w:val="21"/>
              </w:rPr>
              <w:t>The policy refers to service-use analysis, product/service improvement, academic research and related secondary uses but does not establish that they use the health fields assessed in this study.</w:t>
            </w:r>
          </w:p>
        </w:tc>
        <w:tc>
          <w:tcPr>
            <w:tcW w:w="996" w:type="dxa"/>
            <w:shd w:val="clear" w:color="auto" w:fill="auto"/>
          </w:tcPr>
          <w:p w14:paraId="49CE985A">
            <w:pPr>
              <w:pStyle w:val="26"/>
              <w:rPr>
                <w:sz w:val="21"/>
                <w:szCs w:val="21"/>
              </w:rPr>
            </w:pPr>
            <w:r>
              <w:rPr>
                <w:sz w:val="21"/>
                <w:szCs w:val="21"/>
              </w:rPr>
              <w:t>Applicable</w:t>
            </w:r>
            <w:r>
              <w:rPr>
                <w:rFonts w:hint="eastAsia"/>
                <w:sz w:val="21"/>
                <w:szCs w:val="21"/>
              </w:rPr>
            </w:r>
          </w:p>
        </w:tc>
        <w:tc>
          <w:tcPr>
            <w:tcW w:w="4517" w:type="dxa"/>
          </w:tcPr>
          <w:p w14:paraId="15B780C0">
            <w:pPr>
              <w:pStyle w:val="26"/>
              <w:rPr>
                <w:sz w:val="21"/>
                <w:szCs w:val="21"/>
              </w:rPr>
            </w:pPr>
            <w:r>
              <w:rPr>
                <w:rFonts w:hint="eastAsia"/>
                <w:sz w:val="21"/>
                <w:szCs w:val="21"/>
              </w:rPr>
              <w:t>The policy describes third-party account binding and indirect receipt of user-authorised information, but does not fully specify a health-field-specific authorisation interface; D2 is partially met (○).</w:t>
            </w:r>
          </w:p>
        </w:tc>
        <w:tc>
          <w:tcPr>
            <w:tcW w:w="988" w:type="dxa"/>
            <w:shd w:val="clear" w:color="auto" w:fill="auto"/>
          </w:tcPr>
          <w:p w14:paraId="3BD3073D">
            <w:pPr>
              <w:pStyle w:val="26"/>
              <w:rPr>
                <w:sz w:val="21"/>
                <w:szCs w:val="21"/>
              </w:rPr>
            </w:pPr>
            <w:r>
              <w:rPr>
                <w:sz w:val="21"/>
                <w:szCs w:val="21"/>
              </w:rPr>
              <w:t>Applicable</w:t>
            </w:r>
            <w:r>
              <w:rPr>
                <w:rFonts w:hint="eastAsia"/>
                <w:sz w:val="21"/>
                <w:szCs w:val="21"/>
              </w:rPr>
            </w:r>
          </w:p>
        </w:tc>
        <w:tc>
          <w:tcPr>
            <w:tcW w:w="4398" w:type="dxa"/>
          </w:tcPr>
          <w:p w14:paraId="29C97F8F">
            <w:pPr>
              <w:pStyle w:val="26"/>
              <w:rPr>
                <w:sz w:val="21"/>
                <w:szCs w:val="21"/>
              </w:rPr>
            </w:pPr>
            <w:r>
              <w:rPr>
                <w:rFonts w:hint="eastAsia"/>
                <w:sz w:val="21"/>
                <w:szCs w:val="21"/>
              </w:rPr>
              <w:t>The product-specific policy contains a structured SDK table naming developers, purposes/functions, personal-information types and privacy-policy links; D3 is fully met (✓).</w:t>
            </w:r>
          </w:p>
        </w:tc>
      </w:tr>
      <w:tr w14:paraId="73291A5F">
        <w:tblPrEx>
          <w:tblCellMar>
            <w:top w:w="0" w:type="dxa"/>
            <w:left w:w="108" w:type="dxa"/>
            <w:bottom w:w="0" w:type="dxa"/>
            <w:right w:w="108" w:type="dxa"/>
          </w:tblCellMar>
        </w:tblPrEx>
        <w:trPr>
          <w:cantSplit/>
        </w:trPr>
        <w:tc>
          <w:tcPr>
            <w:tcW w:w="795" w:type="dxa"/>
          </w:tcPr>
          <w:p w14:paraId="5F8DFFA6">
            <w:pPr>
              <w:pStyle w:val="26"/>
              <w:rPr>
                <w:sz w:val="21"/>
                <w:szCs w:val="21"/>
              </w:rPr>
            </w:pPr>
            <w:r>
              <w:rPr>
                <w:sz w:val="21"/>
                <w:szCs w:val="21"/>
              </w:rPr>
              <w:t>AG13</w:t>
            </w:r>
          </w:p>
        </w:tc>
        <w:tc>
          <w:tcPr>
            <w:tcW w:w="885" w:type="dxa"/>
          </w:tcPr>
          <w:p w14:paraId="65956F0D">
            <w:pPr>
              <w:pStyle w:val="26"/>
              <w:rPr>
                <w:sz w:val="21"/>
                <w:szCs w:val="21"/>
              </w:rPr>
            </w:pPr>
            <w:r>
              <w:rPr>
                <w:rFonts w:hint="eastAsia"/>
                <w:sz w:val="21"/>
                <w:szCs w:val="21"/>
              </w:rPr>
              <w:t>Insufficient</w:t>
            </w:r>
          </w:p>
        </w:tc>
        <w:tc>
          <w:tcPr>
            <w:tcW w:w="2904" w:type="dxa"/>
          </w:tcPr>
          <w:p w14:paraId="0936DBCC">
            <w:pPr>
              <w:pStyle w:val="26"/>
              <w:rPr>
                <w:sz w:val="21"/>
                <w:szCs w:val="21"/>
              </w:rPr>
            </w:pPr>
            <w:r>
              <w:rPr>
                <w:rFonts w:hint="eastAsia"/>
                <w:sz w:val="21"/>
                <w:szCs w:val="21"/>
              </w:rPr>
              <w:t>The case demonstrates evidence that it can handle heart rate, blood oxygen saturation, and sleep monitoring. The case reveals that it collects your device information (including items such as OAID and Android ID) to provide more tailored services for different device terminals (e.g., push notification services). Simultaneously, it monitors information from other devices running DuerOS within the same WiFi network to enable device interoperability, ensuring that DuerOS services used across different devices are seamlessly integrated, allowing you to enjoy personalized services across multiple terminals. When you use a Xiaodu-connected smart fitness mirror product, the system includes AI motion matching scores, motion result recordings (e.g., step count, stride frequency), and end-screen data (number of workouts, duration, calories burned), which are used to aggregate and display exercise results, track athletic achievements, provide feedback, perform exercise analysis, and recommend relevant courses. The case demonstrates that this capability enables interoperability between multiple devices; the section on data aggregation, fusion, and personalized recommendations explains how the system identifies and analyzes information, performs data profiling, generates tags, and then recommends content based on these tags, search/browsing behavior, device type, and location information. Whether health data is involved is not explicitly stated; therefore, this is classified as "Insufficient."</w:t>
            </w:r>
          </w:p>
        </w:tc>
        <w:tc>
          <w:tcPr>
            <w:tcW w:w="996" w:type="dxa"/>
            <w:shd w:val="clear" w:color="auto" w:fill="auto"/>
          </w:tcPr>
          <w:p w14:paraId="189AD5C9">
            <w:pPr>
              <w:pStyle w:val="26"/>
              <w:rPr>
                <w:sz w:val="21"/>
                <w:szCs w:val="21"/>
              </w:rPr>
            </w:pPr>
            <w:r>
              <w:rPr>
                <w:sz w:val="21"/>
                <w:szCs w:val="21"/>
              </w:rPr>
              <w:t xml:space="preserve"> </w:t>
            </w:r>
            <w:r>
              <w:rPr>
                <w:rFonts w:hint="eastAsia"/>
                <w:sz w:val="21"/>
                <w:szCs w:val="21"/>
              </w:rPr>
              <w:t>Insufficient</w:t>
            </w:r>
          </w:p>
        </w:tc>
        <w:tc>
          <w:tcPr>
            <w:tcW w:w="4517" w:type="dxa"/>
          </w:tcPr>
          <w:p w14:paraId="07084E19">
            <w:pPr>
              <w:pStyle w:val="26"/>
              <w:rPr>
                <w:sz w:val="21"/>
                <w:szCs w:val="21"/>
              </w:rPr>
            </w:pPr>
            <w:r>
              <w:rPr>
                <w:rFonts w:hint="eastAsia"/>
                <w:sz w:val="21"/>
                <w:szCs w:val="21"/>
              </w:rPr>
              <w:t>The case documents heart rate, blood oxygen, and sleep monitoring. Section 3.1.3, “Third Parties with Whom You Actively Choose to Share Personal Information,” states that users may share news, search results, and other content of interest with Baidu, QQ, WeChat, and Weibo friends through DuerOS devices. The policy describes personal-information interactions with third parties but does not specify health information; therefore, applicability is insufficient to determine.</w:t>
            </w:r>
          </w:p>
          <w:p w14:paraId="64A8D2E5">
            <w:pPr>
              <w:pStyle w:val="26"/>
              <w:rPr>
                <w:sz w:val="21"/>
                <w:szCs w:val="21"/>
              </w:rPr>
            </w:pPr>
          </w:p>
        </w:tc>
        <w:tc>
          <w:tcPr>
            <w:tcW w:w="988" w:type="dxa"/>
            <w:shd w:val="clear" w:color="auto" w:fill="auto"/>
          </w:tcPr>
          <w:p w14:paraId="3BAF95C6">
            <w:pPr>
              <w:pStyle w:val="26"/>
              <w:rPr>
                <w:sz w:val="21"/>
                <w:szCs w:val="21"/>
              </w:rPr>
            </w:pPr>
            <w:r>
              <w:rPr>
                <w:sz w:val="21"/>
                <w:szCs w:val="21"/>
              </w:rPr>
              <w:t xml:space="preserve"> </w:t>
            </w:r>
            <w:r>
              <w:rPr>
                <w:rFonts w:hint="eastAsia"/>
                <w:sz w:val="21"/>
                <w:szCs w:val="21"/>
              </w:rPr>
              <w:t>Insufficient</w:t>
            </w:r>
          </w:p>
        </w:tc>
        <w:tc>
          <w:tcPr>
            <w:tcW w:w="4398" w:type="dxa"/>
          </w:tcPr>
          <w:p w14:paraId="5A11AD10">
            <w:pPr>
              <w:pStyle w:val="26"/>
              <w:rPr>
                <w:sz w:val="21"/>
                <w:szCs w:val="21"/>
              </w:rPr>
            </w:pPr>
            <w:r>
              <w:rPr>
                <w:rFonts w:hint="eastAsia"/>
                <w:sz w:val="21"/>
                <w:szCs w:val="21"/>
              </w:rPr>
              <w:t>The case documents heart rate, blood oxygen, and sleep monitoring. D3 assesses whether third-party disclosures identify shared fields and recipients. Sections 3.5, “Third-Party SDKs,” and 3.6, “Entrusted Processing,” disclose personal-information sharing but do not specify health data; therefore, applicability is insufficient to determine.</w:t>
            </w:r>
          </w:p>
        </w:tc>
      </w:tr>
      <w:tr w14:paraId="7E2C92F4">
        <w:tblPrEx>
          <w:tblCellMar>
            <w:top w:w="0" w:type="dxa"/>
            <w:left w:w="108" w:type="dxa"/>
            <w:bottom w:w="0" w:type="dxa"/>
            <w:right w:w="108" w:type="dxa"/>
          </w:tblCellMar>
        </w:tblPrEx>
        <w:trPr>
          <w:cantSplit/>
        </w:trPr>
        <w:tc>
          <w:tcPr>
            <w:tcW w:w="795" w:type="dxa"/>
          </w:tcPr>
          <w:p w14:paraId="0AE5AD5E">
            <w:pPr>
              <w:pStyle w:val="26"/>
              <w:rPr>
                <w:sz w:val="21"/>
                <w:szCs w:val="21"/>
              </w:rPr>
            </w:pPr>
            <w:r>
              <w:rPr>
                <w:sz w:val="21"/>
                <w:szCs w:val="21"/>
              </w:rPr>
              <w:t>AG14</w:t>
            </w:r>
          </w:p>
        </w:tc>
        <w:tc>
          <w:tcPr>
            <w:tcW w:w="885" w:type="dxa"/>
          </w:tcPr>
          <w:p w14:paraId="2838B68F">
            <w:pPr>
              <w:pStyle w:val="26"/>
              <w:rPr>
                <w:sz w:val="21"/>
                <w:szCs w:val="21"/>
              </w:rPr>
            </w:pPr>
            <w:r>
              <w:rPr>
                <w:rFonts w:hint="eastAsia"/>
                <w:sz w:val="21"/>
                <w:szCs w:val="21"/>
              </w:rPr>
              <w:t>N/A</w:t>
            </w:r>
          </w:p>
        </w:tc>
        <w:tc>
          <w:tcPr>
            <w:tcW w:w="2904" w:type="dxa"/>
          </w:tcPr>
          <w:p w14:paraId="22C04366">
            <w:pPr>
              <w:pStyle w:val="26"/>
              <w:rPr>
                <w:sz w:val="21"/>
                <w:szCs w:val="21"/>
              </w:rPr>
            </w:pPr>
            <w:r>
              <w:rPr>
                <w:rFonts w:hint="eastAsia"/>
                <w:sz w:val="21"/>
                <w:szCs w:val="21"/>
              </w:rPr>
              <w:t>Applicable Huawei earbud models are evidenced as involving heart-rate sensing and body-temperature monitoring. Section 1.2.2, “Analysis and Improvement,” states that phone-user information may be analysed and used to improve products and service quality, but does not identify personal information or health information; therefore, the indicator is not applicable (N/A).</w:t>
            </w:r>
          </w:p>
        </w:tc>
        <w:tc>
          <w:tcPr>
            <w:tcW w:w="996" w:type="dxa"/>
            <w:shd w:val="clear" w:color="auto" w:fill="auto"/>
          </w:tcPr>
          <w:p w14:paraId="44E6636A">
            <w:pPr>
              <w:pStyle w:val="26"/>
              <w:rPr>
                <w:sz w:val="21"/>
                <w:szCs w:val="21"/>
              </w:rPr>
            </w:pPr>
            <w:r>
              <w:rPr>
                <w:sz w:val="21"/>
                <w:szCs w:val="21"/>
              </w:rPr>
              <w:t xml:space="preserve"> </w:t>
            </w:r>
            <w:r>
              <w:rPr>
                <w:rFonts w:hint="eastAsia"/>
                <w:sz w:val="21"/>
                <w:szCs w:val="21"/>
              </w:rPr>
              <w:t>N/A</w:t>
            </w:r>
          </w:p>
        </w:tc>
        <w:tc>
          <w:tcPr>
            <w:tcW w:w="4517" w:type="dxa"/>
          </w:tcPr>
          <w:p w14:paraId="5580BEA9">
            <w:pPr>
              <w:pStyle w:val="26"/>
              <w:rPr>
                <w:sz w:val="21"/>
                <w:szCs w:val="21"/>
              </w:rPr>
            </w:pPr>
            <w:r>
              <w:rPr>
                <w:rFonts w:hint="eastAsia"/>
                <w:sz w:val="21"/>
                <w:szCs w:val="21"/>
              </w:rPr>
              <w:t>Applicable Huawei earbud models are evidenced as involving heart-rate sensing and body-temperature monitoring. The policy does not disclose rules for synchronising device or health data with third-party applications, health platforms, or external services.</w:t>
            </w:r>
          </w:p>
        </w:tc>
        <w:tc>
          <w:tcPr>
            <w:tcW w:w="988" w:type="dxa"/>
            <w:shd w:val="clear" w:color="auto" w:fill="auto"/>
          </w:tcPr>
          <w:p w14:paraId="471F3B7A">
            <w:pPr>
              <w:pStyle w:val="26"/>
              <w:rPr>
                <w:sz w:val="21"/>
                <w:szCs w:val="21"/>
              </w:rPr>
            </w:pPr>
            <w:r>
              <w:rPr>
                <w:rFonts w:hint="eastAsia"/>
                <w:sz w:val="21"/>
                <w:szCs w:val="21"/>
              </w:rPr>
              <w:t>N/A</w:t>
            </w:r>
            <w:r>
              <w:rPr>
                <w:sz w:val="21"/>
                <w:szCs w:val="21"/>
              </w:rPr>
              <w:t xml:space="preserve"> </w:t>
            </w:r>
          </w:p>
        </w:tc>
        <w:tc>
          <w:tcPr>
            <w:tcW w:w="4398" w:type="dxa"/>
          </w:tcPr>
          <w:p w14:paraId="1439883F">
            <w:pPr>
              <w:pStyle w:val="26"/>
              <w:rPr>
                <w:sz w:val="21"/>
                <w:szCs w:val="21"/>
              </w:rPr>
            </w:pPr>
            <w:r>
              <w:rPr>
                <w:rFonts w:hint="eastAsia"/>
                <w:sz w:val="21"/>
                <w:szCs w:val="21"/>
              </w:rPr>
              <w:t>Applicable Huawei earbud models are evidenced as involving heart-rate sensing and body-temperature monitoring. The policy does not list third-party SDKs, SDK providers, processing purposes, data fields, or privacy-policy links.</w:t>
            </w:r>
          </w:p>
        </w:tc>
      </w:tr>
      <w:tr w14:paraId="4DC1811F">
        <w:tblPrEx>
          <w:tblCellMar>
            <w:top w:w="0" w:type="dxa"/>
            <w:left w:w="108" w:type="dxa"/>
            <w:bottom w:w="0" w:type="dxa"/>
            <w:right w:w="108" w:type="dxa"/>
          </w:tblCellMar>
        </w:tblPrEx>
        <w:trPr>
          <w:cantSplit/>
        </w:trPr>
        <w:tc>
          <w:tcPr>
            <w:tcW w:w="795" w:type="dxa"/>
          </w:tcPr>
          <w:p w14:paraId="0F0E9214">
            <w:pPr>
              <w:pStyle w:val="26"/>
              <w:rPr>
                <w:sz w:val="21"/>
                <w:szCs w:val="21"/>
              </w:rPr>
            </w:pPr>
            <w:r>
              <w:rPr>
                <w:sz w:val="21"/>
                <w:szCs w:val="21"/>
              </w:rPr>
              <w:t>AG15</w:t>
            </w:r>
          </w:p>
        </w:tc>
        <w:tc>
          <w:tcPr>
            <w:tcW w:w="885" w:type="dxa"/>
          </w:tcPr>
          <w:p w14:paraId="3D06D146">
            <w:pPr>
              <w:pStyle w:val="26"/>
              <w:rPr>
                <w:sz w:val="21"/>
                <w:szCs w:val="21"/>
              </w:rPr>
            </w:pPr>
            <w:r>
              <w:rPr>
                <w:sz w:val="21"/>
                <w:szCs w:val="21"/>
              </w:rPr>
              <w:t xml:space="preserve"> </w:t>
            </w:r>
            <w:r>
              <w:rPr>
                <w:rFonts w:hint="eastAsia"/>
                <w:sz w:val="21"/>
                <w:szCs w:val="21"/>
              </w:rPr>
              <w:t>N/A</w:t>
            </w:r>
          </w:p>
        </w:tc>
        <w:tc>
          <w:tcPr>
            <w:tcW w:w="2904" w:type="dxa"/>
          </w:tcPr>
          <w:p w14:paraId="49973342">
            <w:pPr>
              <w:pStyle w:val="26"/>
              <w:rPr>
                <w:sz w:val="21"/>
                <w:szCs w:val="21"/>
              </w:rPr>
            </w:pPr>
            <w:r>
              <w:rPr>
                <w:rFonts w:hint="eastAsia"/>
                <w:sz w:val="21"/>
                <w:szCs w:val="21"/>
              </w:rPr>
              <w:t>The case documents heart rate and blood oxygen. Baidu Analytics is used to analyse application behaviour and regional distribution to improve services; Bugly is used for crash maintenance and user experience. These are third-party application activities. The policy does not disclose AI/algorithm-model training, automated decision-making, or profiling.</w:t>
            </w:r>
          </w:p>
        </w:tc>
        <w:tc>
          <w:tcPr>
            <w:tcW w:w="996" w:type="dxa"/>
            <w:shd w:val="clear" w:color="auto" w:fill="auto"/>
          </w:tcPr>
          <w:p w14:paraId="48965A18">
            <w:pPr>
              <w:pStyle w:val="26"/>
              <w:rPr>
                <w:sz w:val="21"/>
                <w:szCs w:val="21"/>
              </w:rPr>
            </w:pPr>
            <w:r>
              <w:rPr>
                <w:sz w:val="21"/>
                <w:szCs w:val="21"/>
              </w:rPr>
              <w:t xml:space="preserve"> </w:t>
            </w:r>
            <w:r>
              <w:rPr>
                <w:rFonts w:hint="eastAsia"/>
                <w:sz w:val="21"/>
                <w:szCs w:val="21"/>
              </w:rPr>
              <w:t>Insufficient</w:t>
            </w:r>
          </w:p>
        </w:tc>
        <w:tc>
          <w:tcPr>
            <w:tcW w:w="4517" w:type="dxa"/>
          </w:tcPr>
          <w:p w14:paraId="4B0B32DE">
            <w:pPr>
              <w:pStyle w:val="26"/>
              <w:rPr>
                <w:sz w:val="21"/>
                <w:szCs w:val="21"/>
              </w:rPr>
            </w:pPr>
            <w:r>
              <w:rPr>
                <w:rFonts w:hint="eastAsia"/>
                <w:sz w:val="21"/>
                <w:szCs w:val="21"/>
              </w:rPr>
              <w:t>The case documents heart rate and blood oxygen. Section 4, “How We Share, Transfer, and Publicly Disclose Your Personal Information,” states that personal information may be shared among affiliated companies, but does not specify that this sharing involves health data; therefore, applicability is insufficient to determine.</w:t>
            </w:r>
          </w:p>
        </w:tc>
        <w:tc>
          <w:tcPr>
            <w:tcW w:w="988" w:type="dxa"/>
            <w:shd w:val="clear" w:color="auto" w:fill="auto"/>
          </w:tcPr>
          <w:p w14:paraId="07AB5AEC">
            <w:pPr>
              <w:pStyle w:val="26"/>
              <w:rPr>
                <w:sz w:val="21"/>
                <w:szCs w:val="21"/>
              </w:rPr>
            </w:pPr>
            <w:r>
              <w:rPr>
                <w:sz w:val="21"/>
                <w:szCs w:val="21"/>
              </w:rPr>
              <w:t xml:space="preserve"> </w:t>
            </w:r>
            <w:r>
              <w:rPr>
                <w:rFonts w:hint="eastAsia"/>
                <w:sz w:val="21"/>
                <w:szCs w:val="21"/>
              </w:rPr>
              <w:t>Insufficient</w:t>
            </w:r>
          </w:p>
        </w:tc>
        <w:tc>
          <w:tcPr>
            <w:tcW w:w="4398" w:type="dxa"/>
          </w:tcPr>
          <w:p w14:paraId="53CBD544">
            <w:pPr>
              <w:pStyle w:val="26"/>
              <w:rPr>
                <w:sz w:val="21"/>
                <w:szCs w:val="21"/>
              </w:rPr>
            </w:pPr>
            <w:r>
              <w:rPr>
                <w:rFonts w:hint="eastAsia"/>
                <w:sz w:val="21"/>
                <w:szCs w:val="21"/>
              </w:rPr>
              <w:t>The case documents heart rate and blood oxygen. Section 4, “How We Share, Transfer, and Publicly Disclose Your Personal Information,” states that personal information may be shared among affiliated companies, but does not specify that this sharing involves health data; therefore, applicability is insufficient to determine.</w:t>
            </w:r>
          </w:p>
        </w:tc>
      </w:tr>
      <w:tr w14:paraId="2842349E">
        <w:tblPrEx>
          <w:tblCellMar>
            <w:top w:w="0" w:type="dxa"/>
            <w:left w:w="108" w:type="dxa"/>
            <w:bottom w:w="0" w:type="dxa"/>
            <w:right w:w="108" w:type="dxa"/>
          </w:tblCellMar>
        </w:tblPrEx>
        <w:trPr>
          <w:cantSplit/>
        </w:trPr>
        <w:tc>
          <w:tcPr>
            <w:tcW w:w="795" w:type="dxa"/>
          </w:tcPr>
          <w:p w14:paraId="13835FED">
            <w:pPr>
              <w:pStyle w:val="26"/>
              <w:rPr>
                <w:sz w:val="21"/>
                <w:szCs w:val="21"/>
              </w:rPr>
            </w:pPr>
            <w:r>
              <w:rPr>
                <w:sz w:val="21"/>
                <w:szCs w:val="21"/>
              </w:rPr>
              <w:t>AG16</w:t>
            </w:r>
          </w:p>
        </w:tc>
        <w:tc>
          <w:tcPr>
            <w:tcW w:w="885" w:type="dxa"/>
          </w:tcPr>
          <w:p w14:paraId="3203BC86">
            <w:pPr>
              <w:pStyle w:val="26"/>
              <w:rPr>
                <w:sz w:val="21"/>
                <w:szCs w:val="21"/>
              </w:rPr>
            </w:pPr>
            <w:r>
              <w:rPr>
                <w:rFonts w:hint="eastAsia"/>
                <w:sz w:val="21"/>
                <w:szCs w:val="21"/>
              </w:rPr>
              <w:t>Insufficient</w:t>
            </w:r>
          </w:p>
        </w:tc>
        <w:tc>
          <w:tcPr>
            <w:tcW w:w="2904" w:type="dxa"/>
          </w:tcPr>
          <w:p w14:paraId="546427B6">
            <w:pPr>
              <w:pStyle w:val="26"/>
              <w:rPr>
                <w:sz w:val="21"/>
                <w:szCs w:val="21"/>
              </w:rPr>
            </w:pPr>
            <w:r>
              <w:rPr>
                <w:rFonts w:hint="eastAsia"/>
                <w:sz w:val="21"/>
                <w:szCs w:val="21"/>
              </w:rPr>
              <w:t>The case documents heart rate. The policy states that swimming-activity data are used for activity monitoring, data analysis, and performance display. To analyse and improve service quality, it may collect non-identifying information such as visits to specific pages, time spent, and button clicks, and may combine such information with personal information. Secondary use of personal information is disclosed, but the activity is not specified as involving health data.</w:t>
            </w:r>
          </w:p>
        </w:tc>
        <w:tc>
          <w:tcPr>
            <w:tcW w:w="996" w:type="dxa"/>
            <w:shd w:val="clear" w:color="auto" w:fill="auto"/>
          </w:tcPr>
          <w:p w14:paraId="21545274">
            <w:pPr>
              <w:pStyle w:val="26"/>
              <w:rPr>
                <w:sz w:val="21"/>
                <w:szCs w:val="21"/>
              </w:rPr>
            </w:pPr>
            <w:r>
              <w:rPr>
                <w:rFonts w:hint="eastAsia"/>
                <w:sz w:val="21"/>
                <w:szCs w:val="21"/>
              </w:rPr>
              <w:t>Insufficient</w:t>
            </w:r>
          </w:p>
        </w:tc>
        <w:tc>
          <w:tcPr>
            <w:tcW w:w="4517" w:type="dxa"/>
          </w:tcPr>
          <w:p w14:paraId="3AEBDDBE">
            <w:pPr>
              <w:pStyle w:val="26"/>
              <w:rPr>
                <w:sz w:val="21"/>
                <w:szCs w:val="21"/>
              </w:rPr>
            </w:pPr>
            <w:r>
              <w:rPr>
                <w:rFonts w:hint="eastAsia"/>
                <w:sz w:val="21"/>
                <w:szCs w:val="21"/>
              </w:rPr>
              <w:t>The case documents heart rate. The policy states that necessary personal information may be shared with third-party service providers or other business partners (Section 3, “How We Share, Transfer, and Publicly Disclose Your Information”), but does not specify health data.</w:t>
            </w:r>
          </w:p>
        </w:tc>
        <w:tc>
          <w:tcPr>
            <w:tcW w:w="988" w:type="dxa"/>
            <w:shd w:val="clear" w:color="auto" w:fill="auto"/>
          </w:tcPr>
          <w:p w14:paraId="05A6A54F">
            <w:pPr>
              <w:pStyle w:val="26"/>
              <w:rPr>
                <w:sz w:val="21"/>
                <w:szCs w:val="21"/>
              </w:rPr>
            </w:pPr>
            <w:r>
              <w:rPr>
                <w:rFonts w:hint="eastAsia"/>
                <w:sz w:val="21"/>
                <w:szCs w:val="21"/>
              </w:rPr>
              <w:t>Insufficient</w:t>
            </w:r>
          </w:p>
        </w:tc>
        <w:tc>
          <w:tcPr>
            <w:tcW w:w="4398" w:type="dxa"/>
          </w:tcPr>
          <w:p w14:paraId="65206EA9">
            <w:pPr>
              <w:pStyle w:val="26"/>
              <w:rPr>
                <w:sz w:val="21"/>
                <w:szCs w:val="21"/>
              </w:rPr>
            </w:pPr>
            <w:r>
              <w:rPr>
                <w:rFonts w:hint="eastAsia"/>
                <w:sz w:val="21"/>
                <w:szCs w:val="21"/>
              </w:rPr>
              <w:t>The policy states that necessary personal information may be shared with third-party service providers or business partners and refers to a “List of Personal Information Shared with Third Parties,” but does not specify that the activity involves health data.</w:t>
            </w:r>
          </w:p>
        </w:tc>
      </w:tr>
      <w:tr w14:paraId="256CAE34">
        <w:tblPrEx>
          <w:tblCellMar>
            <w:top w:w="0" w:type="dxa"/>
            <w:left w:w="108" w:type="dxa"/>
            <w:bottom w:w="0" w:type="dxa"/>
            <w:right w:w="108" w:type="dxa"/>
          </w:tblCellMar>
        </w:tblPrEx>
        <w:trPr>
          <w:cantSplit/>
        </w:trPr>
        <w:tc>
          <w:tcPr>
            <w:tcW w:w="795" w:type="dxa"/>
          </w:tcPr>
          <w:p w14:paraId="0EE96878">
            <w:pPr>
              <w:pStyle w:val="26"/>
              <w:rPr>
                <w:sz w:val="21"/>
                <w:szCs w:val="21"/>
              </w:rPr>
            </w:pPr>
            <w:r>
              <w:rPr>
                <w:sz w:val="21"/>
                <w:szCs w:val="21"/>
              </w:rPr>
              <w:t>AG17</w:t>
            </w:r>
          </w:p>
        </w:tc>
        <w:tc>
          <w:tcPr>
            <w:tcW w:w="885" w:type="dxa"/>
          </w:tcPr>
          <w:p w14:paraId="2B59799E">
            <w:pPr>
              <w:pStyle w:val="26"/>
              <w:rPr>
                <w:sz w:val="21"/>
                <w:szCs w:val="21"/>
              </w:rPr>
            </w:pPr>
            <w:r>
              <w:rPr>
                <w:rFonts w:hint="eastAsia"/>
                <w:sz w:val="21"/>
                <w:szCs w:val="21"/>
              </w:rPr>
              <w:t>Insufficient</w:t>
            </w:r>
          </w:p>
        </w:tc>
        <w:tc>
          <w:tcPr>
            <w:tcW w:w="2904" w:type="dxa"/>
          </w:tcPr>
          <w:p w14:paraId="229B7AD1">
            <w:pPr>
              <w:pStyle w:val="26"/>
              <w:rPr>
                <w:sz w:val="21"/>
                <w:szCs w:val="21"/>
              </w:rPr>
            </w:pPr>
            <w:r>
              <w:rPr>
                <w:rFonts w:hint="eastAsia"/>
                <w:sz w:val="21"/>
                <w:szCs w:val="21"/>
              </w:rPr>
              <w:t>The case documents heart rate, blood oxygen, and stress. The policy states that information may be shared among subsidiaries or affiliates to provide product services and functions, conduct data analysis, security testing, and user research, and carry out necessary business operations, including product evaluation and improvement. It does not specify that this activity involves health data.</w:t>
            </w:r>
          </w:p>
        </w:tc>
        <w:tc>
          <w:tcPr>
            <w:tcW w:w="996" w:type="dxa"/>
            <w:shd w:val="clear" w:color="auto" w:fill="auto"/>
          </w:tcPr>
          <w:p w14:paraId="41C3644A">
            <w:pPr>
              <w:pStyle w:val="26"/>
              <w:rPr>
                <w:sz w:val="21"/>
                <w:szCs w:val="21"/>
              </w:rPr>
            </w:pPr>
            <w:r>
              <w:rPr>
                <w:rFonts w:hint="eastAsia"/>
                <w:sz w:val="21"/>
                <w:szCs w:val="21"/>
              </w:rPr>
              <w:t>N/A</w:t>
            </w:r>
          </w:p>
        </w:tc>
        <w:tc>
          <w:tcPr>
            <w:tcW w:w="4517" w:type="dxa"/>
          </w:tcPr>
          <w:p w14:paraId="7FEB45D8">
            <w:pPr>
              <w:pStyle w:val="26"/>
              <w:rPr>
                <w:sz w:val="21"/>
                <w:szCs w:val="21"/>
              </w:rPr>
            </w:pPr>
            <w:r>
              <w:rPr>
                <w:rFonts w:hint="eastAsia"/>
                <w:sz w:val="21"/>
                <w:szCs w:val="21"/>
              </w:rPr>
              <w:t>The case documents heart rate, blood oxygen, and stress. The policy lists ten third-party SDKs involving personal-information interactions, but the described activity does not involve health data.</w:t>
            </w:r>
          </w:p>
        </w:tc>
        <w:tc>
          <w:tcPr>
            <w:tcW w:w="988" w:type="dxa"/>
            <w:shd w:val="clear" w:color="auto" w:fill="auto"/>
          </w:tcPr>
          <w:p w14:paraId="7FE35CEF">
            <w:pPr>
              <w:pStyle w:val="26"/>
              <w:rPr>
                <w:sz w:val="21"/>
                <w:szCs w:val="21"/>
              </w:rPr>
            </w:pPr>
            <w:r>
              <w:rPr>
                <w:rFonts w:hint="eastAsia"/>
                <w:sz w:val="21"/>
                <w:szCs w:val="21"/>
              </w:rPr>
              <w:t>N/A</w:t>
            </w:r>
          </w:p>
        </w:tc>
        <w:tc>
          <w:tcPr>
            <w:tcW w:w="4398" w:type="dxa"/>
          </w:tcPr>
          <w:p w14:paraId="50714B90">
            <w:pPr>
              <w:pStyle w:val="26"/>
              <w:rPr>
                <w:sz w:val="21"/>
                <w:szCs w:val="21"/>
              </w:rPr>
            </w:pPr>
            <w:r>
              <w:rPr>
                <w:rFonts w:hint="eastAsia"/>
                <w:sz w:val="21"/>
                <w:szCs w:val="21"/>
              </w:rPr>
              <w:t>The case documents heart rate, blood oxygen, and stress. The policy lists ten third-party SDKs and provides a detailed sharing list, but the list does not identify health data.</w:t>
            </w:r>
          </w:p>
        </w:tc>
      </w:tr>
      <w:tr w14:paraId="6A20231E">
        <w:tblPrEx>
          <w:tblCellMar>
            <w:top w:w="0" w:type="dxa"/>
            <w:left w:w="108" w:type="dxa"/>
            <w:bottom w:w="0" w:type="dxa"/>
            <w:right w:w="108" w:type="dxa"/>
          </w:tblCellMar>
        </w:tblPrEx>
        <w:trPr>
          <w:cantSplit/>
        </w:trPr>
        <w:tc>
          <w:tcPr>
            <w:tcW w:w="795" w:type="dxa"/>
          </w:tcPr>
          <w:p w14:paraId="5563C107">
            <w:pPr>
              <w:pStyle w:val="26"/>
              <w:rPr>
                <w:sz w:val="21"/>
                <w:szCs w:val="21"/>
              </w:rPr>
            </w:pPr>
            <w:r>
              <w:rPr>
                <w:sz w:val="21"/>
                <w:szCs w:val="21"/>
              </w:rPr>
              <w:t>AG18</w:t>
            </w:r>
          </w:p>
        </w:tc>
        <w:tc>
          <w:tcPr>
            <w:tcW w:w="885" w:type="dxa"/>
          </w:tcPr>
          <w:p w14:paraId="6EF115F6">
            <w:pPr>
              <w:pStyle w:val="26"/>
              <w:rPr>
                <w:sz w:val="21"/>
                <w:szCs w:val="21"/>
              </w:rPr>
            </w:pPr>
            <w:r>
              <w:rPr>
                <w:rFonts w:hint="eastAsia"/>
                <w:sz w:val="21"/>
                <w:szCs w:val="21"/>
              </w:rPr>
              <w:t>Applicable</w:t>
            </w:r>
          </w:p>
        </w:tc>
        <w:tc>
          <w:tcPr>
            <w:tcW w:w="2904" w:type="dxa"/>
          </w:tcPr>
          <w:p w14:paraId="31E47834">
            <w:pPr>
              <w:rPr>
                <w:sz w:val="21"/>
                <w:szCs w:val="21"/>
              </w:rPr>
            </w:pPr>
            <w:r>
              <w:rPr>
                <w:rFonts w:hint="eastAsia"/>
                <w:sz w:val="21"/>
                <w:szCs w:val="21"/>
              </w:rPr>
              <w:t>The case documents heart rate, blood oxygen monitoring, and related health data. It states that cervical-spine and hearing-health data are collected to generate personalised health-assessment reports, provide advice on proper use, and optimise product functions.</w:t>
            </w:r>
          </w:p>
        </w:tc>
        <w:tc>
          <w:tcPr>
            <w:tcW w:w="996" w:type="dxa"/>
            <w:shd w:val="clear" w:color="auto" w:fill="auto"/>
          </w:tcPr>
          <w:p w14:paraId="24E423B5">
            <w:pPr>
              <w:pStyle w:val="26"/>
              <w:rPr>
                <w:sz w:val="21"/>
                <w:szCs w:val="21"/>
              </w:rPr>
            </w:pPr>
            <w:r>
              <w:rPr>
                <w:rFonts w:hint="eastAsia"/>
                <w:sz w:val="21"/>
                <w:szCs w:val="21"/>
              </w:rPr>
              <w:t>Insufficient</w:t>
            </w:r>
          </w:p>
        </w:tc>
        <w:tc>
          <w:tcPr>
            <w:tcW w:w="4517" w:type="dxa"/>
          </w:tcPr>
          <w:p w14:paraId="5F3A8ECC">
            <w:pPr>
              <w:pStyle w:val="26"/>
              <w:rPr>
                <w:sz w:val="21"/>
                <w:szCs w:val="21"/>
              </w:rPr>
            </w:pPr>
            <w:r>
              <w:rPr>
                <w:rFonts w:hint="eastAsia"/>
                <w:sz w:val="21"/>
                <w:szCs w:val="21"/>
              </w:rPr>
              <w:t>The case documents heart rate, blood oxygen monitoring, and related health data. It discloses personal-information interactions with third-party applications (including the statement “The following third-party SDKs are integrated into our application…”), but does not specify that the activity involves health information; therefore, applicability is insufficient to determine.</w:t>
            </w:r>
          </w:p>
        </w:tc>
        <w:tc>
          <w:tcPr>
            <w:tcW w:w="988" w:type="dxa"/>
            <w:shd w:val="clear" w:color="auto" w:fill="auto"/>
          </w:tcPr>
          <w:p w14:paraId="64852337">
            <w:pPr>
              <w:pStyle w:val="26"/>
              <w:rPr>
                <w:sz w:val="21"/>
                <w:szCs w:val="21"/>
              </w:rPr>
            </w:pPr>
            <w:r>
              <w:rPr>
                <w:rFonts w:hint="eastAsia"/>
                <w:sz w:val="21"/>
                <w:szCs w:val="21"/>
              </w:rPr>
              <w:t>Insufficient</w:t>
            </w:r>
          </w:p>
        </w:tc>
        <w:tc>
          <w:tcPr>
            <w:tcW w:w="4398" w:type="dxa"/>
          </w:tcPr>
          <w:p w14:paraId="62A4DF87">
            <w:pPr>
              <w:pStyle w:val="26"/>
              <w:rPr>
                <w:sz w:val="21"/>
                <w:szCs w:val="21"/>
              </w:rPr>
            </w:pPr>
            <w:r>
              <w:rPr>
                <w:rFonts w:hint="eastAsia"/>
                <w:sz w:val="21"/>
                <w:szCs w:val="21"/>
              </w:rPr>
              <w:t>The case documents heart rate, blood oxygen monitoring, and related health data. It provides a detailed third-party SDK list containing SDK names, companies, purposes/scenarios, personal-information types, links, and processing methods, but does not specify that the activity involves health data; therefore, applicability is insufficient to determine.</w:t>
            </w:r>
          </w:p>
        </w:tc>
      </w:tr>
    </w:tbl>
    <w:p w14:paraId="6DF0375F">
      <w:pPr>
        <w:pStyle w:val="3"/>
      </w:pPr>
    </w:p>
    <w:p w14:paraId="338932EB">
      <w:pPr>
        <w:pStyle w:val="3"/>
      </w:pPr>
    </w:p>
    <w:p w14:paraId="31734181">
      <w:pPr>
        <w:pStyle w:val="3"/>
      </w:pPr>
    </w:p>
    <w:p w14:paraId="2DA4CD6D">
      <w:pPr>
        <w:pStyle w:val="3"/>
        <w:rPr>
          <w:rFonts w:asciiTheme="majorHAnsi" w:hAnsiTheme="majorHAnsi" w:eastAsiaTheme="majorEastAsia" w:cstheme="majorBidi"/>
          <w:color w:val="104862" w:themeColor="accent1" w:themeShade="BF"/>
          <w:sz w:val="40"/>
          <w:szCs w:val="40"/>
        </w:rPr>
      </w:pPr>
      <w:r>
        <w:rPr>
          <w:rFonts w:hint="eastAsia" w:asciiTheme="majorHAnsi" w:hAnsiTheme="majorHAnsi" w:eastAsiaTheme="majorEastAsia" w:cstheme="majorBidi"/>
          <w:color w:val="104862" w:themeColor="accent1" w:themeShade="BF"/>
          <w:sz w:val="40"/>
          <w:szCs w:val="40"/>
          <w:lang w:val="en-US" w:eastAsia="zh-CN"/>
        </w:rPr>
        <w:t>5</w:t>
      </w:r>
      <w:r>
        <w:rPr>
          <w:rFonts w:hint="eastAsia" w:asciiTheme="majorHAnsi" w:hAnsiTheme="majorHAnsi" w:eastAsiaTheme="majorEastAsia" w:cstheme="majorBidi"/>
          <w:color w:val="104862" w:themeColor="accent1" w:themeShade="BF"/>
          <w:sz w:val="40"/>
          <w:szCs w:val="40"/>
        </w:rPr>
        <w:t xml:space="preserve">.3 summary sheet </w:t>
      </w:r>
    </w:p>
    <w:tbl>
      <w:tblPr>
        <w:tblStyle w:val="43"/>
        <w:tblW w:w="0" w:type="auto"/>
        <w:tblInd w:w="0" w:type="dxa"/>
        <w:tblLayout w:type="autofit"/>
        <w:tblCellMar>
          <w:top w:w="0" w:type="dxa"/>
          <w:left w:w="108" w:type="dxa"/>
          <w:bottom w:w="0" w:type="dxa"/>
          <w:right w:w="108" w:type="dxa"/>
        </w:tblCellMar>
      </w:tblPr>
      <w:tblGrid>
        <w:gridCol w:w="1154"/>
        <w:gridCol w:w="1327"/>
        <w:gridCol w:w="1374"/>
        <w:gridCol w:w="644"/>
        <w:gridCol w:w="1615"/>
      </w:tblGrid>
      <w:tr w14:paraId="59CE7073">
        <w:tblPrEx>
          <w:tblCellMar>
            <w:top w:w="0" w:type="dxa"/>
            <w:left w:w="108" w:type="dxa"/>
            <w:bottom w:w="0" w:type="dxa"/>
            <w:right w:w="108" w:type="dxa"/>
          </w:tblCellMar>
        </w:tblPrEx>
        <w:trPr>
          <w:trHeight w:val="401" w:hRule="atLeast"/>
          <w:tblHeader/>
        </w:trPr>
        <w:tc>
          <w:tcPr>
            <w:tcW w:w="0" w:type="auto"/>
            <w:tcBorders>
              <w:bottom w:val="single" w:color="auto" w:sz="0" w:space="0"/>
              <w:insideH w:val="single" w:sz="0" w:space="0"/>
            </w:tcBorders>
            <w:vAlign w:val="bottom"/>
          </w:tcPr>
          <w:p w14:paraId="2669A717">
            <w:pPr>
              <w:pStyle w:val="26"/>
            </w:pPr>
            <w:r>
              <w:rPr>
                <w:rFonts w:hint="eastAsia"/>
              </w:rPr>
              <w:t>Indicator</w:t>
            </w:r>
          </w:p>
        </w:tc>
        <w:tc>
          <w:tcPr>
            <w:tcW w:w="0" w:type="auto"/>
            <w:tcBorders>
              <w:bottom w:val="single" w:color="auto" w:sz="0" w:space="0"/>
              <w:insideH w:val="single" w:sz="0" w:space="0"/>
            </w:tcBorders>
            <w:vAlign w:val="bottom"/>
          </w:tcPr>
          <w:p w14:paraId="3E3BE4B0">
            <w:pPr>
              <w:pStyle w:val="26"/>
            </w:pPr>
            <w:r>
              <w:t>Applicable</w:t>
            </w:r>
          </w:p>
        </w:tc>
        <w:tc>
          <w:tcPr>
            <w:tcW w:w="0" w:type="auto"/>
            <w:tcBorders>
              <w:bottom w:val="single" w:color="auto" w:sz="0" w:space="0"/>
              <w:insideH w:val="single" w:sz="0" w:space="0"/>
            </w:tcBorders>
            <w:vAlign w:val="bottom"/>
          </w:tcPr>
          <w:p w14:paraId="1AC10AC8">
            <w:pPr>
              <w:pStyle w:val="26"/>
            </w:pPr>
            <w:r>
              <w:t>Insufficient</w:t>
            </w:r>
          </w:p>
        </w:tc>
        <w:tc>
          <w:tcPr>
            <w:tcW w:w="0" w:type="auto"/>
            <w:tcBorders>
              <w:bottom w:val="single" w:color="auto" w:sz="0" w:space="0"/>
              <w:insideH w:val="single" w:sz="0" w:space="0"/>
            </w:tcBorders>
            <w:vAlign w:val="bottom"/>
          </w:tcPr>
          <w:p w14:paraId="7AC76222">
            <w:pPr>
              <w:pStyle w:val="26"/>
            </w:pPr>
            <w:r>
              <w:t>N/A</w:t>
            </w:r>
          </w:p>
        </w:tc>
        <w:tc>
          <w:tcPr>
            <w:tcW w:w="0" w:type="auto"/>
            <w:tcBorders>
              <w:bottom w:val="single" w:color="auto" w:sz="0" w:space="0"/>
              <w:insideH w:val="single" w:sz="0" w:space="0"/>
            </w:tcBorders>
            <w:vAlign w:val="bottom"/>
          </w:tcPr>
          <w:p w14:paraId="4E0CBD7E">
            <w:pPr>
              <w:pStyle w:val="26"/>
            </w:pPr>
            <w:r>
              <w:rPr>
                <w:rFonts w:hint="eastAsia"/>
              </w:rPr>
              <w:t>Denominator</w:t>
            </w:r>
          </w:p>
        </w:tc>
      </w:tr>
      <w:tr w14:paraId="7B1A03FB">
        <w:tblPrEx>
          <w:tblCellMar>
            <w:top w:w="0" w:type="dxa"/>
            <w:left w:w="108" w:type="dxa"/>
            <w:bottom w:w="0" w:type="dxa"/>
            <w:right w:w="108" w:type="dxa"/>
          </w:tblCellMar>
        </w:tblPrEx>
        <w:trPr>
          <w:trHeight w:val="393" w:hRule="atLeast"/>
        </w:trPr>
        <w:tc>
          <w:tcPr>
            <w:tcW w:w="0" w:type="auto"/>
          </w:tcPr>
          <w:p w14:paraId="5FBCD846">
            <w:pPr>
              <w:pStyle w:val="26"/>
            </w:pPr>
            <w:r>
              <w:t>A1</w:t>
            </w:r>
          </w:p>
        </w:tc>
        <w:tc>
          <w:tcPr>
            <w:tcW w:w="0" w:type="auto"/>
          </w:tcPr>
          <w:p w14:paraId="6AC1CFDE">
            <w:pPr>
              <w:pStyle w:val="26"/>
            </w:pPr>
            <w:r>
              <w:rPr>
                <w:rFonts w:hint="eastAsia"/>
              </w:rPr>
              <w:t>18</w:t>
            </w:r>
          </w:p>
        </w:tc>
        <w:tc>
          <w:tcPr>
            <w:tcW w:w="0" w:type="auto"/>
          </w:tcPr>
          <w:p w14:paraId="28505AB5">
            <w:pPr>
              <w:pStyle w:val="26"/>
            </w:pPr>
            <w:r>
              <w:rPr>
                <w:rFonts w:hint="eastAsia"/>
              </w:rPr>
              <w:t>0</w:t>
            </w:r>
          </w:p>
        </w:tc>
        <w:tc>
          <w:tcPr>
            <w:tcW w:w="0" w:type="auto"/>
          </w:tcPr>
          <w:p w14:paraId="2DB48A2D">
            <w:pPr>
              <w:pStyle w:val="26"/>
            </w:pPr>
            <w:r>
              <w:rPr>
                <w:rFonts w:hint="eastAsia"/>
              </w:rPr>
              <w:t>0</w:t>
            </w:r>
          </w:p>
        </w:tc>
        <w:tc>
          <w:tcPr>
            <w:tcW w:w="0" w:type="auto"/>
            <w:shd w:val="clear" w:color="auto" w:fill="auto"/>
          </w:tcPr>
          <w:p w14:paraId="0225B193">
            <w:pPr>
              <w:pStyle w:val="26"/>
            </w:pPr>
            <w:r>
              <w:rPr>
                <w:rFonts w:hint="eastAsia"/>
              </w:rPr>
              <w:t>18</w:t>
            </w:r>
          </w:p>
        </w:tc>
      </w:tr>
      <w:tr w14:paraId="27B6E3F9">
        <w:tblPrEx>
          <w:tblCellMar>
            <w:top w:w="0" w:type="dxa"/>
            <w:left w:w="108" w:type="dxa"/>
            <w:bottom w:w="0" w:type="dxa"/>
            <w:right w:w="108" w:type="dxa"/>
          </w:tblCellMar>
        </w:tblPrEx>
        <w:trPr>
          <w:trHeight w:val="393" w:hRule="atLeast"/>
        </w:trPr>
        <w:tc>
          <w:tcPr>
            <w:tcW w:w="0" w:type="auto"/>
          </w:tcPr>
          <w:p w14:paraId="30179B24">
            <w:pPr>
              <w:pStyle w:val="26"/>
            </w:pPr>
            <w:r>
              <w:t>A2</w:t>
            </w:r>
          </w:p>
        </w:tc>
        <w:tc>
          <w:tcPr>
            <w:tcW w:w="0" w:type="auto"/>
          </w:tcPr>
          <w:p w14:paraId="14A76E27">
            <w:pPr>
              <w:pStyle w:val="26"/>
            </w:pPr>
            <w:r>
              <w:rPr>
                <w:rFonts w:hint="eastAsia"/>
              </w:rPr>
              <w:t>18</w:t>
            </w:r>
          </w:p>
        </w:tc>
        <w:tc>
          <w:tcPr>
            <w:tcW w:w="0" w:type="auto"/>
          </w:tcPr>
          <w:p w14:paraId="763978E0">
            <w:pPr>
              <w:pStyle w:val="26"/>
            </w:pPr>
            <w:r>
              <w:rPr>
                <w:rFonts w:hint="eastAsia"/>
              </w:rPr>
              <w:t>0</w:t>
            </w:r>
          </w:p>
        </w:tc>
        <w:tc>
          <w:tcPr>
            <w:tcW w:w="0" w:type="auto"/>
          </w:tcPr>
          <w:p w14:paraId="15DF17BF">
            <w:pPr>
              <w:pStyle w:val="26"/>
            </w:pPr>
            <w:r>
              <w:rPr>
                <w:rFonts w:hint="eastAsia"/>
              </w:rPr>
              <w:t>0</w:t>
            </w:r>
          </w:p>
        </w:tc>
        <w:tc>
          <w:tcPr>
            <w:tcW w:w="0" w:type="auto"/>
            <w:shd w:val="clear" w:color="auto" w:fill="auto"/>
          </w:tcPr>
          <w:p w14:paraId="2A9EC34B">
            <w:pPr>
              <w:pStyle w:val="26"/>
            </w:pPr>
            <w:r>
              <w:rPr>
                <w:rFonts w:hint="eastAsia"/>
              </w:rPr>
              <w:t>18</w:t>
            </w:r>
          </w:p>
        </w:tc>
      </w:tr>
      <w:tr w14:paraId="6DE53D6E">
        <w:tblPrEx>
          <w:tblCellMar>
            <w:top w:w="0" w:type="dxa"/>
            <w:left w:w="108" w:type="dxa"/>
            <w:bottom w:w="0" w:type="dxa"/>
            <w:right w:w="108" w:type="dxa"/>
          </w:tblCellMar>
        </w:tblPrEx>
        <w:trPr>
          <w:trHeight w:val="393" w:hRule="atLeast"/>
        </w:trPr>
        <w:tc>
          <w:tcPr>
            <w:tcW w:w="0" w:type="auto"/>
          </w:tcPr>
          <w:p w14:paraId="2E548520">
            <w:pPr>
              <w:pStyle w:val="26"/>
            </w:pPr>
            <w:r>
              <w:t>A3</w:t>
            </w:r>
          </w:p>
        </w:tc>
        <w:tc>
          <w:tcPr>
            <w:tcW w:w="0" w:type="auto"/>
          </w:tcPr>
          <w:p w14:paraId="7B83E2E8">
            <w:pPr>
              <w:pStyle w:val="26"/>
            </w:pPr>
            <w:r>
              <w:rPr>
                <w:rFonts w:hint="eastAsia"/>
              </w:rPr>
              <w:t>18</w:t>
            </w:r>
          </w:p>
        </w:tc>
        <w:tc>
          <w:tcPr>
            <w:tcW w:w="0" w:type="auto"/>
          </w:tcPr>
          <w:p w14:paraId="0DA4C6A9">
            <w:pPr>
              <w:pStyle w:val="26"/>
            </w:pPr>
            <w:r>
              <w:rPr>
                <w:rFonts w:hint="eastAsia"/>
              </w:rPr>
              <w:t>0</w:t>
            </w:r>
          </w:p>
        </w:tc>
        <w:tc>
          <w:tcPr>
            <w:tcW w:w="0" w:type="auto"/>
          </w:tcPr>
          <w:p w14:paraId="0565F5EC">
            <w:pPr>
              <w:pStyle w:val="26"/>
            </w:pPr>
            <w:r>
              <w:rPr>
                <w:rFonts w:hint="eastAsia"/>
              </w:rPr>
              <w:t>0</w:t>
            </w:r>
          </w:p>
        </w:tc>
        <w:tc>
          <w:tcPr>
            <w:tcW w:w="0" w:type="auto"/>
            <w:shd w:val="clear" w:color="auto" w:fill="auto"/>
          </w:tcPr>
          <w:p w14:paraId="33981EE0">
            <w:pPr>
              <w:pStyle w:val="26"/>
            </w:pPr>
            <w:r>
              <w:rPr>
                <w:rFonts w:hint="eastAsia"/>
              </w:rPr>
              <w:t>18</w:t>
            </w:r>
          </w:p>
        </w:tc>
      </w:tr>
      <w:tr w14:paraId="51617DD7">
        <w:tblPrEx>
          <w:tblCellMar>
            <w:top w:w="0" w:type="dxa"/>
            <w:left w:w="108" w:type="dxa"/>
            <w:bottom w:w="0" w:type="dxa"/>
            <w:right w:w="108" w:type="dxa"/>
          </w:tblCellMar>
        </w:tblPrEx>
        <w:trPr>
          <w:trHeight w:val="393" w:hRule="atLeast"/>
        </w:trPr>
        <w:tc>
          <w:tcPr>
            <w:tcW w:w="0" w:type="auto"/>
          </w:tcPr>
          <w:p w14:paraId="0E729ECC">
            <w:pPr>
              <w:pStyle w:val="26"/>
            </w:pPr>
            <w:r>
              <w:t>A4</w:t>
            </w:r>
          </w:p>
        </w:tc>
        <w:tc>
          <w:tcPr>
            <w:tcW w:w="0" w:type="auto"/>
          </w:tcPr>
          <w:p w14:paraId="5E42B8EC">
            <w:pPr>
              <w:pStyle w:val="26"/>
              <w:rPr>
                <w:rFonts w:hint="eastAsia" w:eastAsiaTheme="minorEastAsia"/>
                <w:lang w:eastAsia="zh-CN"/>
              </w:rPr>
            </w:pPr>
            <w:r>
              <w:rPr>
                <w:rFonts w:hint="eastAsia"/>
                <w:lang w:val="en-US" w:eastAsia="zh-CN"/>
              </w:rPr>
              <w:t>10</w:t>
            </w:r>
          </w:p>
        </w:tc>
        <w:tc>
          <w:tcPr>
            <w:tcW w:w="0" w:type="auto"/>
          </w:tcPr>
          <w:p w14:paraId="40BD1425">
            <w:pPr>
              <w:pStyle w:val="26"/>
              <w:rPr>
                <w:rFonts w:hint="eastAsia" w:eastAsiaTheme="minorEastAsia"/>
                <w:lang w:eastAsia="zh-CN"/>
              </w:rPr>
            </w:pPr>
            <w:r>
              <w:rPr>
                <w:rFonts w:hint="eastAsia"/>
                <w:lang w:val="en-US" w:eastAsia="zh-CN"/>
              </w:rPr>
              <w:t>7</w:t>
            </w:r>
          </w:p>
        </w:tc>
        <w:tc>
          <w:tcPr>
            <w:tcW w:w="0" w:type="auto"/>
          </w:tcPr>
          <w:p w14:paraId="30BAA430">
            <w:pPr>
              <w:pStyle w:val="26"/>
            </w:pPr>
            <w:r>
              <w:rPr>
                <w:rFonts w:hint="eastAsia"/>
              </w:rPr>
              <w:t>1</w:t>
            </w:r>
          </w:p>
        </w:tc>
        <w:tc>
          <w:tcPr>
            <w:tcW w:w="0" w:type="auto"/>
          </w:tcPr>
          <w:p w14:paraId="033989A0">
            <w:pPr>
              <w:pStyle w:val="26"/>
              <w:rPr>
                <w:rFonts w:hint="eastAsia" w:eastAsiaTheme="minorEastAsia"/>
                <w:lang w:eastAsia="zh-CN"/>
              </w:rPr>
            </w:pPr>
            <w:r>
              <w:rPr>
                <w:rFonts w:hint="eastAsia"/>
                <w:lang w:val="en-US" w:eastAsia="zh-CN"/>
              </w:rPr>
              <w:t>10</w:t>
            </w:r>
          </w:p>
        </w:tc>
      </w:tr>
      <w:tr w14:paraId="1E8136D0">
        <w:tblPrEx>
          <w:tblCellMar>
            <w:top w:w="0" w:type="dxa"/>
            <w:left w:w="108" w:type="dxa"/>
            <w:bottom w:w="0" w:type="dxa"/>
            <w:right w:w="108" w:type="dxa"/>
          </w:tblCellMar>
        </w:tblPrEx>
        <w:trPr>
          <w:trHeight w:val="393" w:hRule="atLeast"/>
        </w:trPr>
        <w:tc>
          <w:tcPr>
            <w:tcW w:w="0" w:type="auto"/>
          </w:tcPr>
          <w:p w14:paraId="24257C39">
            <w:pPr>
              <w:pStyle w:val="26"/>
            </w:pPr>
            <w:r>
              <w:t>B1</w:t>
            </w:r>
          </w:p>
        </w:tc>
        <w:tc>
          <w:tcPr>
            <w:tcW w:w="0" w:type="auto"/>
          </w:tcPr>
          <w:p w14:paraId="4D1B5C64">
            <w:pPr>
              <w:pStyle w:val="26"/>
            </w:pPr>
            <w:r>
              <w:rPr>
                <w:rFonts w:hint="eastAsia"/>
              </w:rPr>
              <w:t>18</w:t>
            </w:r>
          </w:p>
        </w:tc>
        <w:tc>
          <w:tcPr>
            <w:tcW w:w="0" w:type="auto"/>
          </w:tcPr>
          <w:p w14:paraId="2DB43F52">
            <w:pPr>
              <w:pStyle w:val="26"/>
            </w:pPr>
            <w:r>
              <w:rPr>
                <w:rFonts w:hint="eastAsia"/>
              </w:rPr>
              <w:t>0</w:t>
            </w:r>
          </w:p>
        </w:tc>
        <w:tc>
          <w:tcPr>
            <w:tcW w:w="0" w:type="auto"/>
          </w:tcPr>
          <w:p w14:paraId="76EE0234">
            <w:pPr>
              <w:pStyle w:val="26"/>
            </w:pPr>
            <w:r>
              <w:rPr>
                <w:rFonts w:hint="eastAsia"/>
              </w:rPr>
              <w:t>0</w:t>
            </w:r>
          </w:p>
        </w:tc>
        <w:tc>
          <w:tcPr>
            <w:tcW w:w="0" w:type="auto"/>
            <w:shd w:val="clear" w:color="auto" w:fill="auto"/>
          </w:tcPr>
          <w:p w14:paraId="23D787CB">
            <w:pPr>
              <w:pStyle w:val="26"/>
            </w:pPr>
            <w:r>
              <w:rPr>
                <w:rFonts w:hint="eastAsia"/>
              </w:rPr>
              <w:t>18</w:t>
            </w:r>
          </w:p>
        </w:tc>
      </w:tr>
      <w:tr w14:paraId="39FC71A2">
        <w:tblPrEx>
          <w:tblCellMar>
            <w:top w:w="0" w:type="dxa"/>
            <w:left w:w="108" w:type="dxa"/>
            <w:bottom w:w="0" w:type="dxa"/>
            <w:right w:w="108" w:type="dxa"/>
          </w:tblCellMar>
        </w:tblPrEx>
        <w:trPr>
          <w:trHeight w:val="393" w:hRule="atLeast"/>
        </w:trPr>
        <w:tc>
          <w:tcPr>
            <w:tcW w:w="0" w:type="auto"/>
          </w:tcPr>
          <w:p w14:paraId="5E2088A7">
            <w:pPr>
              <w:pStyle w:val="26"/>
            </w:pPr>
            <w:r>
              <w:t>B2</w:t>
            </w:r>
          </w:p>
        </w:tc>
        <w:tc>
          <w:tcPr>
            <w:tcW w:w="0" w:type="auto"/>
          </w:tcPr>
          <w:p w14:paraId="21274643">
            <w:pPr>
              <w:pStyle w:val="26"/>
            </w:pPr>
            <w:r>
              <w:rPr>
                <w:rFonts w:hint="eastAsia"/>
              </w:rPr>
              <w:t>18</w:t>
            </w:r>
          </w:p>
        </w:tc>
        <w:tc>
          <w:tcPr>
            <w:tcW w:w="0" w:type="auto"/>
          </w:tcPr>
          <w:p w14:paraId="7ABF38C6">
            <w:pPr>
              <w:pStyle w:val="26"/>
            </w:pPr>
            <w:r>
              <w:rPr>
                <w:rFonts w:hint="eastAsia"/>
              </w:rPr>
              <w:t>0</w:t>
            </w:r>
          </w:p>
        </w:tc>
        <w:tc>
          <w:tcPr>
            <w:tcW w:w="0" w:type="auto"/>
          </w:tcPr>
          <w:p w14:paraId="14F20C3A">
            <w:pPr>
              <w:pStyle w:val="26"/>
            </w:pPr>
            <w:r>
              <w:rPr>
                <w:rFonts w:hint="eastAsia"/>
              </w:rPr>
              <w:t>0</w:t>
            </w:r>
          </w:p>
        </w:tc>
        <w:tc>
          <w:tcPr>
            <w:tcW w:w="0" w:type="auto"/>
            <w:shd w:val="clear" w:color="auto" w:fill="auto"/>
          </w:tcPr>
          <w:p w14:paraId="24CBD022">
            <w:pPr>
              <w:pStyle w:val="26"/>
            </w:pPr>
            <w:r>
              <w:rPr>
                <w:rFonts w:hint="eastAsia"/>
              </w:rPr>
              <w:t>18</w:t>
            </w:r>
          </w:p>
        </w:tc>
      </w:tr>
      <w:tr w14:paraId="6DCEACE5">
        <w:tblPrEx>
          <w:tblCellMar>
            <w:top w:w="0" w:type="dxa"/>
            <w:left w:w="108" w:type="dxa"/>
            <w:bottom w:w="0" w:type="dxa"/>
            <w:right w:w="108" w:type="dxa"/>
          </w:tblCellMar>
        </w:tblPrEx>
        <w:trPr>
          <w:trHeight w:val="393" w:hRule="atLeast"/>
        </w:trPr>
        <w:tc>
          <w:tcPr>
            <w:tcW w:w="0" w:type="auto"/>
          </w:tcPr>
          <w:p w14:paraId="24A0200E">
            <w:pPr>
              <w:pStyle w:val="26"/>
            </w:pPr>
            <w:r>
              <w:t>C1</w:t>
            </w:r>
          </w:p>
        </w:tc>
        <w:tc>
          <w:tcPr>
            <w:tcW w:w="0" w:type="auto"/>
          </w:tcPr>
          <w:p w14:paraId="2DFA8883">
            <w:pPr>
              <w:pStyle w:val="26"/>
            </w:pPr>
            <w:r>
              <w:rPr>
                <w:rFonts w:hint="eastAsia"/>
              </w:rPr>
              <w:t>18</w:t>
            </w:r>
          </w:p>
        </w:tc>
        <w:tc>
          <w:tcPr>
            <w:tcW w:w="0" w:type="auto"/>
          </w:tcPr>
          <w:p w14:paraId="7F53D1BE">
            <w:pPr>
              <w:pStyle w:val="26"/>
            </w:pPr>
            <w:r>
              <w:rPr>
                <w:rFonts w:hint="eastAsia"/>
              </w:rPr>
              <w:t>0</w:t>
            </w:r>
          </w:p>
        </w:tc>
        <w:tc>
          <w:tcPr>
            <w:tcW w:w="0" w:type="auto"/>
          </w:tcPr>
          <w:p w14:paraId="4DA26327">
            <w:pPr>
              <w:pStyle w:val="26"/>
            </w:pPr>
            <w:r>
              <w:rPr>
                <w:rFonts w:hint="eastAsia"/>
              </w:rPr>
              <w:t>0</w:t>
            </w:r>
          </w:p>
        </w:tc>
        <w:tc>
          <w:tcPr>
            <w:tcW w:w="0" w:type="auto"/>
            <w:shd w:val="clear" w:color="auto" w:fill="auto"/>
          </w:tcPr>
          <w:p w14:paraId="69C2B60B">
            <w:pPr>
              <w:pStyle w:val="26"/>
            </w:pPr>
            <w:r>
              <w:rPr>
                <w:rFonts w:hint="eastAsia"/>
              </w:rPr>
              <w:t>18</w:t>
            </w:r>
          </w:p>
        </w:tc>
      </w:tr>
      <w:tr w14:paraId="7758088E">
        <w:trPr>
          <w:trHeight w:val="393" w:hRule="atLeast"/>
        </w:trPr>
        <w:tc>
          <w:tcPr>
            <w:tcW w:w="0" w:type="auto"/>
          </w:tcPr>
          <w:p w14:paraId="2CCBB26C">
            <w:pPr>
              <w:pStyle w:val="26"/>
            </w:pPr>
            <w:r>
              <w:t>C2</w:t>
            </w:r>
          </w:p>
        </w:tc>
        <w:tc>
          <w:tcPr>
            <w:tcW w:w="0" w:type="auto"/>
          </w:tcPr>
          <w:p w14:paraId="1D889BFF">
            <w:pPr>
              <w:pStyle w:val="26"/>
            </w:pPr>
            <w:r>
              <w:rPr>
                <w:rFonts w:hint="eastAsia"/>
              </w:rPr>
              <w:t>18</w:t>
            </w:r>
          </w:p>
        </w:tc>
        <w:tc>
          <w:tcPr>
            <w:tcW w:w="0" w:type="auto"/>
          </w:tcPr>
          <w:p w14:paraId="1CD55969">
            <w:pPr>
              <w:pStyle w:val="26"/>
            </w:pPr>
            <w:r>
              <w:rPr>
                <w:rFonts w:hint="eastAsia"/>
              </w:rPr>
              <w:t>0</w:t>
            </w:r>
          </w:p>
        </w:tc>
        <w:tc>
          <w:tcPr>
            <w:tcW w:w="0" w:type="auto"/>
          </w:tcPr>
          <w:p w14:paraId="3FD3C778">
            <w:pPr>
              <w:pStyle w:val="26"/>
            </w:pPr>
            <w:r>
              <w:rPr>
                <w:rFonts w:hint="eastAsia"/>
              </w:rPr>
              <w:t>0</w:t>
            </w:r>
          </w:p>
        </w:tc>
        <w:tc>
          <w:tcPr>
            <w:tcW w:w="0" w:type="auto"/>
          </w:tcPr>
          <w:p w14:paraId="3A981485">
            <w:pPr>
              <w:pStyle w:val="26"/>
            </w:pPr>
            <w:r>
              <w:rPr>
                <w:rFonts w:hint="eastAsia"/>
              </w:rPr>
              <w:t>18</w:t>
            </w:r>
          </w:p>
        </w:tc>
      </w:tr>
      <w:tr w14:paraId="7A30B0BC">
        <w:tblPrEx>
          <w:tblCellMar>
            <w:top w:w="0" w:type="dxa"/>
            <w:left w:w="108" w:type="dxa"/>
            <w:bottom w:w="0" w:type="dxa"/>
            <w:right w:w="108" w:type="dxa"/>
          </w:tblCellMar>
        </w:tblPrEx>
        <w:trPr>
          <w:trHeight w:val="393" w:hRule="atLeast"/>
        </w:trPr>
        <w:tc>
          <w:tcPr>
            <w:tcW w:w="0" w:type="auto"/>
          </w:tcPr>
          <w:p w14:paraId="074D326A">
            <w:pPr>
              <w:pStyle w:val="26"/>
            </w:pPr>
            <w:r>
              <w:t>D1</w:t>
            </w:r>
          </w:p>
        </w:tc>
        <w:tc>
          <w:tcPr>
            <w:tcW w:w="0" w:type="auto"/>
          </w:tcPr>
          <w:p w14:paraId="3793C587">
            <w:pPr>
              <w:pStyle w:val="26"/>
              <w:rPr>
                <w:rFonts w:hint="eastAsia" w:eastAsiaTheme="minorEastAsia"/>
                <w:lang w:eastAsia="zh-CN"/>
              </w:rPr>
            </w:pPr>
            <w:r>
              <w:rPr>
                <w:rFonts w:hint="eastAsia"/>
                <w:lang w:val="en-US" w:eastAsia="zh-CN"/>
              </w:rPr>
              <w:t>5</w:t>
            </w:r>
          </w:p>
        </w:tc>
        <w:tc>
          <w:tcPr>
            <w:tcW w:w="0" w:type="auto"/>
          </w:tcPr>
          <w:p w14:paraId="3B0DAEA6">
            <w:pPr>
              <w:pStyle w:val="26"/>
              <w:rPr>
                <w:rFonts w:hint="eastAsia" w:eastAsiaTheme="minorEastAsia"/>
                <w:lang w:eastAsia="zh-CN"/>
              </w:rPr>
            </w:pPr>
            <w:r>
              <w:rPr>
                <w:rFonts w:hint="eastAsia"/>
                <w:lang w:val="en-US" w:eastAsia="zh-CN"/>
              </w:rPr>
              <w:t>8</w:t>
            </w:r>
          </w:p>
        </w:tc>
        <w:tc>
          <w:tcPr>
            <w:tcW w:w="0" w:type="auto"/>
          </w:tcPr>
          <w:p w14:paraId="16F1F1A5">
            <w:pPr>
              <w:pStyle w:val="26"/>
            </w:pPr>
            <w:r>
              <w:rPr>
                <w:rFonts w:hint="eastAsia"/>
              </w:rPr>
              <w:t>5</w:t>
            </w:r>
          </w:p>
        </w:tc>
        <w:tc>
          <w:tcPr>
            <w:tcW w:w="0" w:type="auto"/>
          </w:tcPr>
          <w:p w14:paraId="5AD00A87">
            <w:pPr>
              <w:pStyle w:val="26"/>
              <w:rPr>
                <w:rFonts w:hint="eastAsia" w:eastAsiaTheme="minorEastAsia"/>
                <w:lang w:eastAsia="zh-CN"/>
              </w:rPr>
            </w:pPr>
            <w:r>
              <w:rPr>
                <w:rFonts w:hint="eastAsia"/>
                <w:lang w:val="en-US" w:eastAsia="zh-CN"/>
              </w:rPr>
              <w:t>5</w:t>
            </w:r>
          </w:p>
        </w:tc>
      </w:tr>
      <w:tr w14:paraId="5DF0F7A6">
        <w:tblPrEx>
          <w:tblCellMar>
            <w:top w:w="0" w:type="dxa"/>
            <w:left w:w="108" w:type="dxa"/>
            <w:bottom w:w="0" w:type="dxa"/>
            <w:right w:w="108" w:type="dxa"/>
          </w:tblCellMar>
        </w:tblPrEx>
        <w:trPr>
          <w:trHeight w:val="393" w:hRule="atLeast"/>
        </w:trPr>
        <w:tc>
          <w:tcPr>
            <w:tcW w:w="0" w:type="auto"/>
          </w:tcPr>
          <w:p w14:paraId="38F91861">
            <w:pPr>
              <w:pStyle w:val="26"/>
            </w:pPr>
            <w:r>
              <w:t>D2</w:t>
            </w:r>
          </w:p>
        </w:tc>
        <w:tc>
          <w:tcPr>
            <w:tcW w:w="0" w:type="auto"/>
          </w:tcPr>
          <w:p w14:paraId="47291349">
            <w:pPr>
              <w:pStyle w:val="26"/>
              <w:rPr>
                <w:rFonts w:hint="eastAsia" w:eastAsiaTheme="minorEastAsia"/>
                <w:lang w:eastAsia="zh-CN"/>
              </w:rPr>
            </w:pPr>
            <w:r>
              <w:rPr>
                <w:rFonts w:hint="eastAsia"/>
                <w:lang w:val="en-US" w:eastAsia="zh-CN"/>
              </w:rPr>
              <w:t>10</w:t>
            </w:r>
          </w:p>
        </w:tc>
        <w:tc>
          <w:tcPr>
            <w:tcW w:w="0" w:type="auto"/>
          </w:tcPr>
          <w:p w14:paraId="0DD5AD64">
            <w:pPr>
              <w:pStyle w:val="26"/>
            </w:pPr>
            <w:r>
              <w:rPr>
                <w:rFonts w:hint="eastAsia"/>
              </w:rPr>
              <w:t>5</w:t>
            </w:r>
          </w:p>
        </w:tc>
        <w:tc>
          <w:tcPr>
            <w:tcW w:w="0" w:type="auto"/>
          </w:tcPr>
          <w:p w14:paraId="59698EF2">
            <w:pPr>
              <w:pStyle w:val="26"/>
              <w:rPr>
                <w:rFonts w:hint="eastAsia" w:eastAsiaTheme="minorEastAsia"/>
                <w:lang w:eastAsia="zh-CN"/>
              </w:rPr>
            </w:pPr>
            <w:r>
              <w:rPr>
                <w:rFonts w:hint="eastAsia"/>
                <w:lang w:val="en-US" w:eastAsia="zh-CN"/>
              </w:rPr>
              <w:t>3</w:t>
            </w:r>
          </w:p>
        </w:tc>
        <w:tc>
          <w:tcPr>
            <w:tcW w:w="0" w:type="auto"/>
          </w:tcPr>
          <w:p w14:paraId="419DCDE7">
            <w:pPr>
              <w:pStyle w:val="26"/>
              <w:rPr>
                <w:rFonts w:hint="eastAsia" w:eastAsiaTheme="minorEastAsia"/>
                <w:lang w:eastAsia="zh-CN"/>
              </w:rPr>
            </w:pPr>
            <w:r>
              <w:rPr>
                <w:rFonts w:hint="eastAsia"/>
                <w:lang w:val="en-US" w:eastAsia="zh-CN"/>
              </w:rPr>
              <w:t>10</w:t>
            </w:r>
          </w:p>
        </w:tc>
      </w:tr>
      <w:tr w14:paraId="2459429A">
        <w:tblPrEx>
          <w:tblCellMar>
            <w:top w:w="0" w:type="dxa"/>
            <w:left w:w="108" w:type="dxa"/>
            <w:bottom w:w="0" w:type="dxa"/>
            <w:right w:w="108" w:type="dxa"/>
          </w:tblCellMar>
        </w:tblPrEx>
        <w:trPr>
          <w:trHeight w:val="393" w:hRule="atLeast"/>
        </w:trPr>
        <w:tc>
          <w:tcPr>
            <w:tcW w:w="0" w:type="auto"/>
          </w:tcPr>
          <w:p w14:paraId="00598841">
            <w:pPr>
              <w:pStyle w:val="26"/>
            </w:pPr>
            <w:r>
              <w:t>D3</w:t>
            </w:r>
          </w:p>
        </w:tc>
        <w:tc>
          <w:tcPr>
            <w:tcW w:w="0" w:type="auto"/>
          </w:tcPr>
          <w:p w14:paraId="05CCDD24">
            <w:pPr>
              <w:pStyle w:val="26"/>
              <w:rPr>
                <w:rFonts w:hint="eastAsia" w:eastAsiaTheme="minorEastAsia"/>
                <w:lang w:eastAsia="zh-CN"/>
              </w:rPr>
            </w:pPr>
            <w:r>
              <w:rPr>
                <w:rFonts w:hint="eastAsia"/>
                <w:lang w:val="en-US" w:eastAsia="zh-CN"/>
              </w:rPr>
              <w:t>10</w:t>
            </w:r>
          </w:p>
        </w:tc>
        <w:tc>
          <w:tcPr>
            <w:tcW w:w="0" w:type="auto"/>
          </w:tcPr>
          <w:p w14:paraId="1F4C520C">
            <w:pPr>
              <w:pStyle w:val="26"/>
            </w:pPr>
            <w:r>
              <w:rPr>
                <w:rFonts w:hint="eastAsia"/>
              </w:rPr>
              <w:t>5</w:t>
            </w:r>
          </w:p>
        </w:tc>
        <w:tc>
          <w:tcPr>
            <w:tcW w:w="0" w:type="auto"/>
          </w:tcPr>
          <w:p w14:paraId="4DF45F66">
            <w:pPr>
              <w:pStyle w:val="26"/>
              <w:rPr>
                <w:rFonts w:hint="eastAsia" w:eastAsiaTheme="minorEastAsia"/>
                <w:lang w:eastAsia="zh-CN"/>
              </w:rPr>
            </w:pPr>
            <w:r>
              <w:rPr>
                <w:rFonts w:hint="eastAsia"/>
                <w:lang w:val="en-US" w:eastAsia="zh-CN"/>
              </w:rPr>
              <w:t>3</w:t>
            </w:r>
          </w:p>
        </w:tc>
        <w:tc>
          <w:tcPr>
            <w:tcW w:w="0" w:type="auto"/>
          </w:tcPr>
          <w:p w14:paraId="32FCB930">
            <w:pPr>
              <w:pStyle w:val="26"/>
              <w:rPr>
                <w:rFonts w:hint="eastAsia" w:eastAsiaTheme="minorEastAsia"/>
                <w:lang w:eastAsia="zh-CN"/>
              </w:rPr>
            </w:pPr>
            <w:r>
              <w:rPr>
                <w:rFonts w:hint="eastAsia"/>
                <w:lang w:val="en-US" w:eastAsia="zh-CN"/>
              </w:rPr>
              <w:t>10</w:t>
            </w:r>
          </w:p>
        </w:tc>
      </w:tr>
      <w:tr w14:paraId="0B738DBB">
        <w:tblPrEx>
          <w:tblCellMar>
            <w:top w:w="0" w:type="dxa"/>
            <w:left w:w="108" w:type="dxa"/>
            <w:bottom w:w="0" w:type="dxa"/>
            <w:right w:w="108" w:type="dxa"/>
          </w:tblCellMar>
        </w:tblPrEx>
        <w:trPr>
          <w:trHeight w:val="393" w:hRule="atLeast"/>
        </w:trPr>
        <w:tc>
          <w:tcPr>
            <w:tcW w:w="0" w:type="auto"/>
          </w:tcPr>
          <w:p w14:paraId="0F5CD176">
            <w:pPr>
              <w:pStyle w:val="26"/>
            </w:pPr>
            <w:r>
              <w:t>E1</w:t>
            </w:r>
          </w:p>
        </w:tc>
        <w:tc>
          <w:tcPr>
            <w:tcW w:w="0" w:type="auto"/>
          </w:tcPr>
          <w:p w14:paraId="76DC423A">
            <w:pPr>
              <w:pStyle w:val="26"/>
            </w:pPr>
            <w:r>
              <w:rPr>
                <w:rFonts w:hint="eastAsia"/>
              </w:rPr>
              <w:t>18</w:t>
            </w:r>
          </w:p>
        </w:tc>
        <w:tc>
          <w:tcPr>
            <w:tcW w:w="0" w:type="auto"/>
          </w:tcPr>
          <w:p w14:paraId="7AE5AB45">
            <w:pPr>
              <w:pStyle w:val="26"/>
            </w:pPr>
            <w:r>
              <w:rPr>
                <w:rFonts w:hint="eastAsia"/>
              </w:rPr>
              <w:t>0</w:t>
            </w:r>
          </w:p>
        </w:tc>
        <w:tc>
          <w:tcPr>
            <w:tcW w:w="0" w:type="auto"/>
          </w:tcPr>
          <w:p w14:paraId="57E86E2D">
            <w:pPr>
              <w:pStyle w:val="26"/>
            </w:pPr>
            <w:r>
              <w:rPr>
                <w:rFonts w:hint="eastAsia"/>
              </w:rPr>
              <w:t>0</w:t>
            </w:r>
          </w:p>
        </w:tc>
        <w:tc>
          <w:tcPr>
            <w:tcW w:w="0" w:type="auto"/>
            <w:shd w:val="clear" w:color="auto" w:fill="auto"/>
          </w:tcPr>
          <w:p w14:paraId="0AD794C9">
            <w:pPr>
              <w:pStyle w:val="26"/>
            </w:pPr>
            <w:r>
              <w:rPr>
                <w:rFonts w:hint="eastAsia"/>
              </w:rPr>
              <w:t>18</w:t>
            </w:r>
          </w:p>
        </w:tc>
      </w:tr>
      <w:tr w14:paraId="57E318A6">
        <w:tblPrEx>
          <w:tblCellMar>
            <w:top w:w="0" w:type="dxa"/>
            <w:left w:w="108" w:type="dxa"/>
            <w:bottom w:w="0" w:type="dxa"/>
            <w:right w:w="108" w:type="dxa"/>
          </w:tblCellMar>
        </w:tblPrEx>
        <w:trPr>
          <w:trHeight w:val="393" w:hRule="atLeast"/>
        </w:trPr>
        <w:tc>
          <w:tcPr>
            <w:tcW w:w="0" w:type="auto"/>
          </w:tcPr>
          <w:p w14:paraId="6B1106F0">
            <w:pPr>
              <w:pStyle w:val="26"/>
            </w:pPr>
            <w:r>
              <w:t>E2</w:t>
            </w:r>
          </w:p>
        </w:tc>
        <w:tc>
          <w:tcPr>
            <w:tcW w:w="0" w:type="auto"/>
          </w:tcPr>
          <w:p w14:paraId="07441463">
            <w:pPr>
              <w:pStyle w:val="26"/>
            </w:pPr>
            <w:r>
              <w:rPr>
                <w:rFonts w:hint="eastAsia"/>
              </w:rPr>
              <w:t>18</w:t>
            </w:r>
          </w:p>
        </w:tc>
        <w:tc>
          <w:tcPr>
            <w:tcW w:w="0" w:type="auto"/>
          </w:tcPr>
          <w:p w14:paraId="59CEBC5B">
            <w:pPr>
              <w:pStyle w:val="26"/>
            </w:pPr>
            <w:r>
              <w:rPr>
                <w:rFonts w:hint="eastAsia"/>
              </w:rPr>
              <w:t>0</w:t>
            </w:r>
          </w:p>
        </w:tc>
        <w:tc>
          <w:tcPr>
            <w:tcW w:w="0" w:type="auto"/>
          </w:tcPr>
          <w:p w14:paraId="6B1CD735">
            <w:pPr>
              <w:pStyle w:val="26"/>
            </w:pPr>
            <w:r>
              <w:rPr>
                <w:rFonts w:hint="eastAsia"/>
              </w:rPr>
              <w:t>0</w:t>
            </w:r>
          </w:p>
        </w:tc>
        <w:tc>
          <w:tcPr>
            <w:tcW w:w="0" w:type="auto"/>
            <w:shd w:val="clear" w:color="auto" w:fill="auto"/>
          </w:tcPr>
          <w:p w14:paraId="4C78F886">
            <w:pPr>
              <w:pStyle w:val="26"/>
            </w:pPr>
            <w:r>
              <w:rPr>
                <w:rFonts w:hint="eastAsia"/>
              </w:rPr>
              <w:t>18</w:t>
            </w:r>
          </w:p>
        </w:tc>
      </w:tr>
      <w:tr w14:paraId="6F01609C">
        <w:tblPrEx>
          <w:tblCellMar>
            <w:top w:w="0" w:type="dxa"/>
            <w:left w:w="108" w:type="dxa"/>
            <w:bottom w:w="0" w:type="dxa"/>
            <w:right w:w="108" w:type="dxa"/>
          </w:tblCellMar>
        </w:tblPrEx>
        <w:trPr>
          <w:trHeight w:val="393" w:hRule="atLeast"/>
        </w:trPr>
        <w:tc>
          <w:tcPr>
            <w:tcW w:w="0" w:type="auto"/>
          </w:tcPr>
          <w:p w14:paraId="3E358EB1">
            <w:pPr>
              <w:pStyle w:val="26"/>
            </w:pPr>
            <w:r>
              <w:t>E3</w:t>
            </w:r>
          </w:p>
        </w:tc>
        <w:tc>
          <w:tcPr>
            <w:tcW w:w="0" w:type="auto"/>
          </w:tcPr>
          <w:p w14:paraId="27AFF5D8">
            <w:pPr>
              <w:pStyle w:val="26"/>
            </w:pPr>
            <w:r>
              <w:rPr>
                <w:rFonts w:hint="eastAsia"/>
              </w:rPr>
              <w:t>18</w:t>
            </w:r>
          </w:p>
        </w:tc>
        <w:tc>
          <w:tcPr>
            <w:tcW w:w="0" w:type="auto"/>
          </w:tcPr>
          <w:p w14:paraId="24771545">
            <w:pPr>
              <w:pStyle w:val="26"/>
            </w:pPr>
            <w:r>
              <w:rPr>
                <w:rFonts w:hint="eastAsia"/>
              </w:rPr>
              <w:t>0</w:t>
            </w:r>
          </w:p>
        </w:tc>
        <w:tc>
          <w:tcPr>
            <w:tcW w:w="0" w:type="auto"/>
          </w:tcPr>
          <w:p w14:paraId="0777BB95">
            <w:pPr>
              <w:pStyle w:val="26"/>
            </w:pPr>
            <w:r>
              <w:rPr>
                <w:rFonts w:hint="eastAsia"/>
              </w:rPr>
              <w:t>0</w:t>
            </w:r>
          </w:p>
        </w:tc>
        <w:tc>
          <w:tcPr>
            <w:tcW w:w="0" w:type="auto"/>
            <w:shd w:val="clear" w:color="auto" w:fill="auto"/>
          </w:tcPr>
          <w:p w14:paraId="1763E97F">
            <w:pPr>
              <w:pStyle w:val="26"/>
            </w:pPr>
            <w:r>
              <w:rPr>
                <w:rFonts w:hint="eastAsia"/>
              </w:rPr>
              <w:t>18</w:t>
            </w:r>
          </w:p>
        </w:tc>
      </w:tr>
    </w:tbl>
    <w:p w14:paraId="22E438B6">
      <w:pPr>
        <w:pStyle w:val="3"/>
      </w:pPr>
    </w:p>
    <w:p w14:paraId="28605125">
      <w:pPr>
        <w:pStyle w:val="2"/>
      </w:pPr>
      <w:r>
        <w:rPr>
          <w:rFonts w:hint="eastAsia"/>
          <w:lang w:val="en-US" w:eastAsia="zh-CN"/>
        </w:rPr>
        <w:t>6</w:t>
      </w:r>
      <w:r>
        <w:t xml:space="preserve"> Denominators and score preservation</w:t>
      </w:r>
    </w:p>
    <w:p w14:paraId="1215C6AB">
      <w:r>
        <w:rPr>
          <w:rFonts w:hint="eastAsia"/>
        </w:rPr>
        <w:t>Under the applicability trichotomy, the denominator for each conditional indicator consists only of Applicable cases. Insufficient and N/A cases are reported separately. For A4: 10 Applicable, 7 Insufficient, 1 N/A. For D1: 5 Applicable, 8 Insufficient, 5 N/A. For D2: 10 Applicable, 5 Insufficient, 3 N/A. For D3: 10 Applicable, 5 Insufficient, 3 N/A. The ten universal indicators retain a denominator of 18.</w:t>
      </w:r>
    </w:p>
    <w:sectPr>
      <w:footnotePr>
        <w:numRestart w:val="eachSect"/>
      </w:footnotePr>
      <w:pgSz w:w="16848" w:h="11952" w:orient="landscape"/>
      <w:pgMar w:top="720" w:right="648" w:bottom="720" w:left="648" w:header="720" w:footer="720" w:gutter="0"/>
      <w:lnNumType w:countBy="1" w:restart="continuou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C59"/>
    <w:rsid w:val="000F68D1"/>
    <w:rsid w:val="0023743E"/>
    <w:rsid w:val="008102ED"/>
    <w:rsid w:val="00886673"/>
    <w:rsid w:val="00993E98"/>
    <w:rsid w:val="00A60C59"/>
    <w:rsid w:val="00BF3902"/>
    <w:rsid w:val="00E466BA"/>
    <w:rsid w:val="02000D46"/>
    <w:rsid w:val="036A59B4"/>
    <w:rsid w:val="042042C5"/>
    <w:rsid w:val="09F73F34"/>
    <w:rsid w:val="0A456C1C"/>
    <w:rsid w:val="0A89205F"/>
    <w:rsid w:val="0AB77F75"/>
    <w:rsid w:val="0D9644B5"/>
    <w:rsid w:val="0E286E90"/>
    <w:rsid w:val="0F78188D"/>
    <w:rsid w:val="10B0078E"/>
    <w:rsid w:val="111C5E34"/>
    <w:rsid w:val="116003F7"/>
    <w:rsid w:val="116577BB"/>
    <w:rsid w:val="12C16C73"/>
    <w:rsid w:val="13EB607D"/>
    <w:rsid w:val="152534E9"/>
    <w:rsid w:val="1606156C"/>
    <w:rsid w:val="16CB5763"/>
    <w:rsid w:val="1B287154"/>
    <w:rsid w:val="1B4A2A69"/>
    <w:rsid w:val="1E415FBA"/>
    <w:rsid w:val="21747CD2"/>
    <w:rsid w:val="23EF2021"/>
    <w:rsid w:val="24D53141"/>
    <w:rsid w:val="24FA32CA"/>
    <w:rsid w:val="26414229"/>
    <w:rsid w:val="27767BD4"/>
    <w:rsid w:val="2939710B"/>
    <w:rsid w:val="2AB9011E"/>
    <w:rsid w:val="2BF130B4"/>
    <w:rsid w:val="314D409C"/>
    <w:rsid w:val="3220530C"/>
    <w:rsid w:val="323922EC"/>
    <w:rsid w:val="324E12A6"/>
    <w:rsid w:val="32B05ACE"/>
    <w:rsid w:val="34815013"/>
    <w:rsid w:val="35947F24"/>
    <w:rsid w:val="3A0B0650"/>
    <w:rsid w:val="3AAC1E33"/>
    <w:rsid w:val="3F823162"/>
    <w:rsid w:val="3FF0019A"/>
    <w:rsid w:val="42664FBD"/>
    <w:rsid w:val="42C2330A"/>
    <w:rsid w:val="440C749E"/>
    <w:rsid w:val="44A6341E"/>
    <w:rsid w:val="47FC5A7C"/>
    <w:rsid w:val="48CB5B7A"/>
    <w:rsid w:val="4B611518"/>
    <w:rsid w:val="4D4F4C87"/>
    <w:rsid w:val="4E1662CE"/>
    <w:rsid w:val="528A0854"/>
    <w:rsid w:val="53496917"/>
    <w:rsid w:val="54D73AF9"/>
    <w:rsid w:val="54E93037"/>
    <w:rsid w:val="54EF499E"/>
    <w:rsid w:val="55CA0F67"/>
    <w:rsid w:val="569E48CE"/>
    <w:rsid w:val="57030BD5"/>
    <w:rsid w:val="58046D12"/>
    <w:rsid w:val="5A030A87"/>
    <w:rsid w:val="5D0A5FD5"/>
    <w:rsid w:val="5E483371"/>
    <w:rsid w:val="60FD6695"/>
    <w:rsid w:val="61D92C5E"/>
    <w:rsid w:val="651641C9"/>
    <w:rsid w:val="65665961"/>
    <w:rsid w:val="664E6716"/>
    <w:rsid w:val="68882CE8"/>
    <w:rsid w:val="6AD220AE"/>
    <w:rsid w:val="6BAD0FCB"/>
    <w:rsid w:val="6C241E0F"/>
    <w:rsid w:val="6E2D1350"/>
    <w:rsid w:val="6E453474"/>
    <w:rsid w:val="6F597707"/>
    <w:rsid w:val="716024DB"/>
    <w:rsid w:val="71AD010B"/>
    <w:rsid w:val="7431692A"/>
    <w:rsid w:val="74367A9C"/>
    <w:rsid w:val="771A36A5"/>
    <w:rsid w:val="7BC72DA5"/>
    <w:rsid w:val="7C613B24"/>
    <w:rsid w:val="7E464D80"/>
    <w:rsid w:val="7F0131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3"/>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4"/>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1"/>
    <w:link w:val="35"/>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6"/>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0">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85"/>
    <w:qFormat/>
    <w:uiPriority w:val="0"/>
    <w:pPr>
      <w:spacing w:before="180" w:after="180"/>
    </w:pPr>
  </w:style>
  <w:style w:type="paragraph" w:styleId="12">
    <w:name w:val="caption"/>
    <w:basedOn w:val="1"/>
    <w:qFormat/>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basedOn w:val="15"/>
    <w:next w:val="3"/>
    <w:qFormat/>
    <w:uiPriority w:val="0"/>
    <w:pPr>
      <w:keepNext/>
      <w:keepLines/>
    </w:pPr>
    <w:rPr>
      <w:sz w:val="24"/>
      <w:szCs w:val="24"/>
    </w:rPr>
  </w:style>
  <w:style w:type="paragraph" w:styleId="15">
    <w:name w:val="Title"/>
    <w:basedOn w:val="1"/>
    <w:next w:val="3"/>
    <w:link w:val="27"/>
    <w:qFormat/>
    <w:uiPriority w:val="10"/>
    <w:pPr>
      <w:spacing w:after="80"/>
      <w:contextualSpacing/>
      <w:jc w:val="center"/>
    </w:pPr>
    <w:rPr>
      <w:rFonts w:asciiTheme="majorHAnsi" w:hAnsiTheme="majorHAnsi" w:eastAsiaTheme="majorEastAsia" w:cstheme="majorBidi"/>
      <w:sz w:val="56"/>
      <w:szCs w:val="56"/>
    </w:rPr>
  </w:style>
  <w:style w:type="paragraph" w:styleId="16">
    <w:name w:val="Subtitle"/>
    <w:basedOn w:val="15"/>
    <w:next w:val="3"/>
    <w:link w:val="28"/>
    <w:qFormat/>
    <w:uiPriority w:val="11"/>
    <w:rPr>
      <w:spacing w:val="15"/>
      <w:sz w:val="28"/>
      <w:szCs w:val="28"/>
    </w:rPr>
  </w:style>
  <w:style w:type="paragraph" w:styleId="17">
    <w:name w:val="footnote text"/>
    <w:basedOn w:val="1"/>
    <w:unhideWhenUsed/>
    <w:qFormat/>
    <w:uiPriority w:val="9"/>
  </w:style>
  <w:style w:type="paragraph" w:styleId="18">
    <w:name w:val="Normal (Web)"/>
    <w:basedOn w:val="1"/>
    <w:qFormat/>
    <w:uiPriority w:val="0"/>
    <w:pPr>
      <w:spacing w:beforeAutospacing="1" w:after="0" w:afterAutospacing="1"/>
    </w:pPr>
    <w:rPr>
      <w:rFonts w:cs="Times New Roman"/>
    </w:rPr>
  </w:style>
  <w:style w:type="character" w:styleId="21">
    <w:name w:val="Hyperlink"/>
    <w:basedOn w:val="20"/>
    <w:qFormat/>
    <w:uiPriority w:val="0"/>
    <w:rPr>
      <w:color w:val="156082" w:themeColor="accent1"/>
      <w14:textFill>
        <w14:solidFill>
          <w14:schemeClr w14:val="accent1"/>
        </w14:solidFill>
      </w14:textFill>
    </w:rPr>
  </w:style>
  <w:style w:type="character" w:styleId="22">
    <w:name w:val="HTML Code"/>
    <w:basedOn w:val="20"/>
    <w:qFormat/>
    <w:uiPriority w:val="0"/>
    <w:rPr>
      <w:rFonts w:ascii="Courier New" w:hAnsi="Courier New"/>
      <w:sz w:val="20"/>
    </w:rPr>
  </w:style>
  <w:style w:type="character" w:styleId="23">
    <w:name w:val="footnote reference"/>
    <w:basedOn w:val="24"/>
    <w:qFormat/>
    <w:uiPriority w:val="0"/>
    <w:rPr>
      <w:vertAlign w:val="superscript"/>
    </w:rPr>
  </w:style>
  <w:style w:type="character" w:customStyle="1" w:styleId="24">
    <w:name w:val="正文文本 字符"/>
    <w:basedOn w:val="20"/>
    <w:link w:val="3"/>
    <w:qFormat/>
    <w:uiPriority w:val="0"/>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character" w:customStyle="1" w:styleId="27">
    <w:name w:val="标题 字符"/>
    <w:basedOn w:val="20"/>
    <w:link w:val="15"/>
    <w:qFormat/>
    <w:uiPriority w:val="10"/>
    <w:rPr>
      <w:rFonts w:asciiTheme="majorHAnsi" w:hAnsiTheme="majorHAnsi" w:eastAsiaTheme="majorEastAsia" w:cstheme="majorBidi"/>
      <w:sz w:val="56"/>
      <w:szCs w:val="56"/>
    </w:rPr>
  </w:style>
  <w:style w:type="character" w:customStyle="1" w:styleId="28">
    <w:name w:val="副标题 字符"/>
    <w:basedOn w:val="20"/>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9">
    <w:name w:val="Author"/>
    <w:basedOn w:val="15"/>
    <w:next w:val="3"/>
    <w:qFormat/>
    <w:uiPriority w:val="0"/>
    <w:pPr>
      <w:keepNext/>
      <w:keepLines/>
    </w:pPr>
    <w:rPr>
      <w:sz w:val="24"/>
      <w:szCs w:val="24"/>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书目1"/>
    <w:basedOn w:val="1"/>
    <w:qFormat/>
    <w:uiPriority w:val="0"/>
  </w:style>
  <w:style w:type="character" w:customStyle="1" w:styleId="33">
    <w:name w:val="标题 1 字符"/>
    <w:basedOn w:val="20"/>
    <w:link w:val="2"/>
    <w:qFormat/>
    <w:uiPriority w:val="9"/>
    <w:rPr>
      <w:rFonts w:asciiTheme="majorHAnsi" w:hAnsiTheme="majorHAnsi" w:eastAsiaTheme="majorEastAsia" w:cstheme="majorBidi"/>
      <w:color w:val="104862" w:themeColor="accent1" w:themeShade="BF"/>
      <w:sz w:val="40"/>
      <w:szCs w:val="40"/>
    </w:rPr>
  </w:style>
  <w:style w:type="character" w:customStyle="1" w:styleId="34">
    <w:name w:val="标题 2 字符"/>
    <w:basedOn w:val="20"/>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5">
    <w:name w:val="标题 3 字符"/>
    <w:basedOn w:val="20"/>
    <w:link w:val="5"/>
    <w:semiHidden/>
    <w:qFormat/>
    <w:uiPriority w:val="9"/>
    <w:rPr>
      <w:rFonts w:eastAsiaTheme="majorEastAsia" w:cstheme="majorBidi"/>
      <w:color w:val="104862" w:themeColor="accent1" w:themeShade="BF"/>
      <w:sz w:val="28"/>
      <w:szCs w:val="28"/>
    </w:rPr>
  </w:style>
  <w:style w:type="character" w:customStyle="1" w:styleId="36">
    <w:name w:val="标题 4 字符"/>
    <w:basedOn w:val="20"/>
    <w:link w:val="6"/>
    <w:semiHidden/>
    <w:qFormat/>
    <w:uiPriority w:val="9"/>
    <w:rPr>
      <w:rFonts w:eastAsiaTheme="majorEastAsia" w:cstheme="majorBidi"/>
      <w:i/>
      <w:iCs/>
      <w:color w:val="104862" w:themeColor="accent1" w:themeShade="BF"/>
    </w:rPr>
  </w:style>
  <w:style w:type="character" w:customStyle="1" w:styleId="37">
    <w:name w:val="标题 5 字符"/>
    <w:basedOn w:val="20"/>
    <w:link w:val="7"/>
    <w:semiHidden/>
    <w:qFormat/>
    <w:uiPriority w:val="9"/>
    <w:rPr>
      <w:rFonts w:eastAsiaTheme="majorEastAsia" w:cstheme="majorBidi"/>
      <w:color w:val="104862" w:themeColor="accent1" w:themeShade="BF"/>
    </w:rPr>
  </w:style>
  <w:style w:type="character" w:customStyle="1" w:styleId="38">
    <w:name w:val="标题 6 字符"/>
    <w:basedOn w:val="20"/>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9">
    <w:name w:val="标题 7 字符"/>
    <w:basedOn w:val="20"/>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0">
    <w:name w:val="标题 8 字符"/>
    <w:basedOn w:val="20"/>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1">
    <w:name w:val="标题 9 字符"/>
    <w:basedOn w:val="20"/>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2">
    <w:name w:val="Footnote Block Text"/>
    <w:basedOn w:val="17"/>
    <w:next w:val="17"/>
    <w:unhideWhenUsed/>
    <w:qFormat/>
    <w:uiPriority w:val="9"/>
    <w:pPr>
      <w:spacing w:before="100" w:after="100"/>
      <w:ind w:left="480" w:right="48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qFormat/>
    <w:uiPriority w:val="0"/>
    <w:pPr>
      <w:keepNext/>
      <w:keepLines/>
      <w:spacing w:after="0"/>
    </w:pPr>
    <w:rPr>
      <w:b/>
    </w:rPr>
  </w:style>
  <w:style w:type="paragraph" w:customStyle="1" w:styleId="45">
    <w:name w:val="Definition"/>
    <w:basedOn w:val="1"/>
    <w:qFormat/>
    <w:uiPriority w:val="0"/>
  </w:style>
  <w:style w:type="paragraph" w:customStyle="1" w:styleId="46">
    <w:name w:val="Table Caption"/>
    <w:basedOn w:val="12"/>
    <w:qFormat/>
    <w:uiPriority w:val="0"/>
    <w:pPr>
      <w:keepNext/>
    </w:pPr>
  </w:style>
  <w:style w:type="paragraph" w:customStyle="1" w:styleId="47">
    <w:name w:val="Image Caption"/>
    <w:basedOn w:val="12"/>
    <w:qFormat/>
    <w:uiPriority w:val="0"/>
  </w:style>
  <w:style w:type="paragraph" w:customStyle="1" w:styleId="48">
    <w:name w:val="Figure"/>
    <w:basedOn w:val="1"/>
    <w:qFormat/>
    <w:uiPriority w:val="0"/>
  </w:style>
  <w:style w:type="paragraph" w:customStyle="1" w:styleId="49">
    <w:name w:val="Captioned Figure"/>
    <w:basedOn w:val="48"/>
    <w:qFormat/>
    <w:uiPriority w:val="0"/>
    <w:pPr>
      <w:keepNext/>
    </w:pPr>
  </w:style>
  <w:style w:type="character" w:customStyle="1" w:styleId="50">
    <w:name w:val="Verbatim Char"/>
    <w:basedOn w:val="24"/>
    <w:link w:val="51"/>
    <w:qFormat/>
    <w:uiPriority w:val="0"/>
    <w:rPr>
      <w:rFonts w:ascii="Consolas" w:hAnsi="Consolas"/>
      <w:sz w:val="22"/>
    </w:rPr>
  </w:style>
  <w:style w:type="paragraph" w:customStyle="1" w:styleId="51">
    <w:name w:val="Source Code"/>
    <w:basedOn w:val="1"/>
    <w:link w:val="50"/>
    <w:qFormat/>
    <w:uiPriority w:val="0"/>
    <w:pPr>
      <w:wordWrap w:val="0"/>
    </w:pPr>
  </w:style>
  <w:style w:type="character" w:customStyle="1" w:styleId="52">
    <w:name w:val="Section Number"/>
    <w:basedOn w:val="24"/>
    <w:qFormat/>
    <w:uiPriority w:val="0"/>
  </w:style>
  <w:style w:type="paragraph" w:customStyle="1" w:styleId="53">
    <w:name w:val="TOC 标题1"/>
    <w:basedOn w:val="2"/>
    <w:next w:val="3"/>
    <w:unhideWhenUsed/>
    <w:qFormat/>
    <w:uiPriority w:val="39"/>
    <w:pPr>
      <w:spacing w:before="240" w:line="259" w:lineRule="auto"/>
      <w:outlineLvl w:val="9"/>
    </w:pPr>
  </w:style>
  <w:style w:type="character" w:customStyle="1" w:styleId="54">
    <w:name w:val="KeywordTok"/>
    <w:basedOn w:val="50"/>
    <w:qFormat/>
    <w:uiPriority w:val="0"/>
    <w:rPr>
      <w:rFonts w:ascii="Consolas" w:hAnsi="Consolas"/>
      <w:b/>
      <w:color w:val="007020"/>
      <w:sz w:val="22"/>
    </w:rPr>
  </w:style>
  <w:style w:type="character" w:customStyle="1" w:styleId="55">
    <w:name w:val="DataTypeTok"/>
    <w:basedOn w:val="50"/>
    <w:qFormat/>
    <w:uiPriority w:val="0"/>
    <w:rPr>
      <w:rFonts w:ascii="Consolas" w:hAnsi="Consolas"/>
      <w:color w:val="902000"/>
      <w:sz w:val="22"/>
    </w:rPr>
  </w:style>
  <w:style w:type="character" w:customStyle="1" w:styleId="56">
    <w:name w:val="DecValTok"/>
    <w:basedOn w:val="50"/>
    <w:qFormat/>
    <w:uiPriority w:val="0"/>
    <w:rPr>
      <w:rFonts w:ascii="Consolas" w:hAnsi="Consolas"/>
      <w:color w:val="40A070"/>
      <w:sz w:val="22"/>
    </w:rPr>
  </w:style>
  <w:style w:type="character" w:customStyle="1" w:styleId="57">
    <w:name w:val="BaseNTok"/>
    <w:basedOn w:val="50"/>
    <w:qFormat/>
    <w:uiPriority w:val="0"/>
    <w:rPr>
      <w:rFonts w:ascii="Consolas" w:hAnsi="Consolas"/>
      <w:color w:val="40A070"/>
      <w:sz w:val="22"/>
    </w:rPr>
  </w:style>
  <w:style w:type="character" w:customStyle="1" w:styleId="58">
    <w:name w:val="FloatTok"/>
    <w:basedOn w:val="50"/>
    <w:qFormat/>
    <w:uiPriority w:val="0"/>
    <w:rPr>
      <w:rFonts w:ascii="Consolas" w:hAnsi="Consolas"/>
      <w:color w:val="40A070"/>
      <w:sz w:val="22"/>
    </w:rPr>
  </w:style>
  <w:style w:type="character" w:customStyle="1" w:styleId="59">
    <w:name w:val="ConstantTok"/>
    <w:basedOn w:val="50"/>
    <w:qFormat/>
    <w:uiPriority w:val="0"/>
    <w:rPr>
      <w:rFonts w:ascii="Consolas" w:hAnsi="Consolas"/>
      <w:color w:val="880000"/>
      <w:sz w:val="22"/>
    </w:rPr>
  </w:style>
  <w:style w:type="character" w:customStyle="1" w:styleId="60">
    <w:name w:val="CharTok"/>
    <w:basedOn w:val="50"/>
    <w:qFormat/>
    <w:uiPriority w:val="0"/>
    <w:rPr>
      <w:rFonts w:ascii="Consolas" w:hAnsi="Consolas"/>
      <w:color w:val="4070A0"/>
      <w:sz w:val="22"/>
    </w:rPr>
  </w:style>
  <w:style w:type="character" w:customStyle="1" w:styleId="61">
    <w:name w:val="SpecialCharTok"/>
    <w:basedOn w:val="50"/>
    <w:qFormat/>
    <w:uiPriority w:val="0"/>
    <w:rPr>
      <w:rFonts w:ascii="Consolas" w:hAnsi="Consolas"/>
      <w:color w:val="4070A0"/>
      <w:sz w:val="22"/>
    </w:rPr>
  </w:style>
  <w:style w:type="character" w:customStyle="1" w:styleId="62">
    <w:name w:val="StringTok"/>
    <w:basedOn w:val="50"/>
    <w:qFormat/>
    <w:uiPriority w:val="0"/>
    <w:rPr>
      <w:rFonts w:ascii="Consolas" w:hAnsi="Consolas"/>
      <w:color w:val="4070A0"/>
      <w:sz w:val="22"/>
    </w:rPr>
  </w:style>
  <w:style w:type="character" w:customStyle="1" w:styleId="63">
    <w:name w:val="VerbatimStringTok"/>
    <w:basedOn w:val="50"/>
    <w:qFormat/>
    <w:uiPriority w:val="0"/>
    <w:rPr>
      <w:rFonts w:ascii="Consolas" w:hAnsi="Consolas"/>
      <w:color w:val="4070A0"/>
      <w:sz w:val="22"/>
    </w:rPr>
  </w:style>
  <w:style w:type="character" w:customStyle="1" w:styleId="64">
    <w:name w:val="SpecialStringTok"/>
    <w:basedOn w:val="50"/>
    <w:qFormat/>
    <w:uiPriority w:val="0"/>
    <w:rPr>
      <w:rFonts w:ascii="Consolas" w:hAnsi="Consolas"/>
      <w:color w:val="BB6688"/>
      <w:sz w:val="22"/>
    </w:rPr>
  </w:style>
  <w:style w:type="character" w:customStyle="1" w:styleId="65">
    <w:name w:val="ImportTok"/>
    <w:basedOn w:val="50"/>
    <w:qFormat/>
    <w:uiPriority w:val="0"/>
    <w:rPr>
      <w:rFonts w:ascii="Consolas" w:hAnsi="Consolas"/>
      <w:b/>
      <w:color w:val="008000"/>
      <w:sz w:val="22"/>
    </w:rPr>
  </w:style>
  <w:style w:type="character" w:customStyle="1" w:styleId="66">
    <w:name w:val="CommentTok"/>
    <w:basedOn w:val="50"/>
    <w:qFormat/>
    <w:uiPriority w:val="0"/>
    <w:rPr>
      <w:rFonts w:ascii="Consolas" w:hAnsi="Consolas"/>
      <w:i/>
      <w:color w:val="60A0B0"/>
      <w:sz w:val="22"/>
    </w:rPr>
  </w:style>
  <w:style w:type="character" w:customStyle="1" w:styleId="67">
    <w:name w:val="DocumentationTok"/>
    <w:basedOn w:val="50"/>
    <w:qFormat/>
    <w:uiPriority w:val="0"/>
    <w:rPr>
      <w:rFonts w:ascii="Consolas" w:hAnsi="Consolas"/>
      <w:i/>
      <w:color w:val="BA2121"/>
      <w:sz w:val="22"/>
    </w:rPr>
  </w:style>
  <w:style w:type="character" w:customStyle="1" w:styleId="68">
    <w:name w:val="AnnotationTok"/>
    <w:basedOn w:val="50"/>
    <w:qFormat/>
    <w:uiPriority w:val="0"/>
    <w:rPr>
      <w:rFonts w:ascii="Consolas" w:hAnsi="Consolas"/>
      <w:b/>
      <w:i/>
      <w:color w:val="60A0B0"/>
      <w:sz w:val="22"/>
    </w:rPr>
  </w:style>
  <w:style w:type="character" w:customStyle="1" w:styleId="69">
    <w:name w:val="CommentVarTok"/>
    <w:basedOn w:val="50"/>
    <w:qFormat/>
    <w:uiPriority w:val="0"/>
    <w:rPr>
      <w:rFonts w:ascii="Consolas" w:hAnsi="Consolas"/>
      <w:b/>
      <w:i/>
      <w:color w:val="60A0B0"/>
      <w:sz w:val="22"/>
    </w:rPr>
  </w:style>
  <w:style w:type="character" w:customStyle="1" w:styleId="70">
    <w:name w:val="OtherTok"/>
    <w:basedOn w:val="50"/>
    <w:qFormat/>
    <w:uiPriority w:val="0"/>
    <w:rPr>
      <w:rFonts w:ascii="Consolas" w:hAnsi="Consolas"/>
      <w:color w:val="007020"/>
      <w:sz w:val="22"/>
    </w:rPr>
  </w:style>
  <w:style w:type="character" w:customStyle="1" w:styleId="71">
    <w:name w:val="FunctionTok"/>
    <w:basedOn w:val="50"/>
    <w:qFormat/>
    <w:uiPriority w:val="0"/>
    <w:rPr>
      <w:rFonts w:ascii="Consolas" w:hAnsi="Consolas"/>
      <w:color w:val="06287E"/>
      <w:sz w:val="22"/>
    </w:rPr>
  </w:style>
  <w:style w:type="character" w:customStyle="1" w:styleId="72">
    <w:name w:val="VariableTok"/>
    <w:basedOn w:val="50"/>
    <w:qFormat/>
    <w:uiPriority w:val="0"/>
    <w:rPr>
      <w:rFonts w:ascii="Consolas" w:hAnsi="Consolas"/>
      <w:color w:val="19177C"/>
      <w:sz w:val="22"/>
    </w:rPr>
  </w:style>
  <w:style w:type="character" w:customStyle="1" w:styleId="73">
    <w:name w:val="ControlFlowTok"/>
    <w:basedOn w:val="50"/>
    <w:qFormat/>
    <w:uiPriority w:val="0"/>
    <w:rPr>
      <w:rFonts w:ascii="Consolas" w:hAnsi="Consolas"/>
      <w:b/>
      <w:color w:val="007020"/>
      <w:sz w:val="22"/>
    </w:rPr>
  </w:style>
  <w:style w:type="character" w:customStyle="1" w:styleId="74">
    <w:name w:val="OperatorTok"/>
    <w:basedOn w:val="50"/>
    <w:qFormat/>
    <w:uiPriority w:val="0"/>
    <w:rPr>
      <w:rFonts w:ascii="Consolas" w:hAnsi="Consolas"/>
      <w:color w:val="666666"/>
      <w:sz w:val="22"/>
    </w:rPr>
  </w:style>
  <w:style w:type="character" w:customStyle="1" w:styleId="75">
    <w:name w:val="BuiltInTok"/>
    <w:basedOn w:val="50"/>
    <w:qFormat/>
    <w:uiPriority w:val="0"/>
    <w:rPr>
      <w:rFonts w:ascii="Consolas" w:hAnsi="Consolas"/>
      <w:color w:val="008000"/>
      <w:sz w:val="22"/>
    </w:rPr>
  </w:style>
  <w:style w:type="character" w:customStyle="1" w:styleId="76">
    <w:name w:val="ExtensionTok"/>
    <w:basedOn w:val="50"/>
    <w:qFormat/>
    <w:uiPriority w:val="0"/>
    <w:rPr>
      <w:rFonts w:ascii="Consolas" w:hAnsi="Consolas"/>
      <w:sz w:val="22"/>
    </w:rPr>
  </w:style>
  <w:style w:type="character" w:customStyle="1" w:styleId="77">
    <w:name w:val="PreprocessorTok"/>
    <w:basedOn w:val="50"/>
    <w:qFormat/>
    <w:uiPriority w:val="0"/>
    <w:rPr>
      <w:rFonts w:ascii="Consolas" w:hAnsi="Consolas"/>
      <w:color w:val="BC7A00"/>
      <w:sz w:val="22"/>
    </w:rPr>
  </w:style>
  <w:style w:type="character" w:customStyle="1" w:styleId="78">
    <w:name w:val="AttributeTok"/>
    <w:basedOn w:val="50"/>
    <w:qFormat/>
    <w:uiPriority w:val="0"/>
    <w:rPr>
      <w:rFonts w:ascii="Consolas" w:hAnsi="Consolas"/>
      <w:color w:val="7D9029"/>
      <w:sz w:val="22"/>
    </w:rPr>
  </w:style>
  <w:style w:type="character" w:customStyle="1" w:styleId="79">
    <w:name w:val="RegionMarkerTok"/>
    <w:basedOn w:val="50"/>
    <w:qFormat/>
    <w:uiPriority w:val="0"/>
    <w:rPr>
      <w:rFonts w:ascii="Consolas" w:hAnsi="Consolas"/>
      <w:sz w:val="22"/>
    </w:rPr>
  </w:style>
  <w:style w:type="character" w:customStyle="1" w:styleId="80">
    <w:name w:val="InformationTok"/>
    <w:basedOn w:val="50"/>
    <w:qFormat/>
    <w:uiPriority w:val="0"/>
    <w:rPr>
      <w:rFonts w:ascii="Consolas" w:hAnsi="Consolas"/>
      <w:b/>
      <w:i/>
      <w:color w:val="60A0B0"/>
      <w:sz w:val="22"/>
    </w:rPr>
  </w:style>
  <w:style w:type="character" w:customStyle="1" w:styleId="81">
    <w:name w:val="WarningTok"/>
    <w:basedOn w:val="50"/>
    <w:qFormat/>
    <w:uiPriority w:val="0"/>
    <w:rPr>
      <w:rFonts w:ascii="Consolas" w:hAnsi="Consolas"/>
      <w:b/>
      <w:i/>
      <w:color w:val="60A0B0"/>
      <w:sz w:val="22"/>
    </w:rPr>
  </w:style>
  <w:style w:type="character" w:customStyle="1" w:styleId="82">
    <w:name w:val="AlertTok"/>
    <w:basedOn w:val="50"/>
    <w:qFormat/>
    <w:uiPriority w:val="0"/>
    <w:rPr>
      <w:rFonts w:ascii="Consolas" w:hAnsi="Consolas"/>
      <w:b/>
      <w:color w:val="FF0000"/>
      <w:sz w:val="22"/>
    </w:rPr>
  </w:style>
  <w:style w:type="character" w:customStyle="1" w:styleId="83">
    <w:name w:val="ErrorTok"/>
    <w:basedOn w:val="50"/>
    <w:qFormat/>
    <w:uiPriority w:val="0"/>
    <w:rPr>
      <w:rFonts w:ascii="Consolas" w:hAnsi="Consolas"/>
      <w:b/>
      <w:color w:val="FF0000"/>
      <w:sz w:val="22"/>
    </w:rPr>
  </w:style>
  <w:style w:type="character" w:customStyle="1" w:styleId="84">
    <w:name w:val="NormalTok"/>
    <w:basedOn w:val="50"/>
    <w:qFormat/>
    <w:uiPriority w:val="0"/>
    <w:rPr>
      <w:rFonts w:ascii="Consolas" w:hAnsi="Consolas"/>
      <w:sz w:val="22"/>
    </w:rPr>
  </w:style>
  <w:style w:type="character" w:customStyle="1" w:styleId="85">
    <w:name w:val="Body Text Char"/>
    <w:basedOn w:val="20"/>
    <w:link w:val="3"/>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438</Words>
  <Characters>2570</Characters>
  <Lines>356</Lines>
  <Paragraphs>100</Paragraphs>
  <TotalTime>4</TotalTime>
  <ScaleCrop>false</ScaleCrop>
  <LinksUpToDate>false</LinksUpToDate>
  <CharactersWithSpaces>2961</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2026-09-10T02:04:00Z</dcterms:created>
  <dc:creator>邵滨0837</dc:creator>
  <cp:lastModifiedBy>邵滨0837</cp:lastModifiedBy>
  <dcterms:modified xsi:type="dcterms:W3CDTF">2026-09-25T18:34:40Z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eyJoZGlkIjoiMmE2NWJjMWQxZTY5MTBlZWNlODQ2ZGE0NjJlYTdlMjUiLCJ1c2VySWQiOiIxODIyNDE0NzIwIn0=</vt:lpwstr>
  </property>
  <property fmtid="{D5CDD505-2E9C-101B-9397-08002B2CF9AE}" pid="3" name="KSOProductBuildVer">
    <vt:lpwstr>2052-12.1.0.29161</vt:lpwstr>
  </property>
  <property fmtid="{D5CDD505-2E9C-101B-9397-08002B2CF9AE}" pid="4" name="ICV">
    <vt:lpwstr>6EAD24D3ED3944D582747D71F75844A2_13</vt:lpwstr>
  </property>
</Properties>
</file>