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758AD">
      <w:pPr>
        <w:pStyle w:val="31"/>
        <w:jc w:val="center"/>
      </w:pPr>
      <w:bookmarkStart w:id="0" w:name="_GoBack"/>
      <w:bookmarkEnd w:id="0"/>
      <w:r>
        <w:t>Document Selection Flow Diagram</w:t>
      </w:r>
    </w:p>
    <w:p w14:paraId="6F5340D3">
      <w:pPr>
        <w:jc w:val="center"/>
      </w:pPr>
      <w:r>
        <w:rPr>
          <w:rFonts w:ascii="Times New Roman" w:hAnsi="Times New Roman" w:eastAsia="Times New Roman"/>
          <w:b w:val="0"/>
          <w:i/>
          <w:sz w:val="21"/>
        </w:rPr>
        <w:t>Counting unit: one candidate device/product case at case identification, and one device-document case after document availability assessment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8"/>
        <w:gridCol w:w="3648"/>
        <w:gridCol w:w="3648"/>
      </w:tblGrid>
      <w:tr w14:paraId="0E21CCF9">
        <w:trPr>
          <w:jc w:val="center"/>
        </w:trPr>
        <w:tc>
          <w:tcPr>
            <w:tcW w:w="6264" w:type="dxa"/>
            <w:tcBorders>
              <w:top w:val="single" w:color="D9D9D9" w:sz="10" w:space="0"/>
              <w:left w:val="single" w:color="D9D9D9" w:sz="10" w:space="0"/>
              <w:bottom w:val="single" w:color="D9D9D9" w:sz="10" w:space="0"/>
              <w:right w:val="single" w:color="D9D9D9" w:sz="10" w:space="0"/>
            </w:tcBorders>
            <w:shd w:val="clear" w:color="auto" w:fill="EAF3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D43418">
            <w:pPr>
              <w:spacing w:after="100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22"/>
              </w:rPr>
              <w:t>Discovery</w:t>
            </w:r>
          </w:p>
          <w:p w14:paraId="757862DE">
            <w:pPr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Discovery sources consulted</w:t>
            </w:r>
          </w:p>
          <w:p w14:paraId="5C4F41F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counted as cases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130" w:type="dxa"/>
              <w:bottom w:w="20" w:type="dxa"/>
              <w:right w:w="130" w:type="dxa"/>
            </w:tcMar>
            <w:vAlign w:val="center"/>
          </w:tcPr>
          <w:p w14:paraId="60516AB2"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32"/>
              </w:rPr>
              <w:t>→</w:t>
            </w:r>
          </w:p>
        </w:tc>
        <w:tc>
          <w:tcPr>
            <w:tcW w:w="3960" w:type="dxa"/>
            <w:tcBorders>
              <w:top w:val="single" w:color="C55A11" w:sz="10" w:space="0"/>
              <w:left w:val="single" w:color="C55A11" w:sz="10" w:space="0"/>
              <w:bottom w:val="single" w:color="C55A11" w:sz="10" w:space="0"/>
              <w:right w:val="single" w:color="C55A11" w:sz="10" w:space="0"/>
            </w:tcBorders>
            <w:shd w:val="clear" w:color="auto" w:fill="FCE4D6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 w14:paraId="7C6935A0">
            <w:pPr>
              <w:spacing w:after="10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Discovery sources</w:t>
            </w:r>
          </w:p>
          <w:p w14:paraId="57306DC9"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Manufacturer websites</w:t>
            </w:r>
          </w:p>
          <w:p w14:paraId="214B4C84"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App-store links</w:t>
            </w:r>
          </w:p>
          <w:p w14:paraId="60F6CB4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Market reports and industry rankings</w:t>
            </w:r>
          </w:p>
        </w:tc>
      </w:tr>
      <w:tr w14:paraId="3F6ED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62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130" w:type="dxa"/>
              <w:bottom w:w="20" w:type="dxa"/>
              <w:right w:w="130" w:type="dxa"/>
            </w:tcMar>
            <w:vAlign w:val="center"/>
          </w:tcPr>
          <w:p w14:paraId="17CE0D55"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32"/>
              </w:rPr>
              <w:t>↓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0ED64402">
            <w:pPr>
              <w:spacing w:after="0"/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78634B27">
            <w:pPr>
              <w:spacing w:after="0"/>
            </w:pPr>
          </w:p>
        </w:tc>
      </w:tr>
      <w:tr w14:paraId="165BD2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64" w:type="dxa"/>
            <w:tcBorders>
              <w:top w:val="single" w:color="D9D9D9" w:sz="10" w:space="0"/>
              <w:left w:val="single" w:color="D9D9D9" w:sz="10" w:space="0"/>
              <w:bottom w:val="single" w:color="D9D9D9" w:sz="10" w:space="0"/>
              <w:right w:val="single" w:color="D9D9D9" w:sz="10" w:space="0"/>
            </w:tcBorders>
            <w:shd w:val="clear" w:color="auto" w:fill="EAF3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427A74">
            <w:pPr>
              <w:spacing w:after="100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22"/>
              </w:rPr>
              <w:t>Case identification</w:t>
            </w:r>
          </w:p>
          <w:p w14:paraId="7BA8099C">
            <w:pPr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Uniquely identifiable candidate device/product cases entering screening</w:t>
            </w:r>
          </w:p>
          <w:p w14:paraId="2CCCDF5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 = 28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130" w:type="dxa"/>
              <w:bottom w:w="20" w:type="dxa"/>
              <w:right w:w="130" w:type="dxa"/>
            </w:tcMar>
            <w:vAlign w:val="center"/>
          </w:tcPr>
          <w:p w14:paraId="46EE75DB"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32"/>
              </w:rPr>
              <w:t>→</w:t>
            </w:r>
          </w:p>
        </w:tc>
        <w:tc>
          <w:tcPr>
            <w:tcW w:w="3960" w:type="dxa"/>
            <w:tcBorders>
              <w:top w:val="single" w:color="C55A11" w:sz="10" w:space="0"/>
              <w:left w:val="single" w:color="C55A11" w:sz="10" w:space="0"/>
              <w:bottom w:val="single" w:color="C55A11" w:sz="10" w:space="0"/>
              <w:right w:val="single" w:color="C55A11" w:sz="10" w:space="0"/>
            </w:tcBorders>
            <w:shd w:val="clear" w:color="auto" w:fill="FCE4D6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 w14:paraId="0665E06C">
            <w:pPr>
              <w:spacing w:after="10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Case-level register</w:t>
            </w:r>
          </w:p>
          <w:p w14:paraId="5D4DF1B1"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Initial AG1-AG28</w:t>
            </w:r>
          </w:p>
          <w:p w14:paraId="5AC8D5D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All 28 candidates are listed in Table S1</w:t>
            </w:r>
          </w:p>
        </w:tc>
      </w:tr>
      <w:tr w14:paraId="5A4A40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62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130" w:type="dxa"/>
              <w:bottom w:w="20" w:type="dxa"/>
              <w:right w:w="130" w:type="dxa"/>
            </w:tcMar>
            <w:vAlign w:val="center"/>
          </w:tcPr>
          <w:p w14:paraId="79EECBAC"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32"/>
              </w:rPr>
              <w:t>↓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5AE3C493">
            <w:pPr>
              <w:spacing w:after="0"/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308FF33A">
            <w:pPr>
              <w:spacing w:after="0"/>
            </w:pPr>
          </w:p>
        </w:tc>
      </w:tr>
      <w:tr w14:paraId="06A2D0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64" w:type="dxa"/>
            <w:tcBorders>
              <w:top w:val="single" w:color="D9D9D9" w:sz="10" w:space="0"/>
              <w:left w:val="single" w:color="D9D9D9" w:sz="10" w:space="0"/>
              <w:bottom w:val="single" w:color="D9D9D9" w:sz="10" w:space="0"/>
              <w:right w:val="single" w:color="D9D9D9" w:sz="10" w:space="0"/>
            </w:tcBorders>
            <w:shd w:val="clear" w:color="auto" w:fill="EAF3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0ACA9F">
            <w:pPr>
              <w:spacing w:after="100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22"/>
              </w:rPr>
              <w:t>Document availability</w:t>
            </w:r>
          </w:p>
          <w:p w14:paraId="6D13853A">
            <w:pPr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Candidate cases assessed for an evaluable user agreement and/or privacy policy</w:t>
            </w:r>
          </w:p>
          <w:p w14:paraId="1748944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 = 28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130" w:type="dxa"/>
              <w:bottom w:w="20" w:type="dxa"/>
              <w:right w:w="130" w:type="dxa"/>
            </w:tcMar>
            <w:vAlign w:val="center"/>
          </w:tcPr>
          <w:p w14:paraId="3A60EF19"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32"/>
              </w:rPr>
              <w:t>→</w:t>
            </w:r>
          </w:p>
        </w:tc>
        <w:tc>
          <w:tcPr>
            <w:tcW w:w="3960" w:type="dxa"/>
            <w:tcBorders>
              <w:top w:val="single" w:color="C55A11" w:sz="10" w:space="0"/>
              <w:left w:val="single" w:color="C55A11" w:sz="10" w:space="0"/>
              <w:bottom w:val="single" w:color="C55A11" w:sz="10" w:space="0"/>
              <w:right w:val="single" w:color="C55A11" w:sz="10" w:space="0"/>
            </w:tcBorders>
            <w:shd w:val="clear" w:color="auto" w:fill="FCE4D6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 w14:paraId="72D7475D">
            <w:pPr>
              <w:spacing w:after="10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Excluded at document-availability assessment  n = 1</w:t>
            </w:r>
          </w:p>
          <w:p w14:paraId="23536FE2"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 evaluable policy document preserved in the archived case file  n = 1</w:t>
            </w:r>
          </w:p>
          <w:p w14:paraId="2CEECA9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Device-document cases proceeding to full-text review  n = 27</w:t>
            </w:r>
          </w:p>
        </w:tc>
      </w:tr>
      <w:tr w14:paraId="765C15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62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130" w:type="dxa"/>
              <w:bottom w:w="20" w:type="dxa"/>
              <w:right w:w="130" w:type="dxa"/>
            </w:tcMar>
            <w:vAlign w:val="center"/>
          </w:tcPr>
          <w:p w14:paraId="41A540E1"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32"/>
              </w:rPr>
              <w:t>↓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580F6CEB">
            <w:pPr>
              <w:spacing w:after="0"/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5955BE1E">
            <w:pPr>
              <w:spacing w:after="0"/>
            </w:pPr>
          </w:p>
        </w:tc>
      </w:tr>
      <w:tr w14:paraId="2ED773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64" w:type="dxa"/>
            <w:tcBorders>
              <w:top w:val="single" w:color="D9D9D9" w:sz="10" w:space="0"/>
              <w:left w:val="single" w:color="D9D9D9" w:sz="10" w:space="0"/>
              <w:bottom w:val="single" w:color="D9D9D9" w:sz="10" w:space="0"/>
              <w:right w:val="single" w:color="D9D9D9" w:sz="10" w:space="0"/>
            </w:tcBorders>
            <w:shd w:val="clear" w:color="auto" w:fill="EAF3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081E55">
            <w:pPr>
              <w:spacing w:after="100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22"/>
              </w:rPr>
              <w:t>Full-text eligibility</w:t>
            </w:r>
          </w:p>
          <w:p w14:paraId="79FA393C">
            <w:pPr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Device-document cases assessed against final scope and health-data criteria</w:t>
            </w:r>
          </w:p>
          <w:p w14:paraId="3EE6A5F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 = 27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130" w:type="dxa"/>
              <w:bottom w:w="20" w:type="dxa"/>
              <w:right w:w="130" w:type="dxa"/>
            </w:tcMar>
            <w:vAlign w:val="center"/>
          </w:tcPr>
          <w:p w14:paraId="24C01B74"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32"/>
              </w:rPr>
              <w:t>→</w:t>
            </w:r>
          </w:p>
        </w:tc>
        <w:tc>
          <w:tcPr>
            <w:tcW w:w="3960" w:type="dxa"/>
            <w:tcBorders>
              <w:top w:val="single" w:color="C55A11" w:sz="10" w:space="0"/>
              <w:left w:val="single" w:color="C55A11" w:sz="10" w:space="0"/>
              <w:bottom w:val="single" w:color="C55A11" w:sz="10" w:space="0"/>
              <w:right w:val="single" w:color="C55A11" w:sz="10" w:space="0"/>
            </w:tcBorders>
            <w:shd w:val="clear" w:color="auto" w:fill="FCE4D6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 w14:paraId="1FCFA89A">
            <w:pPr>
              <w:spacing w:after="10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Excluded after full-text eligibility assessment  n = 9</w:t>
            </w:r>
          </w:p>
          <w:p w14:paraId="008B192B"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Outside final analytic device-category scope  n = 4</w:t>
            </w:r>
          </w:p>
          <w:p w14:paraId="6DE24BB2"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Duplicate case/document  n = 1</w:t>
            </w:r>
          </w:p>
          <w:p w14:paraId="0086605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 documented or product-evidenced health or physiological data collection  n = 4</w:t>
            </w:r>
          </w:p>
        </w:tc>
      </w:tr>
      <w:tr w14:paraId="34C7B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62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130" w:type="dxa"/>
              <w:bottom w:w="20" w:type="dxa"/>
              <w:right w:w="130" w:type="dxa"/>
            </w:tcMar>
            <w:vAlign w:val="center"/>
          </w:tcPr>
          <w:p w14:paraId="1340DC4A"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32"/>
              </w:rPr>
              <w:t>↓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5626550B">
            <w:pPr>
              <w:spacing w:after="0"/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0CBFBCCD">
            <w:pPr>
              <w:spacing w:after="0"/>
            </w:pPr>
          </w:p>
        </w:tc>
      </w:tr>
      <w:tr w14:paraId="4D511A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64" w:type="dxa"/>
            <w:tcBorders>
              <w:top w:val="single" w:color="D9D9D9" w:sz="10" w:space="0"/>
              <w:left w:val="single" w:color="D9D9D9" w:sz="10" w:space="0"/>
              <w:bottom w:val="single" w:color="D9D9D9" w:sz="10" w:space="0"/>
              <w:right w:val="single" w:color="D9D9D9" w:sz="10" w:space="0"/>
            </w:tcBorders>
            <w:shd w:val="clear" w:color="auto" w:fill="E2F0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E2AA43">
            <w:pPr>
              <w:spacing w:after="100"/>
            </w:pPr>
            <w:r>
              <w:rPr>
                <w:rFonts w:ascii="Times New Roman" w:hAnsi="Times New Roman" w:eastAsia="Times New Roman"/>
                <w:b/>
                <w:i w:val="0"/>
                <w:color w:val="1F4E79"/>
                <w:sz w:val="22"/>
              </w:rPr>
              <w:t>Included</w:t>
            </w:r>
          </w:p>
          <w:p w14:paraId="6194784E">
            <w:pPr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Device-document cases included in final documentary analysis</w:t>
            </w:r>
          </w:p>
          <w:p w14:paraId="140EFBC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 = 18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257CD14D">
            <w:pPr>
              <w:spacing w:after="0"/>
            </w:pPr>
          </w:p>
        </w:tc>
        <w:tc>
          <w:tcPr>
            <w:tcW w:w="3960" w:type="dxa"/>
            <w:tcBorders>
              <w:top w:val="single" w:color="D9D9D9" w:sz="10" w:space="0"/>
              <w:left w:val="single" w:color="D9D9D9" w:sz="10" w:space="0"/>
              <w:bottom w:val="single" w:color="D9D9D9" w:sz="10" w:space="0"/>
              <w:right w:val="single" w:color="D9D9D9" w:sz="10" w:space="0"/>
            </w:tcBorders>
            <w:shd w:val="clear" w:color="auto" w:fill="E2F0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FCB0D4">
            <w:pPr>
              <w:spacing w:after="100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Final corpus</w:t>
            </w:r>
          </w:p>
          <w:p w14:paraId="0096675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Cases involving documented or product-evidenced collection of health or physiological data</w:t>
            </w:r>
          </w:p>
        </w:tc>
      </w:tr>
    </w:tbl>
    <w:p w14:paraId="02A1B83E">
      <w:pPr>
        <w:spacing w:before="160" w:after="0"/>
      </w:pPr>
      <w:r>
        <w:rPr>
          <w:rFonts w:ascii="Times New Roman" w:hAnsi="Times New Roman" w:eastAsia="Times New Roman"/>
          <w:b w:val="0"/>
          <w:i w:val="0"/>
          <w:sz w:val="18"/>
        </w:rPr>
        <w:t>Note. Manufacturer websites, app-store links, market reports, and industry rankings were discovery sources used to identify candidates; they are not counted as device-document cases and are therefore not assigned an n in the flow. The numbered flow begins with the 28 uniquely identifiable candidate cases preserved in the archived candidate table. A candidate case is one device or product entry linked to a candidate policy access point. After document availability assessment, a device-document case is one candidate linked to an evaluable user agreement and/or privacy policy. The Supplementary Screening Table lists every initial candidate identifier, source, evaluated document or product, screening stage, and one mutually exclusive outcome. The final evidence matrix and Table 2 use the same 18 included cases and 14 indicators. All document-retrieval and eligibility statistics are current as of 5 August 2026.</w:t>
      </w:r>
    </w:p>
    <w:sectPr>
      <w:pgSz w:w="12240" w:h="15840"/>
      <w:pgMar w:top="648" w:right="648" w:bottom="648" w:left="648" w:header="720" w:footer="720" w:gutter="0"/>
      <w:lnNumType w:countBy="1" w:restart="continuous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80268A"/>
    <w:rsid w:val="386A5533"/>
    <w:rsid w:val="69F67470"/>
    <w:rsid w:val="6F984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323</Words>
  <Characters>1907</Characters>
  <Lines>0</Lines>
  <Paragraphs>0</Paragraphs>
  <TotalTime>1</TotalTime>
  <ScaleCrop>false</ScaleCrop>
  <LinksUpToDate>false</LinksUpToDate>
  <CharactersWithSpaces>2195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Authors</dc:creator>
  <dc:description>generated by python-docx</dc:description>
  <cp:lastModifiedBy>邵滨0837</cp:lastModifiedBy>
  <dcterms:modified xsi:type="dcterms:W3CDTF">2026-09-25T18:35:29Z</dcterms:modified>
  <dc:subject>Case-level document selection and traceability</dc:subject>
  <dc:title>Document Selection Flow Diagram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35A7DE3A9FE244209227D7AC20E99F9F_13</vt:lpwstr>
  </property>
  <property fmtid="{D5CDD505-2E9C-101B-9397-08002B2CF9AE}" pid="4" name="KSOTemplateDocerSaveRecord">
    <vt:lpwstr>eyJoZGlkIjoiMmE2NWJjMWQxZTY5MTBlZWNlODQ2ZGE0NjJlYTdlMjUiLCJ1c2VySWQiOiIxODIyNDE0NzIwIn0=</vt:lpwstr>
  </property>
</Properties>
</file>