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C1BF3">
      <w:pPr>
        <w:spacing w:after="40"/>
        <w:jc w:val="center"/>
      </w:pPr>
      <w:bookmarkStart w:id="0" w:name="_GoBack"/>
      <w:bookmarkEnd w:id="0"/>
      <w:r>
        <w:rPr>
          <w:rFonts w:ascii="Arial" w:hAnsi="Arial" w:eastAsia="Arial"/>
          <w:b/>
          <w:i w:val="0"/>
          <w:sz w:val="30"/>
        </w:rPr>
        <w:t>Supplementary Screening Table</w:t>
      </w:r>
    </w:p>
    <w:p w14:paraId="132CA489">
      <w:pPr>
        <w:spacing w:after="140"/>
        <w:jc w:val="center"/>
      </w:pPr>
      <w:r>
        <w:rPr>
          <w:rFonts w:ascii="Arial" w:hAnsi="Arial" w:eastAsia="Arial"/>
          <w:b w:val="0"/>
          <w:i/>
          <w:sz w:val="18"/>
        </w:rPr>
        <w:t>Case-level traceability from candidate identification to final inclusion</w:t>
      </w:r>
    </w:p>
    <w:p w14:paraId="2C802524">
      <w:pPr>
        <w:spacing w:after="120"/>
      </w:pPr>
      <w:r>
        <w:rPr>
          <w:rFonts w:ascii="Arial" w:hAnsi="Arial" w:eastAsia="Arial"/>
          <w:b w:val="0"/>
          <w:i w:val="0"/>
          <w:sz w:val="16"/>
        </w:rPr>
        <w:t>Manufacturer websites, app-store links, market reports, and industry rankings were used as discovery sources and were not counted as device-document cases. The archived candidate table contained 28 uniquely identifiable candidate device/product cases. One case was excluded at document-availability assessment, leaving 27 device-document cases for full-text eligibility review; nine additional cases were excluded for the mutually exclusive reasons shown below, leaving 18 cases in the final analysis.</w:t>
      </w:r>
    </w:p>
    <w:p w14:paraId="1B6FDBF9">
      <w:pPr>
        <w:spacing w:after="60"/>
      </w:pPr>
      <w:r>
        <w:rPr>
          <w:rFonts w:ascii="Arial" w:hAnsi="Arial" w:eastAsia="Arial"/>
          <w:b/>
          <w:i w:val="0"/>
          <w:sz w:val="20"/>
        </w:rPr>
        <w:t>Table S1. Case-level screening inventory for all initial candidates (n = 28)</w:t>
      </w:r>
    </w:p>
    <w:p w14:paraId="093AD458">
      <w:pPr>
        <w:spacing w:after="100"/>
      </w:pPr>
      <w:r>
        <w:t>Candidate IDs (AG1-AG28) reproduce the numbering of the archived candidate table. The final corpus is renumbered AG1-AG18; each Final ID corresponds one-to-one to an archived document set in 07_Privacy_Policy_Archive_AG01_AG18.zip. Final AG12 comprises AG12_Lenovo_Health_Life_privacy_policy.md together with AG12_Lenovo_General_Privacy_Statement_supplement.md, the latter being used only within the scope expressly incorporated by the product-specific policy. The candidate-table IDs (AG1-AG28) and Final IDs (AG1-AG18) are different sequences; the mapping is given row by row. Each excluded candidate has one mutually exclusive reason.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107"/>
        <w:gridCol w:w="2107"/>
        <w:gridCol w:w="2107"/>
        <w:gridCol w:w="2107"/>
        <w:gridCol w:w="2107"/>
        <w:gridCol w:w="2107"/>
        <w:gridCol w:w="1600"/>
        <w:gridCol w:w="1760"/>
      </w:tblGrid>
      <w:tr w14:paraId="2833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50" w:type="dxa"/>
            <w:shd w:val="clear" w:color="auto" w:fill="1F4E78"/>
            <w:vAlign w:val="center"/>
          </w:tcPr>
          <w:p w14:paraId="774019D7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Candidate ID (archived candidate table, AG1-AG28)</w:t>
            </w:r>
          </w:p>
        </w:tc>
        <w:tc>
          <w:tcPr>
            <w:tcW w:w="1224" w:type="dxa"/>
            <w:shd w:val="clear" w:color="auto" w:fill="1F4E78"/>
            <w:vAlign w:val="center"/>
          </w:tcPr>
          <w:p w14:paraId="5E1D8770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Brand / product</w:t>
            </w:r>
          </w:p>
        </w:tc>
        <w:tc>
          <w:tcPr>
            <w:tcW w:w="1584" w:type="dxa"/>
            <w:shd w:val="clear" w:color="auto" w:fill="1F4E78"/>
            <w:vAlign w:val="center"/>
          </w:tcPr>
          <w:p w14:paraId="53A98AFE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Device / category</w:t>
            </w:r>
          </w:p>
        </w:tc>
        <w:tc>
          <w:tcPr>
            <w:tcW w:w="2304" w:type="dxa"/>
            <w:shd w:val="clear" w:color="auto" w:fill="1F4E78"/>
            <w:vAlign w:val="center"/>
          </w:tcPr>
          <w:p>
            <w:r>
              <w:rPr>
                <w:sz w:val="14"/>
              </w:rPr>
              <w:t>Candidate source / access point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3C2E39DE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Document or product evaluated</w:t>
            </w:r>
          </w:p>
        </w:tc>
        <w:tc>
          <w:tcPr>
            <w:tcW w:w="2044" w:type="dxa"/>
            <w:shd w:val="clear" w:color="auto" w:fill="1F4E78"/>
            <w:vAlign w:val="center"/>
          </w:tcPr>
          <w:p w14:paraId="5B841C66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Stage and outcome</w:t>
            </w:r>
          </w:p>
        </w:tc>
        <w:tc>
          <w:tcPr>
            <w:tcW w:w="4075" w:type="dxa"/>
            <w:shd w:val="clear" w:color="auto" w:fill="1F4E78"/>
            <w:vAlign w:val="center"/>
          </w:tcPr>
          <w:p w14:paraId="6752DE13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Mutually exclusive reason / final mapping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Policy version / effective date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 / archival date</w:t>
            </w:r>
          </w:p>
        </w:tc>
      </w:tr>
      <w:tr w14:paraId="3FCC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76DEAFC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62014C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Huawei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9E156F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https://privacy-drcn.dbankcdn.cn/agreement/scope/huawei/health/privacy-statement/cn_b0_20250820_0/default/privacy-statement-zh-cn.htm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507EF1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Huawei Health Privacy Statement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AG01_Huawei_privacy_policy.md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5A089FF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26B9CC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11 August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76648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7558847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63FF844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Xiaomi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4F3D5E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https://watch.iot.mi.com/html/privacy/index.html?model=app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639E517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Xiaomi Sports and Health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AG02_Xiaomi_privacy_policy.md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2AC8C9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5C3063D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AG2.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14 May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02E8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66E794B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AG3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7CBF527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OPPO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D09D52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https://health.heytapdownload.com/agreement/pdfagreements/20260226161443/6_0-健康APP个人信息保护政策.pdf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E40B2C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OPPO Health App Personal Information Protection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AG03_OPPO_privacy_policy.md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60FD380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5DD6D1D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AG3.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26 February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1066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63F41B4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AG4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173235C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vivo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1E04A04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https://health-h5.vivo.com.cn/doc/v5.0/privacy.html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64872D5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vivo Health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AG04_vivo_privacy_policy.md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7B67235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5EB55B9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AG4.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27 June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1607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74BC902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AG5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5D0E44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Honor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25E1DC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https://agreement.itsec.hihonor.com/asm/agrFile/getHtmlFile?agrNo=1070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AF2981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Honor Health Privacy Statement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AG05_Honor_privacy_policy.md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3DC58E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231E2C1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AG5.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30 July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08B8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7A34623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AG6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47C3478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Huami / Amazfit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4E0828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https://upload-cdn.huami.com/tposts/8191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4940B89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Amazfit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AG06_Amazfit_privacy_policy.md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0961F34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1D7F987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AG6.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Effective 3 June 2019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4E95F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56CBD93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AG7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5B94D39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Keep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DC1035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https://m.gotokeep.com/fd-page/document/show?param=privacy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0BD05D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Keep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AG07_Keep_privacy_policy.md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45D7A5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59AC3DC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AG7.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3 August 2026; effective 5 August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7C7D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7DB41E5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AG8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23CEBF5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RingConn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7F3147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ring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https://ringconn.com/pages/ringconn-app-privacy-policy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041E9D9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RingConn App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AG08_RingConn_privacy_policy.md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5FDDE8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063385F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AG8.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8 April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242A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3F73356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AG9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1A861EB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Dreame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586205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ring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https://protocol.dreame.tech/p2177/zh/general_privacyPolicy.html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354A9D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Dreame Health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AG09_Dreame_privacy_policy.md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362ABB2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46FFD1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AG9.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6 July 2026; effective 13 July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3BCF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1CC65D7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AG10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2D58CE5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Meizu / MYVU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2399111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ring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https://static.meizu.com/resources/term/privacy8.html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2FBD936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MYVU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AG10_Meizu_MYVU_privacy_policy.md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7B964BF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6BAB3CD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AG10.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Version 1.17; updated/effective 10 January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0F7A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0ABE33A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AG11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4442EE3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Black Shark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31F71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ring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In-app access: Black Shark Ring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71FCD4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Black Shark Smart Ring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AG11_Black_Shark_privacy_policy.md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4BF9B3E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079D6D2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AG11.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7 March 2024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7052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43F7478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AG12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0A2631F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HiFuture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03C263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ring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In-app access: HiFuture; no evaluable policy document was preserved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710643B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No evaluable policy document preserved in the archived case file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15AC79E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document-availability assessment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768E33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No evaluable policy document was preserved in the archived case file; the original AG12 entry was removed before full-text assessment.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Not available: no evaluable policy document was preserved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4A1D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621ACF0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AG13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3ADDA8B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RayNeo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7BE4E68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 glasses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webpage: https://rayneo.cn/xr-richtex/?parentTag=privacy_policy_zh_CN&amp;tag=20231225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2636001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RayNeo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0F7BE8A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026EE2F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smart-glasses case outside the final analytic scope, which was limited to smartwatches/smart bands, smart rings, and smart earbuds.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Effective 1 June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619C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26940ED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AG14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41D0FF3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Rokid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2889F39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 glasses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webpage: https://static.rokidcdn.com/agreement/Policy.html?lang=zh-CN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0CAF321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Rokid AI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6EF0A3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47D9F95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smart-glasses case outside the final analytic scope, which was limited to smartwatches/smart bands, smart rings, and smart earbuds.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Updated/effective 15 June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243B0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33E7D20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AG15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263A80E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Lawaken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259E316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 glasses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webpages recorded in the candidate materials: https://lawaken.com/help/Privacy%20Policy/ and https://lawaken.com/agreement/lawkgo_privacy.html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64971AC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Lawaken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5C5FDFE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1991BA4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smart-glasses case outside the final analytic scope, which was limited to smartwatches/smart bands, smart rings, and smart earbuds.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1 April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2A7A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0401F38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AG16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615A4D5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VITURE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3DB6847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 glasses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webpage: https://static.viture.dev/privacy-policy/v1/zh-cn/index.html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7ACE8B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VITURE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67484DE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7BA008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AR smart-glasses case outside the final analytic scope, which was limited to smartwatches/smart bands, smart rings, and smart earbuds.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Updated/effective May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36CDB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0A671C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AG17</w:t>
            </w:r>
          </w:p>
        </w:tc>
        <w:tc>
          <w:tcPr>
            <w:tcW w:w="1224" w:type="dxa"/>
            <w:shd w:val="clear" w:color="auto" w:fill="FFFFFF"/>
            <w:vAlign w:val="center"/>
          </w:tcPr>
          <w:p>
            <w:r>
              <w:rPr>
                <w:sz w:val="14"/>
              </w:rPr>
              <w:t>Lenovo</w:t>
            </w:r>
          </w:p>
        </w:tc>
        <w:tc>
          <w:tcPr>
            <w:tcW w:w="1584" w:type="dxa"/>
            <w:shd w:val="clear" w:color="auto" w:fill="FFFFFF"/>
            <w:vAlign w:val="center"/>
          </w:tcPr>
          <w:p>
            <w:r>
              <w:rPr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webpages: https://lenovo-api.idours.cn/privacy_policy.html; incorporated supplement: https://www.lenovo.com.cn/statement/privacy.html?tab=2</w:t>
            </w:r>
          </w:p>
        </w:tc>
        <w:tc>
          <w:tcPr>
            <w:tcW w:w="2880" w:type="dxa"/>
            <w:shd w:val="clear" w:color="auto" w:fill="FFFFFF"/>
            <w:vAlign w:val="center"/>
          </w:tcPr>
          <w:p>
            <w:r>
              <w:rPr>
                <w:sz w:val="14"/>
              </w:rPr>
              <w:t>Lenovo Health Life Privacy Policy; incorporated supplement: Lenovo and Motorola Products Privacy Statement</w:t>
              <w:br/>
              <w:t>Archived source files: AG12_Lenovo_Health_Life_privacy_policy.md; AG12_Lenovo_General_Privacy_Statement_supplement.md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1F63CE0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04184D2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AG12.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Health Life policy effective 8 October 2024; incorporated general statement updated 21 August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Supplementary source matching closed 25 September 2026; product-specific policy archived 27 September 2026; incorporated statement accessed 5 August 2026</w:t>
            </w:r>
          </w:p>
        </w:tc>
      </w:tr>
      <w:tr w14:paraId="3B51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5BDF26D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AG18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1935694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Baidu / Xiaodu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2731BC5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https://xiaodu.baidu.com/webssr/protocol?id=f9fb105e-d4b4-4953-a5a3-744f835dff65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6934E28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DuerOS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AG13_Baidu_Xiaodu_privacy_policy.md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584C9A6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2FBD3D5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AG13.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7 January 2026; effective 14 January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33AD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6976D46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AG19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43C57F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Huawei Audio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368A74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https://privacy-drcn.dbankcdn.cn/agreement/scope/huawei/audio-connect/privacy-statement/cn_b0_20250901_0/default/privacy-statement-zh-cn.htm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910D55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Huawei Smart Audio Privacy Statement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AG14_Huawei_Audio_privacy_policy.md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7FAAE41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24451D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AG14.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25 April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2732A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74C6EA3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AG20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52CB554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Edifier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3F57EFD3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Official webpage: https://edifier.com/privacy.html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3799BF2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Edifier Connect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AG15_Edifier_privacy_policy.md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799C4A6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7C1057D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AG15.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21 July 2021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060D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72C3026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AG21</w:t>
            </w:r>
          </w:p>
        </w:tc>
        <w:tc>
          <w:tcPr>
            <w:tcW w:w="1224" w:type="dxa"/>
            <w:shd w:val="clear" w:color="auto" w:fill="FFFFFF"/>
            <w:vAlign w:val="center"/>
          </w:tcPr>
          <w:p>
            <w:r>
              <w:rPr>
                <w:sz w:val="14"/>
              </w:rPr>
              <w:t>Shokzhear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BB62CF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Official webpage: https://www.shokzhear.com/privacy.html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8BBE37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Shokz App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AG16_Shokzhear_privacy_policy.md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1866171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1628D1A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AG16.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Published/effective May 2026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2ECA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3F6F8"/>
            <w:vAlign w:val="center"/>
          </w:tcPr>
          <w:p w14:paraId="7B14008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AG22</w:t>
            </w:r>
          </w:p>
        </w:tc>
        <w:tc>
          <w:tcPr>
            <w:tcW w:w="1224" w:type="dxa"/>
            <w:shd w:val="clear" w:color="auto" w:fill="F3F6F8"/>
            <w:vAlign w:val="center"/>
          </w:tcPr>
          <w:p w14:paraId="2ABDFFC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QCY</w:t>
            </w:r>
          </w:p>
        </w:tc>
        <w:tc>
          <w:tcPr>
            <w:tcW w:w="1584" w:type="dxa"/>
            <w:shd w:val="clear" w:color="auto" w:fill="F3F6F8"/>
            <w:vAlign w:val="center"/>
          </w:tcPr>
          <w:p w14:paraId="0386DBF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Smartwatch / smart band</w:t>
            </w:r>
          </w:p>
        </w:tc>
        <w:tc>
          <w:tcPr>
            <w:tcW w:w="2304" w:type="dxa"/>
            <w:shd w:val="clear" w:color="auto" w:fill="F3F6F8"/>
            <w:vAlign w:val="center"/>
          </w:tcPr>
          <w:p>
            <w:r>
              <w:rPr>
                <w:sz w:val="14"/>
              </w:rPr>
              <w:t>In-app access: QCY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52ED486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QCY App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AG17_QCY_privacy_policy.md</w:t>
            </w:r>
          </w:p>
        </w:tc>
        <w:tc>
          <w:tcPr>
            <w:tcW w:w="2044" w:type="dxa"/>
            <w:shd w:val="clear" w:color="auto" w:fill="F3F6F8"/>
            <w:vAlign w:val="center"/>
          </w:tcPr>
          <w:p w14:paraId="2FFE9C8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3F6F8"/>
            <w:vAlign w:val="center"/>
          </w:tcPr>
          <w:p w14:paraId="0CAE4B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AG17.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12 August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7D81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3516CA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AG23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4008DEE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Baseus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3762E21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In-app access: Baseus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2CCB3A5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Baseus App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262AE7D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55F054B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The archived document set did not document, and no case-specific product evidence established, collection of health or physiological data for this device-document case.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20 June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7616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6642EEEA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AG24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5D83A6A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Baidu / Xiaodu / DuerOS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6321E56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webpage: https://xiaodu.baidu.com/webssr/protocol?id=e02b4c0b-79f8-4cf1-a2ff-1b2aca3c40a2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53369E2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DuerOS Privacy Policy (earlier candidate record)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66D54F9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 (deduplication)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282E8589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Duplicate of the retained Baidu (Xiaodu) case (Final AG13): both candidate records relied on a broad DuerOS policy, and no distinct earbud-specific document set was identified.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11 August 2025 (date recorded for the earlier candidate document)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7BB55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6019554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AG25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1A674BC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HIFIMAN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686ABC4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Official webpages recorded in the candidate materials: https://store.hifiman.com/index.php/privacy-policy and https://tools.hifiman.cn/hifimansmart/privacy.html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20A8611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HIFIMAN Smart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57FA099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5877CB9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The archived document set did not document, and no case-specific product evidence established, collection of health or physiological data for this device-document case.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Updated/effective 1 January 2025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3909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4C0F6E5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AG26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7DDE590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iFLYTEK / iFlybuds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04918217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In-app access: iFLYBUDS; public policy page recorded in the source materials: https://www.iflybuds.com/pages/privacy.html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7B2C345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iFlybuds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29C2EA0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2E43B42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The archived document set did not document, and no case-specific product evidence established, collection of health or physiological data for this device-document case.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1 November 2024; effective 11 October 2023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  <w:tr w14:paraId="5E1DD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FFF"/>
            <w:vAlign w:val="center"/>
          </w:tcPr>
          <w:p w14:paraId="0F13159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AG27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69F423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EARWEISS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B5F3AB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FFF"/>
            <w:vAlign w:val="center"/>
          </w:tcPr>
          <w:p>
            <w:r>
              <w:rPr>
                <w:sz w:val="14"/>
              </w:rPr>
              <w:t>In-app access: Tingzhihui Earbuds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EC6FC5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EARWEISS App Privacy Policy</w:t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sz w:val="14"/>
              </w:rPr>
              <w:t>Archived source file: AG18_Earweiss_privacy_policy.md</w:t>
            </w:r>
          </w:p>
        </w:tc>
        <w:tc>
          <w:tcPr>
            <w:tcW w:w="2044" w:type="dxa"/>
            <w:shd w:val="clear" w:color="auto" w:fill="FFFFFF"/>
            <w:vAlign w:val="center"/>
          </w:tcPr>
          <w:p w14:paraId="2A4C6EC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after full-text eligibility</w:t>
            </w:r>
          </w:p>
        </w:tc>
        <w:tc>
          <w:tcPr>
            <w:tcW w:w="4075" w:type="dxa"/>
            <w:shd w:val="clear" w:color="auto" w:fill="FFFFFF"/>
            <w:vAlign w:val="center"/>
          </w:tcPr>
          <w:p w14:paraId="724D3BC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Met the final eligibility criteria and was retained as Final AG18.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Updated 1 December 2023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5 August 2026</w:t>
            </w:r>
          </w:p>
        </w:tc>
      </w:tr>
      <w:tr w14:paraId="30C1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0" w:type="dxa"/>
            <w:shd w:val="clear" w:color="auto" w:fill="FFF8E7"/>
            <w:vAlign w:val="center"/>
          </w:tcPr>
          <w:p w14:paraId="6017D20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AG28</w:t>
            </w:r>
          </w:p>
        </w:tc>
        <w:tc>
          <w:tcPr>
            <w:tcW w:w="1224" w:type="dxa"/>
            <w:shd w:val="clear" w:color="auto" w:fill="FFF8E7"/>
            <w:vAlign w:val="center"/>
          </w:tcPr>
          <w:p w14:paraId="7C8F1F3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Tonemay</w:t>
            </w:r>
          </w:p>
        </w:tc>
        <w:tc>
          <w:tcPr>
            <w:tcW w:w="1584" w:type="dxa"/>
            <w:shd w:val="clear" w:color="auto" w:fill="FFF8E7"/>
            <w:vAlign w:val="center"/>
          </w:tcPr>
          <w:p w14:paraId="46574C5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Smart earbuds</w:t>
            </w:r>
          </w:p>
        </w:tc>
        <w:tc>
          <w:tcPr>
            <w:tcW w:w="2304" w:type="dxa"/>
            <w:shd w:val="clear" w:color="auto" w:fill="FFF8E7"/>
            <w:vAlign w:val="center"/>
          </w:tcPr>
          <w:p>
            <w:r>
              <w:rPr>
                <w:sz w:val="14"/>
              </w:rPr>
              <w:t>In-app access: Tonemay; no separate public policy URL was recorded</w:t>
            </w:r>
          </w:p>
        </w:tc>
        <w:tc>
          <w:tcPr>
            <w:tcW w:w="2880" w:type="dxa"/>
            <w:shd w:val="clear" w:color="auto" w:fill="FFF8E7"/>
            <w:vAlign w:val="center"/>
          </w:tcPr>
          <w:p w14:paraId="082AF0D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Tonemay Privacy Policy</w:t>
            </w:r>
          </w:p>
        </w:tc>
        <w:tc>
          <w:tcPr>
            <w:tcW w:w="2044" w:type="dxa"/>
            <w:shd w:val="clear" w:color="auto" w:fill="FFF8E7"/>
            <w:vAlign w:val="center"/>
          </w:tcPr>
          <w:p w14:paraId="123628D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Excluded at full-text eligibility</w:t>
            </w:r>
          </w:p>
        </w:tc>
        <w:tc>
          <w:tcPr>
            <w:tcW w:w="4075" w:type="dxa"/>
            <w:shd w:val="clear" w:color="auto" w:fill="FFF8E7"/>
            <w:vAlign w:val="center"/>
          </w:tcPr>
          <w:p w14:paraId="1960F190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The archived document set did not document, and no case-specific product evidence established, collection of health or physiological data for this device-document case.</w:t>
            </w:r>
          </w:p>
        </w:tc>
        <w:tc>
          <w:tcPr>
            <w:tcW w:type="dxa" w:w="1600"/>
          </w:tcPr>
          <w:p>
            <w:r>
              <w:rPr>
                <w:sz w:val="14"/>
              </w:rPr>
              <w:t>Effective 1 January 2024</w:t>
            </w:r>
          </w:p>
        </w:tc>
        <w:tc>
          <w:tcPr>
            <w:tcW w:type="dxa" w:w="1760"/>
          </w:tcPr>
          <w:p>
            <w:r>
              <w:rPr>
                <w:sz w:val="14"/>
              </w:rPr>
              <w:t>Accessed during candidate screening by 5 August 2026; exact access date not separately recorded</w:t>
            </w:r>
          </w:p>
        </w:tc>
      </w:tr>
    </w:tbl>
    <w:p w14:paraId="28CCE45F">
      <w:pPr>
        <w:spacing w:before="120" w:after="80"/>
      </w:pPr>
      <w:r>
        <w:rPr>
          <w:rFonts w:ascii="Arial" w:hAnsi="Arial" w:eastAsia="Arial"/>
          <w:b/>
          <w:i w:val="0"/>
          <w:sz w:val="16"/>
        </w:rPr>
        <w:t>Flow reconciliation: 28 initial candidate cases = 18 included cases + 10 excluded cases. One case was excluded at document-availability assessment (Initial AG12), and nine were excluded at full-text eligibility (Initial AG13-AG16, Initial AG23-AG26, and Initial AG28).</w:t>
      </w:r>
    </w:p>
    <w:p w14:paraId="11251D17">
      <w:pPr>
        <w:spacing w:before="80" w:after="60"/>
      </w:pPr>
      <w:r>
        <w:rPr>
          <w:rFonts w:ascii="Arial" w:hAnsi="Arial" w:eastAsia="Arial"/>
          <w:b/>
          <w:i w:val="0"/>
          <w:sz w:val="20"/>
        </w:rPr>
        <w:t>Table S2. Numerical reconciliation with the flow diagram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9"/>
        <w:gridCol w:w="2949"/>
        <w:gridCol w:w="2949"/>
        <w:gridCol w:w="2949"/>
        <w:gridCol w:w="2949"/>
      </w:tblGrid>
      <w:tr w14:paraId="6AE3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0" w:type="dxa"/>
            <w:shd w:val="clear" w:color="auto" w:fill="1F4E78"/>
            <w:vAlign w:val="center"/>
          </w:tcPr>
          <w:p w14:paraId="18D0798A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Flow stage</w:t>
            </w:r>
          </w:p>
        </w:tc>
        <w:tc>
          <w:tcPr>
            <w:tcW w:w="2088" w:type="dxa"/>
            <w:shd w:val="clear" w:color="auto" w:fill="1F4E78"/>
            <w:vAlign w:val="center"/>
          </w:tcPr>
          <w:p w14:paraId="162E47F7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Cases entering stage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2F206898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Cases excluded at stage</w:t>
            </w:r>
          </w:p>
        </w:tc>
        <w:tc>
          <w:tcPr>
            <w:tcW w:w="2088" w:type="dxa"/>
            <w:shd w:val="clear" w:color="auto" w:fill="1F4E78"/>
            <w:vAlign w:val="center"/>
          </w:tcPr>
          <w:p w14:paraId="1319A258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Cases remaining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2F6B9EA2"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Candidate IDs (archived candidate table, AG1-AG28) accounting for exclusions</w:t>
            </w:r>
          </w:p>
        </w:tc>
      </w:tr>
      <w:tr w14:paraId="05C3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  <w:shd w:val="clear" w:color="auto" w:fill="FFFFFF"/>
            <w:vAlign w:val="center"/>
          </w:tcPr>
          <w:p w14:paraId="6A15819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Candidate case identification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360503E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28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69B2599D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0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3B95BC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28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B8628A1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None</w:t>
            </w:r>
          </w:p>
        </w:tc>
      </w:tr>
      <w:tr w14:paraId="7FCBC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  <w:shd w:val="clear" w:color="auto" w:fill="F3F6F8"/>
            <w:vAlign w:val="center"/>
          </w:tcPr>
          <w:p w14:paraId="2EAAA6F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Document-availability assessment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629C28E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28</w:t>
            </w:r>
          </w:p>
        </w:tc>
        <w:tc>
          <w:tcPr>
            <w:tcW w:w="2376" w:type="dxa"/>
            <w:shd w:val="clear" w:color="auto" w:fill="F3F6F8"/>
            <w:vAlign w:val="center"/>
          </w:tcPr>
          <w:p w14:paraId="26C7B50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6639FDAE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27</w:t>
            </w:r>
          </w:p>
        </w:tc>
        <w:tc>
          <w:tcPr>
            <w:tcW w:w="5760" w:type="dxa"/>
            <w:shd w:val="clear" w:color="auto" w:fill="F3F6F8"/>
            <w:vAlign w:val="center"/>
          </w:tcPr>
          <w:p w14:paraId="5B7A8238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AG12</w:t>
            </w:r>
          </w:p>
        </w:tc>
      </w:tr>
      <w:tr w14:paraId="0749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  <w:shd w:val="clear" w:color="auto" w:fill="FFFFFF"/>
            <w:vAlign w:val="center"/>
          </w:tcPr>
          <w:p w14:paraId="7ABA2DE5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Full-text eligibility assessment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4E4A3122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27</w:t>
            </w:r>
          </w:p>
        </w:tc>
        <w:tc>
          <w:tcPr>
            <w:tcW w:w="2376" w:type="dxa"/>
            <w:shd w:val="clear" w:color="auto" w:fill="FFFFFF"/>
            <w:vAlign w:val="center"/>
          </w:tcPr>
          <w:p w14:paraId="387C5D2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9</w:t>
            </w:r>
          </w:p>
        </w:tc>
        <w:tc>
          <w:tcPr>
            <w:tcW w:w="2088" w:type="dxa"/>
            <w:shd w:val="clear" w:color="auto" w:fill="FFFFFF"/>
            <w:vAlign w:val="center"/>
          </w:tcPr>
          <w:p w14:paraId="0E79FD4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18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6366D53C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Initial AG13-AG16; Initial AG23-AG26; Initial AG28</w:t>
            </w:r>
          </w:p>
        </w:tc>
      </w:tr>
      <w:tr w14:paraId="2D897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40" w:type="dxa"/>
            <w:shd w:val="clear" w:color="auto" w:fill="F3F6F8"/>
            <w:vAlign w:val="center"/>
          </w:tcPr>
          <w:p w14:paraId="7058C3F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Included in final analysis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61D56014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18</w:t>
            </w:r>
          </w:p>
        </w:tc>
        <w:tc>
          <w:tcPr>
            <w:tcW w:w="2376" w:type="dxa"/>
            <w:shd w:val="clear" w:color="auto" w:fill="F3F6F8"/>
            <w:vAlign w:val="center"/>
          </w:tcPr>
          <w:p w14:paraId="2535959F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0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027E8536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18</w:t>
            </w:r>
          </w:p>
        </w:tc>
        <w:tc>
          <w:tcPr>
            <w:tcW w:w="5760" w:type="dxa"/>
            <w:shd w:val="clear" w:color="auto" w:fill="F3F6F8"/>
            <w:vAlign w:val="center"/>
          </w:tcPr>
          <w:p w14:paraId="7CC1225B"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>None</w:t>
            </w:r>
          </w:p>
        </w:tc>
      </w:tr>
    </w:tbl>
    <w:p w14:paraId="33DD294E"/>
    <w:sectPr>
      <w:pgSz w:w="15840" w:h="12240" w:orient="landscape"/>
      <w:pgMar w:top="648" w:right="547" w:bottom="648" w:left="547" w:header="720" w:footer="720" w:gutter="0"/>
      <w:lnNumType w:countBy="1" w:restart="continuous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72097B"/>
    <w:rsid w:val="6CC8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1381</Words>
  <Characters>9166</Characters>
  <Lines>0</Lines>
  <Paragraphs>0</Paragraphs>
  <TotalTime>2</TotalTime>
  <ScaleCrop>false</ScaleCrop>
  <LinksUpToDate>false</LinksUpToDate>
  <CharactersWithSpaces>10262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Authors</dc:creator>
  <dc:description>generated by python-docx</dc:description>
  <cp:lastModifiedBy>邵滨0837</cp:lastModifiedBy>
  <dcterms:modified xsi:type="dcterms:W3CDTF">2026-09-25T18:35:38Z</dcterms:modified>
  <dc:subject>Traceability of candidate device-document cases</dc:subject>
  <dc:title>Supplementary Screening Table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eyJoZGlkIjoiMmE2NWJjMWQxZTY5MTBlZWNlODQ2ZGE0NjJlYTdlMjUiLCJ1c2VySWQiOiIxODIyNDE0NzIwIn0=</vt:lpwstr>
  </property>
  <property fmtid="{D5CDD505-2E9C-101B-9397-08002B2CF9AE}" pid="3" name="KSOProductBuildVer">
    <vt:lpwstr>2052-12.1.0.29161</vt:lpwstr>
  </property>
  <property fmtid="{D5CDD505-2E9C-101B-9397-08002B2CF9AE}" pid="4" name="ICV">
    <vt:lpwstr>149B33F898C947C2B35DAD064D56CF31_12</vt:lpwstr>
  </property>
</Properties>
</file>