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Selection Flow Diagram</w:t>
      </w:r>
    </w:p>
    <w:p>
      <w:pPr>
        <w:jc w:val="center"/>
      </w:pPr>
      <w:r>
        <w:rPr>
          <w:i/>
          <w:sz w:val="20"/>
        </w:rPr>
        <w:t>Unit counted at every stage: device document records or device document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6264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fill="EA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Identification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Records identified</w:t>
              <w:br/>
              <w:t>n = 36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  <w:shd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→</w:t>
            </w:r>
          </w:p>
        </w:tc>
        <w:tc>
          <w:tcPr>
            <w:tcW w:type="dxa" w:w="3960"/>
            <w:tcBorders>
              <w:top w:val="single" w:sz="10" w:space="0" w:color="C55A11"/>
              <w:left w:val="single" w:sz="10" w:space="0" w:color="C55A11"/>
              <w:bottom w:val="single" w:sz="10" w:space="0" w:color="C55A11"/>
              <w:right w:val="single" w:sz="10" w:space="0" w:color="C55A11"/>
            </w:tcBorders>
            <w:shd w:fill="FCE4D6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Sources</w:t>
            </w:r>
          </w:p>
          <w:p>
            <w:pPr>
              <w:spacing w:before="0" w:after="20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• Manufacturer websites  n = 26</w:t>
            </w:r>
          </w:p>
          <w:p>
            <w:pPr>
              <w:spacing w:before="0" w:after="20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• App-store links  n = 4</w:t>
            </w:r>
          </w:p>
          <w:p>
            <w:pPr>
              <w:spacing w:before="0" w:after="20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• Market reports and industry rankings  n = 6</w:t>
            </w:r>
          </w:p>
        </w:tc>
      </w:tr>
      <w:tr>
        <w:trPr>
          <w:trHeight w:val="317"/>
        </w:trPr>
        <w:tc>
          <w:tcPr>
            <w:tcW w:type="dxa" w:w="6264"/>
            <w:tcBorders>
              <w:top w:val="nil"/>
              <w:left w:val="nil"/>
              <w:bottom w:val="nil"/>
              <w:right w:val="nil"/>
            </w:tcBorders>
            <w:shd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↓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</w:tr>
      <w:tr>
        <w:tc>
          <w:tcPr>
            <w:tcW w:type="dxa" w:w="6264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fill="EA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Duplicate removal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Records after duplicates removed</w:t>
              <w:br/>
              <w:t>n = 33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  <w:shd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→</w:t>
            </w:r>
          </w:p>
        </w:tc>
        <w:tc>
          <w:tcPr>
            <w:tcW w:type="dxa" w:w="3960"/>
            <w:tcBorders>
              <w:top w:val="single" w:sz="10" w:space="0" w:color="C55A11"/>
              <w:left w:val="single" w:sz="10" w:space="0" w:color="C55A11"/>
              <w:bottom w:val="single" w:sz="10" w:space="0" w:color="C55A11"/>
              <w:right w:val="single" w:sz="10" w:space="0" w:color="C55A11"/>
            </w:tcBorders>
            <w:shd w:fill="FCE4D6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Duplicates removed  n = 3</w:t>
            </w:r>
          </w:p>
        </w:tc>
      </w:tr>
      <w:tr>
        <w:trPr>
          <w:trHeight w:val="317"/>
        </w:trPr>
        <w:tc>
          <w:tcPr>
            <w:tcW w:type="dxa" w:w="6264"/>
            <w:tcBorders>
              <w:top w:val="nil"/>
              <w:left w:val="nil"/>
              <w:bottom w:val="nil"/>
              <w:right w:val="nil"/>
            </w:tcBorders>
            <w:shd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↓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</w:tr>
      <w:tr>
        <w:tc>
          <w:tcPr>
            <w:tcW w:type="dxa" w:w="6264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fill="EA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Screening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Records screened by device category, on-sale status, operator location, and personal-information clauses</w:t>
              <w:br/>
              <w:t>n = 33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  <w:shd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→</w:t>
            </w:r>
          </w:p>
        </w:tc>
        <w:tc>
          <w:tcPr>
            <w:tcW w:type="dxa" w:w="3960"/>
            <w:tcBorders>
              <w:top w:val="single" w:sz="10" w:space="0" w:color="C55A11"/>
              <w:left w:val="single" w:sz="10" w:space="0" w:color="C55A11"/>
              <w:bottom w:val="single" w:sz="10" w:space="0" w:color="C55A11"/>
              <w:right w:val="single" w:sz="10" w:space="0" w:color="C55A11"/>
            </w:tcBorders>
            <w:shd w:fill="FCE4D6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Excluded at screening  n = 3</w:t>
            </w:r>
          </w:p>
          <w:p>
            <w:pPr>
              <w:spacing w:before="0" w:after="20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• Outside target device categories or discontinued  n = 1</w:t>
            </w:r>
          </w:p>
          <w:p>
            <w:pPr>
              <w:spacing w:before="0" w:after="20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• Operator not mainland-China entity  n = 1</w:t>
            </w:r>
          </w:p>
          <w:p>
            <w:pPr>
              <w:spacing w:before="0" w:after="20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• No personal-information collection clauses  n = 1</w:t>
            </w:r>
          </w:p>
        </w:tc>
      </w:tr>
      <w:tr>
        <w:trPr>
          <w:trHeight w:val="317"/>
        </w:trPr>
        <w:tc>
          <w:tcPr>
            <w:tcW w:type="dxa" w:w="6264"/>
            <w:tcBorders>
              <w:top w:val="nil"/>
              <w:left w:val="nil"/>
              <w:bottom w:val="nil"/>
              <w:right w:val="nil"/>
            </w:tcBorders>
            <w:shd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↓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</w:tr>
      <w:tr>
        <w:tc>
          <w:tcPr>
            <w:tcW w:type="dxa" w:w="6264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fill="EA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Eligibility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Full-text records assessed for eligibility</w:t>
              <w:br/>
              <w:t>n = 30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  <w:shd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→</w:t>
            </w:r>
          </w:p>
        </w:tc>
        <w:tc>
          <w:tcPr>
            <w:tcW w:type="dxa" w:w="3960"/>
            <w:tcBorders>
              <w:top w:val="single" w:sz="10" w:space="0" w:color="C55A11"/>
              <w:left w:val="single" w:sz="10" w:space="0" w:color="C55A11"/>
              <w:bottom w:val="single" w:sz="10" w:space="0" w:color="C55A11"/>
              <w:right w:val="single" w:sz="10" w:space="0" w:color="C55A11"/>
            </w:tcBorders>
            <w:shd w:fill="FCE4D6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Excluded after eligibility assessment  n = 12</w:t>
            </w:r>
          </w:p>
          <w:p>
            <w:pPr>
              <w:spacing w:before="0" w:after="20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• Document not publicly accessible  n = 2</w:t>
            </w:r>
          </w:p>
          <w:p>
            <w:pPr>
              <w:spacing w:before="0" w:after="20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• Duplicate document for same operator and same device category  n = 1</w:t>
            </w:r>
          </w:p>
          <w:p>
            <w:pPr>
              <w:spacing w:before="0" w:after="20"/>
              <w:ind w:left="173" w:hanging="173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• No documented or product-evidenced health or physiological data collection  n = 9</w:t>
            </w:r>
          </w:p>
        </w:tc>
      </w:tr>
      <w:tr>
        <w:trPr>
          <w:trHeight w:val="317"/>
        </w:trPr>
        <w:tc>
          <w:tcPr>
            <w:tcW w:type="dxa" w:w="6264"/>
            <w:tcBorders>
              <w:top w:val="nil"/>
              <w:left w:val="nil"/>
              <w:bottom w:val="nil"/>
              <w:right w:val="nil"/>
            </w:tcBorders>
            <w:shd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↓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</w:tr>
      <w:tr>
        <w:tc>
          <w:tcPr>
            <w:tcW w:type="dxa" w:w="6264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fill="E2F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Included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Device-document cases included in final documentary analysis</w:t>
              <w:br/>
              <w:t>n = 18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3960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fill="E2F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Final corpus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Cases involving documented or product-evidenced collection of health or physiological data</w:t>
            </w:r>
          </w:p>
        </w:tc>
      </w:tr>
    </w:tbl>
    <w:p>
      <w:pPr>
        <w:spacing w:before="160" w:after="0"/>
      </w:pPr>
      <w:r>
        <w:rPr>
          <w:rFonts w:ascii="Times New Roman" w:hAnsi="Times New Roman"/>
          <w:b/>
          <w:sz w:val="19"/>
        </w:rPr>
        <w:t xml:space="preserve">Note. </w:t>
      </w:r>
      <w:r>
        <w:rPr>
          <w:rFonts w:ascii="Times New Roman" w:hAnsi="Times New Roman"/>
          <w:sz w:val="19"/>
        </w:rPr>
        <w:t>Counts refer to device-document records or cases, not to manufacturers, webpages, or standalone policy documents. The final evidence matrix and Table 2 should use the same 18 included cases and the same 14 indicators. All document retrieval and eligibility statistics are current as of 5 August 2026.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