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Cohen’s Kappa 三层统计说明</w:t>
      </w:r>
    </w:p>
    <w:p>
      <w:pPr>
        <w:jc w:val="center"/>
      </w:pPr>
      <w:r>
        <w:rPr>
          <w:i/>
          <w:sz w:val="20"/>
        </w:rPr>
        <w:t>基于最终 18 个 device-document cases 与 14 个指标的二轮证据矩阵</w:t>
      </w:r>
    </w:p>
    <w:p>
      <w:pPr>
        <w:spacing w:line="276" w:lineRule="auto" w:after="100"/>
      </w:pPr>
      <w:r>
        <w:rPr>
          <w:rFonts w:ascii="Times New Roman" w:hAnsi="Times New Roman" w:eastAsia="宋体"/>
          <w:sz w:val="21"/>
        </w:rPr>
        <w:t>本说明用于解释二轮修订后证据矩阵中的三类 Cohen’s κ 统计：总体 κ、按维度 κ、按指标 κ。计算依据为两名编码员在达成共识前的独立编码结果。当前最终样本为 18 个 device-document cases，每个样本包含 14 个指标，因此共有 252 个编码单元。</w:t>
      </w:r>
    </w:p>
    <w:p>
      <w:pPr>
        <w:spacing w:line="276" w:lineRule="auto" w:after="100"/>
      </w:pPr>
      <w:r>
        <w:rPr>
          <w:rFonts w:ascii="Times New Roman" w:hAnsi="Times New Roman" w:eastAsia="宋体"/>
          <w:sz w:val="21"/>
        </w:rPr>
        <w:t>本次采用 unweighted nominal Cohen’s κ。原因是 ✓、○、x 被视为三个定性分类，而不是连续分值。由于二轮修订后不采集健康或生理数据的案例已在 eligibility 阶段排除，最终证据矩阵中不再保留 N/A 单元，因此 N/A 未进入 κ 计算。</w:t>
      </w:r>
    </w:p>
    <w:p>
      <w:pPr>
        <w:pStyle w:val="Heading1"/>
      </w:pPr>
      <w:r>
        <w:t>一 总体 κ</w:t>
      </w:r>
    </w:p>
    <w:p>
      <w:pPr>
        <w:spacing w:line="276" w:lineRule="auto" w:after="100"/>
      </w:pPr>
      <w:r>
        <w:rPr>
          <w:rFonts w:ascii="Times New Roman" w:hAnsi="Times New Roman" w:eastAsia="宋体"/>
          <w:sz w:val="21"/>
        </w:rPr>
        <w:t>总体 κ 是将 18 个样本与 14 个指标形成的全部 252 个编码单元合并计算，用于说明两名编码员在整个证据矩阵层面的总体一致性。</w:t>
      </w:r>
    </w:p>
    <w:tbl>
      <w:tblPr>
        <w:tblW w:type="auto" w:w="0"/>
        <w:jc w:val="center"/>
        <w:tblLayout w:type="fixed"/>
        <w:tblLook w:firstColumn="1" w:firstRow="1" w:lastColumn="0" w:lastRow="0" w:noHBand="0" w:noVBand="1" w:val="04A0"/>
      </w:tblPr>
      <w:tblGrid>
        <w:gridCol w:w="4968"/>
        <w:gridCol w:w="4968"/>
      </w:tblGrid>
      <w:tr>
        <w:tc>
          <w:tcPr>
            <w:tcW w:type="dxa" w:w="3168"/>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统计项</w:t>
            </w:r>
          </w:p>
        </w:tc>
        <w:tc>
          <w:tcPr>
            <w:tcW w:type="dxa" w:w="6912"/>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结果</w:t>
            </w:r>
          </w:p>
        </w:tc>
      </w:tr>
      <w:tr>
        <w:tc>
          <w:tcPr>
            <w:tcW w:type="dxa" w:w="316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编码单元总数</w:t>
            </w:r>
          </w:p>
        </w:tc>
        <w:tc>
          <w:tcPr>
            <w:tcW w:type="dxa" w:w="69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252</w:t>
            </w:r>
          </w:p>
        </w:tc>
      </w:tr>
      <w:tr>
        <w:tc>
          <w:tcPr>
            <w:tcW w:type="dxa" w:w="316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一致编码单元数</w:t>
            </w:r>
          </w:p>
        </w:tc>
        <w:tc>
          <w:tcPr>
            <w:tcW w:type="dxa" w:w="69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221</w:t>
            </w:r>
          </w:p>
        </w:tc>
      </w:tr>
      <w:tr>
        <w:tc>
          <w:tcPr>
            <w:tcW w:type="dxa" w:w="316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观察一致率 Po</w:t>
            </w:r>
          </w:p>
        </w:tc>
        <w:tc>
          <w:tcPr>
            <w:tcW w:type="dxa" w:w="69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87.7%</w:t>
            </w:r>
          </w:p>
        </w:tc>
      </w:tr>
      <w:tr>
        <w:tc>
          <w:tcPr>
            <w:tcW w:type="dxa" w:w="316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期望随机一致率 Pe</w:t>
            </w:r>
          </w:p>
        </w:tc>
        <w:tc>
          <w:tcPr>
            <w:tcW w:type="dxa" w:w="69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48.2%</w:t>
            </w:r>
          </w:p>
        </w:tc>
      </w:tr>
      <w:tr>
        <w:tc>
          <w:tcPr>
            <w:tcW w:type="dxa" w:w="316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总体 Cohen’s κ</w:t>
            </w:r>
          </w:p>
        </w:tc>
        <w:tc>
          <w:tcPr>
            <w:tcW w:type="dxa" w:w="69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0.763</w:t>
            </w:r>
          </w:p>
        </w:tc>
      </w:tr>
      <w:tr>
        <w:tc>
          <w:tcPr>
            <w:tcW w:type="dxa" w:w="316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解释</w:t>
            </w:r>
          </w:p>
        </w:tc>
        <w:tc>
          <w:tcPr>
            <w:tcW w:type="dxa" w:w="69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Substantial agreement 较高一致性</w:t>
            </w:r>
          </w:p>
        </w:tc>
      </w:tr>
    </w:tbl>
    <w:p>
      <w:pPr>
        <w:spacing w:after="40"/>
      </w:pPr>
    </w:p>
    <w:p>
      <w:pPr>
        <w:spacing w:line="276" w:lineRule="auto" w:after="100"/>
      </w:pPr>
      <w:r>
        <w:rPr>
          <w:rFonts w:ascii="Times New Roman" w:hAnsi="Times New Roman" w:eastAsia="宋体"/>
          <w:sz w:val="21"/>
        </w:rPr>
        <w:t>计算公式为 κ = (Po − Pe) / (1 − Pe)。本研究中 Po = 221/252 = 0.877，Pe = 0.482，因此 κ = (0.877 − 0.482) / (1 − 0.482) = 0.763。</w:t>
      </w:r>
    </w:p>
    <w:p>
      <w:pPr>
        <w:pStyle w:val="Heading1"/>
      </w:pPr>
      <w:r>
        <w:t>二 按维度 κ</w:t>
      </w:r>
    </w:p>
    <w:p>
      <w:pPr>
        <w:spacing w:line="276" w:lineRule="auto" w:after="100"/>
      </w:pPr>
      <w:r>
        <w:rPr>
          <w:rFonts w:ascii="Times New Roman" w:hAnsi="Times New Roman" w:eastAsia="宋体"/>
          <w:sz w:val="21"/>
        </w:rPr>
        <w:t>按维度 κ 是将同一维度下的指标合并计算。例如 Dimension A 包含 A1–A4，共 18 × 4 = 72 个编码单元。该统计用于说明不同维度的编码稳定性。</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936"/>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维度</w:t>
            </w:r>
          </w:p>
        </w:tc>
        <w:tc>
          <w:tcPr>
            <w:tcW w:type="dxa" w:w="1656"/>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包含指标</w:t>
            </w:r>
          </w:p>
        </w:tc>
        <w:tc>
          <w:tcPr>
            <w:tcW w:type="dxa" w:w="1512"/>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编码单元数</w:t>
            </w:r>
          </w:p>
        </w:tc>
        <w:tc>
          <w:tcPr>
            <w:tcW w:type="dxa" w:w="1656"/>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观察一致率</w:t>
            </w:r>
          </w:p>
        </w:tc>
        <w:tc>
          <w:tcPr>
            <w:tcW w:type="dxa" w:w="1440"/>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Cohen’s κ</w:t>
            </w:r>
          </w:p>
        </w:tc>
        <w:tc>
          <w:tcPr>
            <w:tcW w:type="dxa" w:w="2232"/>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解释</w:t>
            </w:r>
          </w:p>
        </w:tc>
      </w:tr>
      <w:tr>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A</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A1–A4</w:t>
            </w:r>
          </w:p>
        </w:tc>
        <w:tc>
          <w:tcPr>
            <w:tcW w:type="dxa" w:w="15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72</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91.7%</w:t>
            </w:r>
          </w:p>
        </w:tc>
        <w:tc>
          <w:tcPr>
            <w:tcW w:type="dxa" w:w="1440"/>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0.783</w:t>
            </w:r>
          </w:p>
        </w:tc>
        <w:tc>
          <w:tcPr>
            <w:tcW w:type="dxa" w:w="223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较高一致性</w:t>
            </w:r>
          </w:p>
        </w:tc>
      </w:tr>
      <w:tr>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B</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B1–B2</w:t>
            </w:r>
          </w:p>
        </w:tc>
        <w:tc>
          <w:tcPr>
            <w:tcW w:type="dxa" w:w="15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36</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80.6%</w:t>
            </w:r>
          </w:p>
        </w:tc>
        <w:tc>
          <w:tcPr>
            <w:tcW w:type="dxa" w:w="1440"/>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0.681</w:t>
            </w:r>
          </w:p>
        </w:tc>
        <w:tc>
          <w:tcPr>
            <w:tcW w:type="dxa" w:w="223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较高一致性</w:t>
            </w:r>
          </w:p>
        </w:tc>
      </w:tr>
      <w:tr>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C</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C1–C2</w:t>
            </w:r>
          </w:p>
        </w:tc>
        <w:tc>
          <w:tcPr>
            <w:tcW w:type="dxa" w:w="15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36</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88.9%</w:t>
            </w:r>
          </w:p>
        </w:tc>
        <w:tc>
          <w:tcPr>
            <w:tcW w:type="dxa" w:w="1440"/>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0.826</w:t>
            </w:r>
          </w:p>
        </w:tc>
        <w:tc>
          <w:tcPr>
            <w:tcW w:type="dxa" w:w="223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很高一致性</w:t>
            </w:r>
          </w:p>
        </w:tc>
      </w:tr>
      <w:tr>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D</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D1–D3</w:t>
            </w:r>
          </w:p>
        </w:tc>
        <w:tc>
          <w:tcPr>
            <w:tcW w:type="dxa" w:w="15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54</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77.8%</w:t>
            </w:r>
          </w:p>
        </w:tc>
        <w:tc>
          <w:tcPr>
            <w:tcW w:type="dxa" w:w="1440"/>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0.654</w:t>
            </w:r>
          </w:p>
        </w:tc>
        <w:tc>
          <w:tcPr>
            <w:tcW w:type="dxa" w:w="223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较高一致性</w:t>
            </w:r>
          </w:p>
        </w:tc>
      </w:tr>
      <w:tr>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E</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E1–E3</w:t>
            </w:r>
          </w:p>
        </w:tc>
        <w:tc>
          <w:tcPr>
            <w:tcW w:type="dxa" w:w="151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54</w:t>
            </w:r>
          </w:p>
        </w:tc>
        <w:tc>
          <w:tcPr>
            <w:tcW w:type="dxa" w:w="165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96.3%</w:t>
            </w:r>
          </w:p>
        </w:tc>
        <w:tc>
          <w:tcPr>
            <w:tcW w:type="dxa" w:w="1440"/>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0.700</w:t>
            </w:r>
          </w:p>
        </w:tc>
        <w:tc>
          <w:tcPr>
            <w:tcW w:type="dxa" w:w="223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较高一致性</w:t>
            </w:r>
          </w:p>
        </w:tc>
      </w:tr>
    </w:tbl>
    <w:p>
      <w:pPr>
        <w:spacing w:after="40"/>
      </w:pPr>
    </w:p>
    <w:p>
      <w:pPr>
        <w:spacing w:line="276" w:lineRule="auto" w:after="100"/>
      </w:pPr>
      <w:r>
        <w:rPr>
          <w:rFonts w:ascii="Times New Roman" w:hAnsi="Times New Roman" w:eastAsia="宋体"/>
          <w:sz w:val="21"/>
        </w:rPr>
        <w:t>维度层面的 κ 值范围为 0.654–0.826。Dimension D 的一致性最低，说明涉及二次使用、第三方应用交互和共享字段清单的判断更容易出现解释差异；Dimension C 的一致性最高，说明两名编码员对单独同意机制相关指标的判断较为稳定。</w:t>
      </w:r>
    </w:p>
    <w:p>
      <w:pPr>
        <w:pStyle w:val="Heading1"/>
      </w:pPr>
      <w:r>
        <w:t>三 按指标 κ</w:t>
      </w:r>
    </w:p>
    <w:p>
      <w:pPr>
        <w:spacing w:line="276" w:lineRule="auto" w:after="100"/>
      </w:pPr>
      <w:r>
        <w:rPr>
          <w:rFonts w:ascii="Times New Roman" w:hAnsi="Times New Roman" w:eastAsia="宋体"/>
          <w:sz w:val="21"/>
        </w:rPr>
        <w:t>按指标 κ 是对每个具体指标单独计算。编辑要求每个指标报告 number of cases、observed agreement、expected agreement 和 κ，因此补充材料中应保留完整指标级结果。</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792"/>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指标</w:t>
            </w:r>
          </w:p>
        </w:tc>
        <w:tc>
          <w:tcPr>
            <w:tcW w:type="dxa" w:w="648"/>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n</w:t>
            </w:r>
          </w:p>
        </w:tc>
        <w:tc>
          <w:tcPr>
            <w:tcW w:type="dxa" w:w="936"/>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一致数</w:t>
            </w:r>
          </w:p>
        </w:tc>
        <w:tc>
          <w:tcPr>
            <w:tcW w:type="dxa" w:w="1008"/>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Po</w:t>
            </w:r>
          </w:p>
        </w:tc>
        <w:tc>
          <w:tcPr>
            <w:tcW w:type="dxa" w:w="1008"/>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Pe</w:t>
            </w:r>
          </w:p>
        </w:tc>
        <w:tc>
          <w:tcPr>
            <w:tcW w:type="dxa" w:w="1224"/>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κ</w:t>
            </w:r>
          </w:p>
        </w:tc>
        <w:tc>
          <w:tcPr>
            <w:tcW w:type="dxa" w:w="4392"/>
            <w:shd w:fill="1F4E7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b/>
                <w:color w:val="FFFFFF"/>
                <w:sz w:val="19"/>
              </w:rPr>
              <w:t>说明</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A1</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16</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88.9%</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89.5%</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-0.059</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κ 悖论；观察一致率高但类别分布极度不均衡</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A2</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15</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83.3%</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35.2%</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0.743</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较高一致性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A3</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100.0%</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89.5%</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1.000</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完全一致</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A4</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17</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94.4%</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67.0%</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0.832</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很高一致性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B1</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100.0%</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80.2%</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1.000</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完全一致</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B2</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11</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61.1%</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38.0%</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0.373</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一致性较低；该指标判断最需解释</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C1</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17</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94.4%</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60.2%</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0.860</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很高一致性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C2</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15</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83.3%</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36.4%</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0.738</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较高一致性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D1</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13</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72.2%</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47.2%</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0.474</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中等一致性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D2</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14</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77.8%</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32.4%</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0.671</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较高一致性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D3</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15</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83.3%</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45.1%</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0.697</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较高一致性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E1</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17</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94.4%</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89.2%</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0.486</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中等一致性；类别分布偏斜压低 κ</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E2</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17</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94.4%</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75.0%</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center"/>
            </w:pPr>
            <w:r>
              <w:rPr>
                <w:rFonts w:ascii="Times New Roman" w:hAnsi="Times New Roman" w:eastAsia="宋体"/>
                <w:sz w:val="18"/>
              </w:rPr>
              <w:t>0.778</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pPr>
              <w:jc w:val="left"/>
            </w:pPr>
            <w:r>
              <w:rPr>
                <w:rFonts w:ascii="Times New Roman" w:hAnsi="Times New Roman" w:eastAsia="宋体"/>
                <w:sz w:val="18"/>
              </w:rPr>
              <w:t>较高一致性</w:t>
            </w:r>
          </w:p>
        </w:tc>
      </w:tr>
      <w:tr>
        <w:tc>
          <w:tcPr>
            <w:tcW w:type="dxa" w:w="7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E3</w:t>
            </w:r>
          </w:p>
        </w:tc>
        <w:tc>
          <w:tcPr>
            <w:tcW w:type="dxa" w:w="64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936"/>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18</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100.0%</w:t>
            </w:r>
          </w:p>
        </w:tc>
        <w:tc>
          <w:tcPr>
            <w:tcW w:type="dxa" w:w="1008"/>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100.0%</w:t>
            </w:r>
          </w:p>
        </w:tc>
        <w:tc>
          <w:tcPr>
            <w:tcW w:type="dxa" w:w="1224"/>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center"/>
            </w:pPr>
            <w:r>
              <w:rPr>
                <w:rFonts w:ascii="Times New Roman" w:hAnsi="Times New Roman" w:eastAsia="宋体"/>
                <w:sz w:val="18"/>
              </w:rPr>
              <w:t>Not estimable</w:t>
            </w:r>
          </w:p>
        </w:tc>
        <w:tc>
          <w:tcPr>
            <w:tcW w:type="dxa" w:w="4392"/>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shd w:fill="F7FBFE"/>
            <w:vAlign w:val="center"/>
          </w:tcPr>
          <w:p>
            <w:pPr>
              <w:jc w:val="left"/>
            </w:pPr>
            <w:r>
              <w:rPr>
                <w:rFonts w:ascii="Times New Roman" w:hAnsi="Times New Roman" w:eastAsia="宋体"/>
                <w:sz w:val="18"/>
              </w:rPr>
              <w:t>两名编码员均全部编码为 ✓，无类别变异，κ 无法估计</w:t>
            </w:r>
          </w:p>
        </w:tc>
      </w:tr>
    </w:tbl>
    <w:p>
      <w:pPr>
        <w:spacing w:after="40"/>
      </w:pPr>
    </w:p>
    <w:p>
      <w:pPr>
        <w:pStyle w:val="Heading1"/>
      </w:pPr>
      <w:r>
        <w:t>四 异常 κ 值如何处理</w:t>
      </w:r>
    </w:p>
    <w:p>
      <w:pPr>
        <w:spacing w:line="276" w:lineRule="auto" w:after="100"/>
      </w:pPr>
      <w:r>
        <w:rPr>
          <w:rFonts w:ascii="Times New Roman" w:hAnsi="Times New Roman" w:eastAsia="宋体"/>
          <w:sz w:val="21"/>
        </w:rPr>
        <w:t>A1 的 κ 为 -0.059，但观察一致率为 88.9%。这并不表示两名编码员分歧严重，而是因为两名编码员几乎都将样本评为同一类别，导致期望随机一致率过高。这是 Cohen’s κ 在类别分布高度不平衡时常见的 κ paradox。</w:t>
      </w:r>
    </w:p>
    <w:p>
      <w:pPr>
        <w:spacing w:line="276" w:lineRule="auto" w:after="100"/>
      </w:pPr>
      <w:r>
        <w:rPr>
          <w:rFonts w:ascii="Times New Roman" w:hAnsi="Times New Roman" w:eastAsia="宋体"/>
          <w:sz w:val="21"/>
        </w:rPr>
        <w:t>E3 的观察一致率为 100%，但 κ 无法估计。原因是两名编码员对所有 18 个样本均作出同一分类，Po = 1 且 Pe = 1，代入公式后分母为 0。因此正文中不应写 E3 的 κ = 1，而应写 “not estimable; observed agreement was 100%”。</w:t>
      </w:r>
    </w:p>
    <w:p>
      <w:pPr>
        <w:spacing w:line="276" w:lineRule="auto" w:after="100"/>
      </w:pPr>
      <w:r>
        <w:rPr>
          <w:rFonts w:ascii="Times New Roman" w:hAnsi="Times New Roman" w:eastAsia="宋体"/>
          <w:sz w:val="21"/>
        </w:rPr>
        <w:t>建议正文中不要只报告一个漂亮的指标级 κ 区间，而应同时报告总体 κ、维度 κ、指标级表格，并说明 A1 与 E3 的分布性异常。这样能够正面回应编辑关于可靠性评估可审计性的要求。</w:t>
      </w:r>
    </w:p>
    <w:p>
      <w:pPr>
        <w:pStyle w:val="Heading1"/>
      </w:pPr>
      <w:r>
        <w:t>五 可直接用于正文的方法表述</w:t>
      </w:r>
    </w:p>
    <w:p>
      <w:pPr>
        <w:spacing w:line="276" w:lineRule="auto" w:after="100"/>
      </w:pPr>
      <w:r>
        <w:rPr>
          <w:rFonts w:ascii="Times New Roman" w:hAnsi="Times New Roman" w:eastAsia="宋体"/>
          <w:sz w:val="21"/>
        </w:rPr>
        <w:t>Inter-rater reliability was assessed using unweighted nominal Cohen’s κ, calculated from the pre-consensus coding of the two coders. The final analysis included 18 device-document cases and 14 indicators, yielding 252 coded cells. N/A categories were not included in the calculation because cases without documented or product-evidenced collection of health or physiological data were excluded at the eligibility stage rather than retained in the final coding matrix. Across all coded cells, the two coders agreed on 221 of 252 classifications, corresponding to an observed agreement of 87.7% and an overall Cohen’s κ of 0.763. Dimension-level κ values ranged from 0.654 to 0.826. Indicator-level results were interpreted together with observed agreement because some indicators showed highly imbalanced category distributions. For A1, κ was -0.059 despite an observed agreement of 88.9% (16/18), reflecting the κ paradox caused by concentration of ratings in one category. For E3, κ was not estimable because both coders assigned the same category to all 18 cases; observed agreement was 100%.</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