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45DA7">
      <w:pPr>
        <w:pStyle w:val="31"/>
        <w:jc w:val="center"/>
      </w:pPr>
      <w:r>
        <w:t>Inter-rater Reliability Assessment</w:t>
      </w:r>
    </w:p>
    <w:p w14:paraId="25DC4426">
      <w:pPr>
        <w:jc w:val="center"/>
      </w:pPr>
      <w:r>
        <w:rPr>
          <w:i/>
          <w:sz w:val="20"/>
        </w:rPr>
        <w:t>Supplementary note for the revised evidence matrix</w:t>
      </w:r>
    </w:p>
    <w:p w14:paraId="55228105">
      <w:pPr>
        <w:spacing w:after="100" w:line="276" w:lineRule="auto"/>
      </w:pPr>
      <w:bookmarkStart w:id="0" w:name="_GoBack"/>
      <w:r>
        <w:rPr>
          <w:rFonts w:ascii="Times New Roman" w:hAnsi="Times New Roman"/>
          <w:sz w:val="21"/>
        </w:rPr>
        <w:t>This supplementary note reports the inter-rater reliability assessment for the revised evidence matrix. The calculation was based on the two coders’ pre-consensus classifications for the final dataset of 18 device-document cases and 14 indicators, producing 252 coded cells.</w:t>
      </w:r>
    </w:p>
    <w:p w14:paraId="2B61B9E7">
      <w:pPr>
        <w:spacing w:after="100" w:line="276" w:lineRule="auto"/>
      </w:pPr>
      <w:r>
        <w:rPr>
          <w:rFonts w:ascii="Times New Roman" w:hAnsi="Times New Roman"/>
          <w:sz w:val="21"/>
        </w:rPr>
        <w:t>Cohen’s kappa was calculated as an unweighted nominal statistic. The three coding categories in the final matrix were treated as distinct qualitative classifications: full coverage, partial coverage, and absent. Cases without documented or product-evidenced collection of health or physiological data were excluded at the eligibility stage; therefore, no N/A cells were retained in the final evidence matrix or included in the kappa calculation.</w:t>
      </w:r>
    </w:p>
    <w:p w14:paraId="4F831E80">
      <w:pPr>
        <w:spacing w:after="100" w:line="276" w:lineRule="auto"/>
      </w:pPr>
      <w:r>
        <w:rPr>
          <w:rFonts w:ascii="Times New Roman" w:hAnsi="Times New Roman"/>
          <w:sz w:val="21"/>
        </w:rPr>
        <w:t>The formula used was κ = (Po − Pe) / (1 − Pe), where Po is the observed proportion of agreement and Pe is the expected proportion of chance agreement based on the coders’ marginal distributions.</w:t>
      </w:r>
    </w:p>
    <w:bookmarkEnd w:id="0"/>
    <w:p w14:paraId="2156F952">
      <w:pPr>
        <w:pStyle w:val="3"/>
      </w:pPr>
      <w:r>
        <w:t>Overall Reliability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60D7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C9C51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Measure</w:t>
            </w:r>
          </w:p>
        </w:tc>
        <w:tc>
          <w:tcPr>
            <w:tcW w:w="64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95C98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Result</w:t>
            </w:r>
          </w:p>
        </w:tc>
      </w:tr>
      <w:tr w14:paraId="6D2E6948">
        <w:trPr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8CB77F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Number of coded cells</w:t>
            </w:r>
          </w:p>
        </w:tc>
        <w:tc>
          <w:tcPr>
            <w:tcW w:w="64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86CFF21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252</w:t>
            </w:r>
          </w:p>
        </w:tc>
      </w:tr>
      <w:tr w14:paraId="1E608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2545357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Cells with coder agreement</w:t>
            </w:r>
          </w:p>
        </w:tc>
        <w:tc>
          <w:tcPr>
            <w:tcW w:w="64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570EB0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221</w:t>
            </w:r>
          </w:p>
        </w:tc>
      </w:tr>
      <w:tr w14:paraId="489D2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A583C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Observed agreement Po</w:t>
            </w:r>
          </w:p>
        </w:tc>
        <w:tc>
          <w:tcPr>
            <w:tcW w:w="64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9C9161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87.7%</w:t>
            </w:r>
          </w:p>
        </w:tc>
      </w:tr>
      <w:tr w14:paraId="1A955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7D25D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Expected agreement Pe</w:t>
            </w:r>
          </w:p>
        </w:tc>
        <w:tc>
          <w:tcPr>
            <w:tcW w:w="64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C409BF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48.2%</w:t>
            </w:r>
          </w:p>
        </w:tc>
      </w:tr>
      <w:tr w14:paraId="71E38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3EB17BD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Overall Cohen’s κ</w:t>
            </w:r>
          </w:p>
        </w:tc>
        <w:tc>
          <w:tcPr>
            <w:tcW w:w="64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60F232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0.763</w:t>
            </w:r>
          </w:p>
        </w:tc>
      </w:tr>
      <w:tr w14:paraId="2C76E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5932E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Interpretation</w:t>
            </w:r>
          </w:p>
        </w:tc>
        <w:tc>
          <w:tcPr>
            <w:tcW w:w="64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3F2B5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Substantial agreement</w:t>
            </w:r>
          </w:p>
        </w:tc>
      </w:tr>
    </w:tbl>
    <w:p w14:paraId="49F517A4">
      <w:pPr>
        <w:spacing w:after="20"/>
      </w:pPr>
    </w:p>
    <w:p w14:paraId="35A67223">
      <w:pPr>
        <w:spacing w:after="100" w:line="276" w:lineRule="auto"/>
      </w:pPr>
      <w:r>
        <w:rPr>
          <w:rFonts w:ascii="Times New Roman" w:hAnsi="Times New Roman"/>
          <w:sz w:val="21"/>
        </w:rPr>
        <w:t>Across all coded cells, the two coders agreed on 221 of 252 classifications. The observed agreement was 87.7%, and the overall unweighted nominal Cohen’s κ was 0.763, indicating substantial inter-rater agreement.</w:t>
      </w:r>
    </w:p>
    <w:p w14:paraId="73688553">
      <w:pPr>
        <w:pStyle w:val="3"/>
      </w:pPr>
      <w:r>
        <w:t>Dimension Level Reliability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680"/>
        <w:gridCol w:w="1680"/>
        <w:gridCol w:w="1680"/>
        <w:gridCol w:w="1680"/>
        <w:gridCol w:w="1680"/>
      </w:tblGrid>
      <w:tr w14:paraId="27A00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C6C1A1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Dimension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0C95E93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Indicators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FF08E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Coded cells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1D6B4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Observed agreement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CDF1C4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Cohen’s κ</w:t>
            </w:r>
          </w:p>
        </w:tc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255E8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Interpretation</w:t>
            </w:r>
          </w:p>
        </w:tc>
      </w:tr>
      <w:tr w14:paraId="18AC5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625FEB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1F9809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A1–A4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9E466B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72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20C325D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91.7%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50BFD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0.783</w:t>
            </w:r>
          </w:p>
        </w:tc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9F47A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Substantial agreement</w:t>
            </w:r>
          </w:p>
        </w:tc>
      </w:tr>
      <w:tr w14:paraId="696AB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38AE3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E8E0A8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B1–B2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870E3B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73ED07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80.6%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CBCEC2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0.681</w:t>
            </w:r>
          </w:p>
        </w:tc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13C809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Substantial agreement</w:t>
            </w:r>
          </w:p>
        </w:tc>
      </w:tr>
      <w:tr w14:paraId="05777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221CBB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908DA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C1–C2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D5B678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F14B7D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88.9%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9995CD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0.826</w:t>
            </w:r>
          </w:p>
        </w:tc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A3C61D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Almost perfect agreement</w:t>
            </w:r>
          </w:p>
        </w:tc>
      </w:tr>
      <w:tr w14:paraId="7842D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5B3FC0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CBA0A8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D1–D3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EC95FC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3C00E5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77.8%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9FB59F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0.654</w:t>
            </w:r>
          </w:p>
        </w:tc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216131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Substantial agreement</w:t>
            </w:r>
          </w:p>
        </w:tc>
      </w:tr>
      <w:tr w14:paraId="2BBD9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547663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C1AA9B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E1–E3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EDEEAD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54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148FC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96.3%</w:t>
            </w:r>
          </w:p>
        </w:tc>
        <w:tc>
          <w:tcPr>
            <w:tcW w:w="144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73FF04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0.700</w:t>
            </w:r>
          </w:p>
        </w:tc>
        <w:tc>
          <w:tcPr>
            <w:tcW w:w="25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7D7C8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Substantial agreement</w:t>
            </w:r>
          </w:p>
        </w:tc>
      </w:tr>
    </w:tbl>
    <w:p w14:paraId="3D2A0FB7">
      <w:pPr>
        <w:spacing w:after="20"/>
      </w:pPr>
    </w:p>
    <w:p w14:paraId="61F44996">
      <w:pPr>
        <w:spacing w:after="100" w:line="276" w:lineRule="auto"/>
      </w:pPr>
      <w:r>
        <w:rPr>
          <w:rFonts w:ascii="Times New Roman" w:hAnsi="Times New Roman"/>
          <w:sz w:val="21"/>
        </w:rPr>
        <w:t>Dimension-level κ values ranged from 0.654 to 0.826. The lowest value was observed for Dimension D, which concerns secondary use and third-party data flows, while the highest value was observed for Dimension C, which concerns separate-consent mechanisms.</w:t>
      </w:r>
    </w:p>
    <w:p w14:paraId="1E197059">
      <w:pPr>
        <w:pStyle w:val="3"/>
      </w:pPr>
      <w:r>
        <w:t>Indicator Level Reliability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14:paraId="214B6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2A21B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Indicator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91B789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0C236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Agreement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890FC6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Po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5EC501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Pe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E4FEA2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κ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1F4E78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89192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Note</w:t>
            </w:r>
          </w:p>
        </w:tc>
      </w:tr>
      <w:tr w14:paraId="60AAE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140C70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A1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7470AE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777BB9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557A0C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88.9%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C7C3B5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89.5%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DB69A11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-0.059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618DAC4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Kappa paradox due to highly imbalanced category distributions</w:t>
            </w:r>
          </w:p>
        </w:tc>
      </w:tr>
      <w:tr w14:paraId="00A2E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DA7C1C9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A2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E1373C5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0C7717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1A7352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83.3%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0B06B20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35.2%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73D829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0.743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92ADDA7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Substantial agreement</w:t>
            </w:r>
          </w:p>
        </w:tc>
      </w:tr>
      <w:tr w14:paraId="7C85F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9B83D3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A3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754B0A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72CAD8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4A55A6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100.0%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E92B77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89.5%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ECA31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91145B2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Perfect agreement</w:t>
            </w:r>
          </w:p>
        </w:tc>
      </w:tr>
      <w:tr w14:paraId="0FC9A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D6116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A4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578593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C88A152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4AB75F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94.4%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FCB8951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67.0%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B6071E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0.832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C3764A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Almost perfect agreement</w:t>
            </w:r>
          </w:p>
        </w:tc>
      </w:tr>
      <w:tr w14:paraId="66B6F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A9E9449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B1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82B3E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1CF42B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DE6A3CF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100.0%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137DEC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80.2%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768DD6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DB46C1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Perfect agreement</w:t>
            </w:r>
          </w:p>
        </w:tc>
      </w:tr>
      <w:tr w14:paraId="3DB35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A903FA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B2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089C0EB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02BC6C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3534A3F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61.1%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8FF00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38.0%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14DD2D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0.373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82DEED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Fair agreement; interpreted with caution</w:t>
            </w:r>
          </w:p>
        </w:tc>
      </w:tr>
      <w:tr w14:paraId="7D3F9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8D8D87D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C1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295A87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EE280C5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75C7938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94.4%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AD80A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60.2%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F1CDDA0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0.860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FE0E1C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Almost perfect agreement</w:t>
            </w:r>
          </w:p>
        </w:tc>
      </w:tr>
      <w:tr w14:paraId="758D1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68E0C22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C2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5FF852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901D0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A08720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83.3%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2678551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36.4%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7DCC4D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0.738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7672C30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Substantial agreement</w:t>
            </w:r>
          </w:p>
        </w:tc>
      </w:tr>
      <w:tr w14:paraId="112F4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093F2B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D1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302E1EF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CCF92B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58FC938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72.2%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BB8EC0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47.2%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729AAD3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0.474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3EFEBCB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Moderate agreement</w:t>
            </w:r>
          </w:p>
        </w:tc>
      </w:tr>
      <w:tr w14:paraId="4CDE7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28558F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D2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F23261C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69E2C9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27AD92D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77.8%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C511F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32.4%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57482A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0.671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5CC874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Substantial agreement</w:t>
            </w:r>
          </w:p>
        </w:tc>
      </w:tr>
      <w:tr w14:paraId="57239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C2C2A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D3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4DE303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43913C9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A5F37A7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83.3%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145545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45.1%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DF874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0.697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FFC75D5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Substantial agreement</w:t>
            </w:r>
          </w:p>
        </w:tc>
      </w:tr>
      <w:tr w14:paraId="6D8B7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897B91E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E1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145839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B3B588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A7885C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94.4%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102BD0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89.2%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34EDAC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0.486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C7C576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Moderate agreement; kappa reduced by skewed distribution</w:t>
            </w:r>
          </w:p>
        </w:tc>
      </w:tr>
      <w:tr w14:paraId="4451B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44CB9D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E2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3C0004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731549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E388502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94.4%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5DA2B07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75.0%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6358821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0.778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942F515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Substantial agreement</w:t>
            </w:r>
          </w:p>
        </w:tc>
      </w:tr>
      <w:tr w14:paraId="65C5A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5463A1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E3</w:t>
            </w:r>
          </w:p>
        </w:tc>
        <w:tc>
          <w:tcPr>
            <w:tcW w:w="64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11DCC36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11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E89E67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C3D294B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100.0%</w:t>
            </w:r>
          </w:p>
        </w:tc>
        <w:tc>
          <w:tcPr>
            <w:tcW w:w="97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D148EEC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100.0%</w:t>
            </w:r>
          </w:p>
        </w:tc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85D1223"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8"/>
              </w:rPr>
              <w:t>Not estimable</w:t>
            </w:r>
          </w:p>
        </w:tc>
        <w:tc>
          <w:tcPr>
            <w:tcW w:w="46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F7FBFE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3F6194"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 category variation; observed agreement was 100%</w:t>
            </w:r>
          </w:p>
        </w:tc>
      </w:tr>
    </w:tbl>
    <w:p w14:paraId="3722569F">
      <w:pPr>
        <w:spacing w:after="20"/>
      </w:pPr>
    </w:p>
    <w:p w14:paraId="4D877954">
      <w:pPr>
        <w:pStyle w:val="3"/>
      </w:pPr>
      <w:r>
        <w:t>Interpretation of Distribution Related Results</w:t>
      </w:r>
    </w:p>
    <w:p w14:paraId="685C7BB9">
      <w:pPr>
        <w:spacing w:after="100" w:line="276" w:lineRule="auto"/>
      </w:pPr>
      <w:r>
        <w:rPr>
          <w:rFonts w:ascii="Times New Roman" w:hAnsi="Times New Roman"/>
          <w:sz w:val="21"/>
        </w:rPr>
        <w:t>Two indicator-level results require specific interpretation. For A1, Cohen’s κ was negative despite high observed agreement. The two coders agreed on 16 of 18 cases, corresponding to an observed agreement of 88.9%. The negative κ value reflects the well-known kappa paradox: because both coders assigned most cases to the same category, the expected chance agreement was very high, which depressed the κ statistic.</w:t>
      </w:r>
    </w:p>
    <w:p w14:paraId="2C245F27">
      <w:pPr>
        <w:spacing w:after="100" w:line="276" w:lineRule="auto"/>
      </w:pPr>
      <w:r>
        <w:rPr>
          <w:rFonts w:ascii="Times New Roman" w:hAnsi="Times New Roman"/>
          <w:sz w:val="21"/>
        </w:rPr>
        <w:t>For E3, Cohen’s κ was not estimable. Both coders assigned the same category to all 18 cases, producing an observed agreement of 100%. Because there was no category variation, both Po and Pe were equal to 1, leaving the denominator in the κ formula equal to zero. For this reason, E3 is reported as “not estimable” together with its observed agreement.</w:t>
      </w:r>
    </w:p>
    <w:p w14:paraId="3A2DD9EB">
      <w:pPr>
        <w:spacing w:after="100" w:line="276" w:lineRule="auto"/>
      </w:pPr>
      <w:r>
        <w:rPr>
          <w:rFonts w:ascii="Times New Roman" w:hAnsi="Times New Roman"/>
          <w:sz w:val="21"/>
        </w:rPr>
        <w:t>These results indicate that indicator-level κ values should be interpreted together with observed agreement and category distributions, especially where classifications are highly imbalanced. The overall and dimension-level results support substantial inter-rater agreement, while the indicator-level table makes the distribution-related limitations transparent.</w:t>
      </w:r>
    </w:p>
    <w:p w14:paraId="6752E634">
      <w:pPr>
        <w:spacing w:after="100" w:line="276" w:lineRule="auto"/>
        <w:rPr>
          <w:rFonts w:ascii="Times New Roman" w:hAnsi="Times New Roman"/>
          <w:sz w:val="21"/>
        </w:rPr>
      </w:pP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491B94"/>
    <w:rsid w:val="34E6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5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769</Words>
  <Characters>4436</Characters>
  <Lines>0</Lines>
  <Paragraphs>0</Paragraphs>
  <TotalTime>3</TotalTime>
  <ScaleCrop>false</ScaleCrop>
  <LinksUpToDate>false</LinksUpToDate>
  <CharactersWithSpaces>5034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邵滨0837</cp:lastModifiedBy>
  <dcterms:modified xsi:type="dcterms:W3CDTF">2026-09-07T05:57:48Z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54191A181FD34D03ADB8742407C100B3_13</vt:lpwstr>
  </property>
  <property fmtid="{D5CDD505-2E9C-101B-9397-08002B2CF9AE}" pid="4" name="KSOTemplateDocerSaveRecord">
    <vt:lpwstr>eyJoZGlkIjoiMmE2NWJjMWQxZTY5MTBlZWNlODQ2ZGE0NjJlYTdlMjUiLCJ1c2VySWQiOiIxODIyNDE0NzIwIn0=</vt:lpwstr>
  </property>
</Properties>
</file>