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6A19F6" w14:textId="77777777" w:rsidR="00C20C82" w:rsidRDefault="00000000">
      <w:pPr>
        <w:pStyle w:val="1"/>
        <w:rPr>
          <w:color w:val="auto"/>
        </w:rPr>
      </w:pPr>
      <w:bookmarkStart w:id="0" w:name="X8c246e907e74429de6a5dba3989b6dc4835c278"/>
      <w:r>
        <w:rPr>
          <w:color w:val="auto"/>
        </w:rPr>
        <w:t>Coding Manual for the Assessment of Informed-Consent Safeguards in Wearable Smart Device User Agreements</w:t>
      </w:r>
    </w:p>
    <w:p w14:paraId="6772C456" w14:textId="77777777" w:rsidR="00C20C82" w:rsidRDefault="00000000">
      <w:pPr>
        <w:pStyle w:val="FirstParagraph"/>
      </w:pPr>
      <w:r>
        <w:rPr>
          <w:b/>
          <w:bCs/>
        </w:rPr>
        <w:t>Manuscript:</w:t>
      </w:r>
      <w:r>
        <w:t xml:space="preserve"> Safeguarding Informed Consent in the Collection of Personal Health Data by Wearable Smart Devices: An Empirical Study of User Agreements from Chinese Devices</w:t>
      </w:r>
    </w:p>
    <w:p w14:paraId="38E30C81" w14:textId="77777777" w:rsidR="00C20C82" w:rsidRDefault="00000000">
      <w:pPr>
        <w:pStyle w:val="a0"/>
      </w:pPr>
      <w:r>
        <w:rPr>
          <w:b/>
          <w:bCs/>
        </w:rPr>
        <w:t>Journal:</w:t>
      </w:r>
      <w:r>
        <w:t xml:space="preserve"> BMC Medical Ethics</w:t>
      </w:r>
    </w:p>
    <w:p w14:paraId="796394F7" w14:textId="77777777" w:rsidR="00C20C82" w:rsidRDefault="00000000">
      <w:pPr>
        <w:pStyle w:val="a0"/>
      </w:pPr>
      <w:r>
        <w:rPr>
          <w:b/>
          <w:bCs/>
        </w:rPr>
        <w:t>Version:</w:t>
      </w:r>
      <w:r>
        <w:t xml:space="preserve"> 2.0</w:t>
      </w:r>
    </w:p>
    <w:p w14:paraId="7C56BB57" w14:textId="77777777" w:rsidR="00C20C82" w:rsidRDefault="00C20C82">
      <w:pPr>
        <w:pStyle w:val="2"/>
        <w:rPr>
          <w:color w:val="auto"/>
        </w:rPr>
      </w:pPr>
      <w:bookmarkStart w:id="1" w:name="purpose-and-scope"/>
    </w:p>
    <w:p w14:paraId="265E034D" w14:textId="77777777" w:rsidR="00C20C82" w:rsidRDefault="00000000">
      <w:pPr>
        <w:pStyle w:val="2"/>
        <w:rPr>
          <w:color w:val="auto"/>
        </w:rPr>
      </w:pPr>
      <w:r>
        <w:rPr>
          <w:color w:val="auto"/>
        </w:rPr>
        <w:t>1. Purpose and Scope</w:t>
      </w:r>
    </w:p>
    <w:p w14:paraId="7FB15CD6" w14:textId="77777777" w:rsidR="00C20C82" w:rsidRDefault="00000000">
      <w:pPr>
        <w:pStyle w:val="FirstParagraph"/>
      </w:pPr>
      <w:r>
        <w:t>This manual sets out the rules for coding the user agreements and privacy policies of wearable smart devices under the five-dimensional assessment framework. For each of the 14 indicators, the manual specifies:</w:t>
      </w:r>
    </w:p>
    <w:p w14:paraId="524382F7" w14:textId="77777777" w:rsidR="00C20C82" w:rsidRDefault="00000000">
      <w:pPr>
        <w:pStyle w:val="Compact"/>
        <w:numPr>
          <w:ilvl w:val="0"/>
          <w:numId w:val="1"/>
        </w:numPr>
      </w:pPr>
      <w:r>
        <w:t xml:space="preserve">what each indicator </w:t>
      </w:r>
      <w:proofErr w:type="gramStart"/>
      <w:r>
        <w:t>measures;</w:t>
      </w:r>
      <w:proofErr w:type="gramEnd"/>
    </w:p>
    <w:p w14:paraId="030415ED" w14:textId="77777777" w:rsidR="00C20C82" w:rsidRDefault="00000000">
      <w:pPr>
        <w:pStyle w:val="Compact"/>
        <w:numPr>
          <w:ilvl w:val="0"/>
          <w:numId w:val="1"/>
        </w:numPr>
      </w:pPr>
      <w:r>
        <w:t>the normative basis from which it is derived; and</w:t>
      </w:r>
    </w:p>
    <w:p w14:paraId="4EC9D08E" w14:textId="77777777" w:rsidR="00C20C82" w:rsidRDefault="00000000">
      <w:pPr>
        <w:pStyle w:val="Compact"/>
        <w:numPr>
          <w:ilvl w:val="0"/>
          <w:numId w:val="1"/>
        </w:numPr>
      </w:pPr>
      <w:r>
        <w:t>the documentary evidence required to classify a case as “full coverage (✓)”, “partial coverage (○)”, or “absent (x)”.</w:t>
      </w:r>
    </w:p>
    <w:p w14:paraId="2F52BEEA" w14:textId="77777777" w:rsidR="00C20C82" w:rsidRDefault="00000000">
      <w:pPr>
        <w:pStyle w:val="FirstParagraph"/>
      </w:pPr>
      <w:r>
        <w:t>This manual serves two purposes:</w:t>
      </w:r>
    </w:p>
    <w:p w14:paraId="1472F3FF" w14:textId="77777777" w:rsidR="00C20C82" w:rsidRDefault="00000000">
      <w:pPr>
        <w:pStyle w:val="Compact"/>
        <w:numPr>
          <w:ilvl w:val="0"/>
          <w:numId w:val="2"/>
        </w:numPr>
      </w:pPr>
      <w:r>
        <w:t>as a reproducibility tool, enabling independent coders to reproduce this assessment; and</w:t>
      </w:r>
    </w:p>
    <w:p w14:paraId="19074113" w14:textId="77777777" w:rsidR="00C20C82" w:rsidRDefault="00000000">
      <w:pPr>
        <w:pStyle w:val="Compact"/>
        <w:numPr>
          <w:ilvl w:val="0"/>
          <w:numId w:val="2"/>
        </w:numPr>
      </w:pPr>
      <w:r>
        <w:t>as the authoritative basis for re-reviewing the paper and its assessment results.</w:t>
      </w:r>
    </w:p>
    <w:p w14:paraId="46583BA9" w14:textId="77777777" w:rsidR="00C20C82" w:rsidRDefault="00000000">
      <w:pPr>
        <w:pStyle w:val="FirstParagraph"/>
      </w:pPr>
      <w:r>
        <w:t>The verified Evidence Matrix is the authoritative record of the final codes. This manual governs how those codes are interpreted and reproduced; it does not override the final matrix.</w:t>
      </w:r>
    </w:p>
    <w:p w14:paraId="41F5A05B" w14:textId="77777777" w:rsidR="00C20C82" w:rsidRDefault="00000000">
      <w:pPr>
        <w:pStyle w:val="2"/>
        <w:rPr>
          <w:color w:val="auto"/>
        </w:rPr>
      </w:pPr>
      <w:bookmarkStart w:id="2" w:name="materials-and-unit-of-analysis"/>
      <w:bookmarkEnd w:id="1"/>
      <w:r>
        <w:rPr>
          <w:color w:val="auto"/>
        </w:rPr>
        <w:t>2. Materials and Unit of Analysis</w:t>
      </w:r>
    </w:p>
    <w:p w14:paraId="0715945C" w14:textId="77777777" w:rsidR="00C20C82" w:rsidRDefault="00000000">
      <w:pPr>
        <w:pStyle w:val="Compact"/>
        <w:numPr>
          <w:ilvl w:val="0"/>
          <w:numId w:val="3"/>
        </w:numPr>
      </w:pPr>
      <w:r>
        <w:rPr>
          <w:b/>
          <w:bCs/>
        </w:rPr>
        <w:t>Coding unit. A case is one wearable device or device category paired with the archived document set used to govern or describe its personal-information processing. The set consists of the available user agreement and/or privacy policy and any incorporated third-party information list. The Device and Document Applicability Inventory identifies the exact files for AG1–AG18.</w:t>
      </w:r>
    </w:p>
    <w:p w14:paraId="61E943F8" w14:textId="77777777" w:rsidR="00C20C82" w:rsidRDefault="00000000">
      <w:pPr>
        <w:pStyle w:val="Compact"/>
        <w:numPr>
          <w:ilvl w:val="0"/>
          <w:numId w:val="3"/>
        </w:numPr>
      </w:pPr>
      <w:r>
        <w:rPr>
          <w:b/>
          <w:bCs/>
        </w:rPr>
        <w:lastRenderedPageBreak/>
        <w:t>Case attributes. Manufacturer/brand, device/category, companion application, policy owner, document titles, versions/dates, source, archived files, cross-device scope, and independence rationale are recorded as attributes of the device–document case rather than as alternative units of analysis.</w:t>
      </w:r>
    </w:p>
    <w:p w14:paraId="4CE163EC" w14:textId="77777777" w:rsidR="00C20C82" w:rsidRDefault="00000000">
      <w:pPr>
        <w:pStyle w:val="Compact"/>
        <w:numPr>
          <w:ilvl w:val="0"/>
          <w:numId w:val="3"/>
        </w:numPr>
      </w:pPr>
      <w:r>
        <w:rPr>
          <w:b/>
          <w:bCs/>
        </w:rPr>
        <w:t>Retrieval and archiving.</w:t>
      </w:r>
      <w:r>
        <w:t xml:space="preserve"> All documents were retrieved through formal channels (the operator’s official website or in-application access), with a retrieval cut-off date of </w:t>
      </w:r>
      <w:r>
        <w:rPr>
          <w:rFonts w:hint="eastAsia"/>
        </w:rPr>
        <w:t>5 August</w:t>
      </w:r>
      <w:r>
        <w:t xml:space="preserve"> 2026. Each retrieved version was archived (snapshot and access date) and matched to the corresponding case in the Evidence Matrix. Where a policy changed after retrieval, the archived version was </w:t>
      </w:r>
      <w:proofErr w:type="spellStart"/>
      <w:r>
        <w:t>analysed</w:t>
      </w:r>
      <w:proofErr w:type="spellEnd"/>
      <w:r>
        <w:t>.</w:t>
      </w:r>
    </w:p>
    <w:p w14:paraId="7DC344F9" w14:textId="77777777" w:rsidR="00C20C82" w:rsidRDefault="00000000">
      <w:pPr>
        <w:pStyle w:val="Compact"/>
        <w:numPr>
          <w:ilvl w:val="0"/>
          <w:numId w:val="3"/>
        </w:numPr>
      </w:pPr>
      <w:r>
        <w:rPr>
          <w:b/>
          <w:bCs/>
        </w:rPr>
        <w:t>Language.</w:t>
      </w:r>
      <w:r>
        <w:t xml:space="preserve"> Coding was performed on the original Chinese text. Where a translation was used, the code was assigned only after a coder with legal-Chinese competence had verified it against the original.</w:t>
      </w:r>
    </w:p>
    <w:p w14:paraId="473A0868" w14:textId="77777777" w:rsidR="00C20C82" w:rsidRDefault="00000000">
      <w:pPr>
        <w:pStyle w:val="Compact"/>
        <w:numPr>
          <w:ilvl w:val="0"/>
          <w:numId w:val="3"/>
        </w:numPr>
      </w:pPr>
      <w:r>
        <w:rPr>
          <w:b/>
          <w:bCs/>
        </w:rPr>
        <w:t>Duplicate policies. The same document is counted only once within the same operator and device category. Separate cases under one corporate group are retained only where they concern different device categories and distinct document sets; the inventory records the rationale case by case.</w:t>
      </w:r>
    </w:p>
    <w:p w14:paraId="186152AE" w14:textId="77777777" w:rsidR="00C20C82" w:rsidRDefault="00000000">
      <w:pPr>
        <w:pStyle w:val="2"/>
        <w:rPr>
          <w:color w:val="auto"/>
        </w:rPr>
      </w:pPr>
      <w:bookmarkStart w:id="3" w:name="coding-rules"/>
      <w:bookmarkEnd w:id="2"/>
      <w:r>
        <w:rPr>
          <w:color w:val="auto"/>
        </w:rPr>
        <w:t>3. Coding Rules</w:t>
      </w:r>
    </w:p>
    <w:p w14:paraId="68AD88F8" w14:textId="77777777" w:rsidR="00C20C82" w:rsidRDefault="00000000">
      <w:pPr>
        <w:pStyle w:val="3"/>
        <w:rPr>
          <w:color w:val="auto"/>
        </w:rPr>
      </w:pPr>
      <w:bookmarkStart w:id="4" w:name="document-based-coding"/>
      <w:r>
        <w:rPr>
          <w:color w:val="auto"/>
        </w:rPr>
        <w:t>3.1 Document-Based Coding</w:t>
      </w:r>
    </w:p>
    <w:p w14:paraId="646C6EEE" w14:textId="77777777" w:rsidR="00C20C82" w:rsidRDefault="00000000">
      <w:pPr>
        <w:pStyle w:val="FirstParagraph"/>
      </w:pPr>
      <w:r>
        <w:t xml:space="preserve">This paper and this coding manual reflect only the content of the retrieved documents. The coding records whether a document describes or promises specific information, procedures, or mechanisms; it does not measure whether the company </w:t>
      </w:r>
      <w:proofErr w:type="gramStart"/>
      <w:r>
        <w:t>actually implements</w:t>
      </w:r>
      <w:proofErr w:type="gramEnd"/>
      <w:r>
        <w:t xml:space="preserve"> them, whether users understand the information, or whether consent is genuinely voluntary. Such claims fall outside the scope of document analysis and are not coded.</w:t>
      </w:r>
    </w:p>
    <w:p w14:paraId="2EE87C53" w14:textId="77777777" w:rsidR="00C20C82" w:rsidRDefault="00000000">
      <w:pPr>
        <w:pStyle w:val="3"/>
        <w:rPr>
          <w:color w:val="auto"/>
        </w:rPr>
      </w:pPr>
      <w:bookmarkStart w:id="5" w:name="coding-categories"/>
      <w:bookmarkEnd w:id="4"/>
      <w:r>
        <w:rPr>
          <w:color w:val="auto"/>
        </w:rPr>
        <w:t>3.2 Coding Categories</w:t>
      </w:r>
    </w:p>
    <w:tbl>
      <w:tblPr>
        <w:tblStyle w:val="Table"/>
        <w:tblW w:w="5000" w:type="pct"/>
        <w:tblInd w:w="0" w:type="dxa"/>
        <w:tblLayout w:type="fixed"/>
        <w:tblLook w:val="04A0" w:firstRow="1" w:lastRow="0" w:firstColumn="1" w:lastColumn="0" w:noHBand="0" w:noVBand="1"/>
      </w:tblPr>
      <w:tblGrid>
        <w:gridCol w:w="2880"/>
        <w:gridCol w:w="2880"/>
        <w:gridCol w:w="2880"/>
      </w:tblGrid>
      <w:tr w:rsidR="00C20C82" w14:paraId="506BD986" w14:textId="77777777" w:rsidTr="00C20C82">
        <w:trPr>
          <w:cnfStyle w:val="100000000000" w:firstRow="1" w:lastRow="0" w:firstColumn="0" w:lastColumn="0" w:oddVBand="0" w:evenVBand="0" w:oddHBand="0" w:evenHBand="0" w:firstRowFirstColumn="0" w:firstRowLastColumn="0" w:lastRowFirstColumn="0" w:lastRowLastColumn="0"/>
          <w:tblHeader/>
        </w:trPr>
        <w:tc>
          <w:tcPr>
            <w:tcW w:w="2952" w:type="dxa"/>
          </w:tcPr>
          <w:p w14:paraId="27F64A28" w14:textId="77777777" w:rsidR="00C20C82" w:rsidRDefault="00000000">
            <w:pPr>
              <w:pStyle w:val="Compact"/>
            </w:pPr>
            <w:r>
              <w:t>Code</w:t>
            </w:r>
          </w:p>
        </w:tc>
        <w:tc>
          <w:tcPr>
            <w:tcW w:w="2952" w:type="dxa"/>
          </w:tcPr>
          <w:p w14:paraId="2E879761" w14:textId="77777777" w:rsidR="00C20C82" w:rsidRDefault="00000000">
            <w:pPr>
              <w:pStyle w:val="Compact"/>
            </w:pPr>
            <w:r>
              <w:t>Category</w:t>
            </w:r>
          </w:p>
        </w:tc>
        <w:tc>
          <w:tcPr>
            <w:tcW w:w="2952" w:type="dxa"/>
          </w:tcPr>
          <w:p w14:paraId="22C73C95" w14:textId="77777777" w:rsidR="00C20C82" w:rsidRDefault="00000000">
            <w:pPr>
              <w:pStyle w:val="Compact"/>
            </w:pPr>
            <w:r>
              <w:t>Operational definition</w:t>
            </w:r>
          </w:p>
        </w:tc>
      </w:tr>
      <w:tr w:rsidR="00C20C82" w14:paraId="7F01E363" w14:textId="77777777" w:rsidTr="00C20C82">
        <w:tc>
          <w:tcPr>
            <w:tcW w:w="2952" w:type="dxa"/>
          </w:tcPr>
          <w:p w14:paraId="5484C8C3" w14:textId="77777777" w:rsidR="00C20C82" w:rsidRDefault="00000000">
            <w:pPr>
              <w:pStyle w:val="Compact"/>
            </w:pPr>
            <w:r>
              <w:t>✓</w:t>
            </w:r>
          </w:p>
        </w:tc>
        <w:tc>
          <w:tcPr>
            <w:tcW w:w="2952" w:type="dxa"/>
          </w:tcPr>
          <w:p w14:paraId="0516CDF0" w14:textId="77777777" w:rsidR="00C20C82" w:rsidRDefault="00000000">
            <w:pPr>
              <w:pStyle w:val="Compact"/>
            </w:pPr>
            <w:r>
              <w:t>Full coverage</w:t>
            </w:r>
          </w:p>
        </w:tc>
        <w:tc>
          <w:tcPr>
            <w:tcW w:w="2952" w:type="dxa"/>
          </w:tcPr>
          <w:p w14:paraId="56E735A5" w14:textId="77777777" w:rsidR="00C20C82" w:rsidRDefault="00000000">
            <w:pPr>
              <w:pStyle w:val="Compact"/>
            </w:pPr>
            <w:r>
              <w:t>The document substantively addresses the indicator. The relevant provision exists and is specific and complete: it identifies the specific data categories, purposes, recipients, procedures, or interfaces required by the indicator, and covers the full scope of the indicator.</w:t>
            </w:r>
          </w:p>
        </w:tc>
      </w:tr>
      <w:tr w:rsidR="00C20C82" w14:paraId="4539F4D3" w14:textId="77777777" w:rsidTr="00C20C82">
        <w:tc>
          <w:tcPr>
            <w:tcW w:w="2952" w:type="dxa"/>
          </w:tcPr>
          <w:p w14:paraId="067D551D" w14:textId="77777777" w:rsidR="00C20C82" w:rsidRDefault="00000000">
            <w:pPr>
              <w:pStyle w:val="Compact"/>
            </w:pPr>
            <w:r>
              <w:lastRenderedPageBreak/>
              <w:t>○</w:t>
            </w:r>
          </w:p>
        </w:tc>
        <w:tc>
          <w:tcPr>
            <w:tcW w:w="2952" w:type="dxa"/>
          </w:tcPr>
          <w:p w14:paraId="1136EEAA" w14:textId="77777777" w:rsidR="00C20C82" w:rsidRDefault="00000000">
            <w:pPr>
              <w:pStyle w:val="Compact"/>
            </w:pPr>
            <w:r>
              <w:t>Partial coverage</w:t>
            </w:r>
          </w:p>
        </w:tc>
        <w:tc>
          <w:tcPr>
            <w:tcW w:w="2952" w:type="dxa"/>
          </w:tcPr>
          <w:p w14:paraId="036E9AEC" w14:textId="77777777" w:rsidR="00C20C82" w:rsidRDefault="00000000">
            <w:pPr>
              <w:pStyle w:val="Compact"/>
            </w:pPr>
            <w:r>
              <w:t>The document touches on the subject matter of the indicator but satisfies only some of its elements, or responds in a generic, vague, conditional, or self-referential way. The following are coded as partial coverage: provisions that use generic wording where specific wording is required, or that cover only part of the indicator’s scope.</w:t>
            </w:r>
          </w:p>
        </w:tc>
      </w:tr>
      <w:tr w:rsidR="00C20C82" w14:paraId="151A20F1" w14:textId="77777777" w:rsidTr="00C20C82">
        <w:tc>
          <w:tcPr>
            <w:tcW w:w="2952" w:type="dxa"/>
          </w:tcPr>
          <w:p w14:paraId="5B72191E" w14:textId="77777777" w:rsidR="00C20C82" w:rsidRDefault="00000000">
            <w:pPr>
              <w:pStyle w:val="Compact"/>
            </w:pPr>
            <w:r>
              <w:t>x</w:t>
            </w:r>
          </w:p>
        </w:tc>
        <w:tc>
          <w:tcPr>
            <w:tcW w:w="2952" w:type="dxa"/>
          </w:tcPr>
          <w:p w14:paraId="433A8544" w14:textId="77777777" w:rsidR="00C20C82" w:rsidRDefault="00000000">
            <w:pPr>
              <w:pStyle w:val="Compact"/>
            </w:pPr>
            <w:r>
              <w:t>Absent</w:t>
            </w:r>
          </w:p>
        </w:tc>
        <w:tc>
          <w:tcPr>
            <w:tcW w:w="2952" w:type="dxa"/>
          </w:tcPr>
          <w:p w14:paraId="371754B9" w14:textId="77777777" w:rsidR="00C20C82" w:rsidRDefault="00000000">
            <w:pPr>
              <w:pStyle w:val="Compact"/>
            </w:pPr>
            <w:r>
              <w:t>The document contains no provision addressing the subject matter of the indicator.</w:t>
            </w:r>
          </w:p>
        </w:tc>
      </w:tr>
    </w:tbl>
    <w:p w14:paraId="266E67F6" w14:textId="77777777" w:rsidR="00C20C82" w:rsidRDefault="00000000">
      <w:pPr>
        <w:pStyle w:val="3"/>
        <w:rPr>
          <w:color w:val="auto"/>
        </w:rPr>
      </w:pPr>
      <w:bookmarkStart w:id="6" w:name="priority-of-coding-decisions"/>
      <w:bookmarkEnd w:id="5"/>
      <w:r>
        <w:rPr>
          <w:color w:val="auto"/>
        </w:rPr>
        <w:t>3.3 Priority of Coding Decisions</w:t>
      </w:r>
    </w:p>
    <w:p w14:paraId="74971ADC" w14:textId="77777777" w:rsidR="00C20C82" w:rsidRDefault="00000000">
      <w:pPr>
        <w:pStyle w:val="FirstParagraph"/>
      </w:pPr>
      <w:r>
        <w:t>Each indicator is coded ✓, ○, or x for every case after a separate case-level applicability determination. The Evidence Matrix states the health or physiological data relevant to the case, the processing activity or documentary duty tested by the indicator, and the archived section reviewed. For D1 and D2, documentary silence does not prove that the underlying activity is absent; unless the archived case set affirmatively establishes non-occurrence, a missing required disclosure or mechanism is coded x rather than N/A.</w:t>
      </w:r>
    </w:p>
    <w:p w14:paraId="63EE6999" w14:textId="77777777" w:rsidR="00C20C82" w:rsidRDefault="00000000">
      <w:pPr>
        <w:pStyle w:val="3"/>
        <w:rPr>
          <w:color w:val="auto"/>
        </w:rPr>
      </w:pPr>
      <w:bookmarkStart w:id="7" w:name="rules-governing-the-application-of-and-x"/>
      <w:bookmarkEnd w:id="6"/>
      <w:r>
        <w:rPr>
          <w:color w:val="auto"/>
        </w:rPr>
        <w:t>3.4 Rules Governing the Application of ✓, ○, and x</w:t>
      </w:r>
    </w:p>
    <w:p w14:paraId="4C560034" w14:textId="77777777" w:rsidR="00C20C82" w:rsidRDefault="00000000">
      <w:pPr>
        <w:pStyle w:val="Compact"/>
        <w:numPr>
          <w:ilvl w:val="0"/>
          <w:numId w:val="4"/>
        </w:numPr>
      </w:pPr>
      <w:r>
        <w:rPr>
          <w:b/>
          <w:bCs/>
        </w:rPr>
        <w:t>Specificity rule.</w:t>
      </w:r>
      <w:r>
        <w:t xml:space="preserve"> A code of ✓ may be assigned only where the provision is specific and identifies the specific data categories, purposes, recipients, procedures, or interfaces described in the archived document. Generic wording (e.g., “health information”, “to improve our services”, “we may share with partners”) cannot support ✓.</w:t>
      </w:r>
    </w:p>
    <w:p w14:paraId="1A529AC4" w14:textId="77777777" w:rsidR="00C20C82" w:rsidRDefault="00000000">
      <w:pPr>
        <w:pStyle w:val="Compact"/>
        <w:numPr>
          <w:ilvl w:val="0"/>
          <w:numId w:val="4"/>
        </w:numPr>
      </w:pPr>
      <w:r>
        <w:rPr>
          <w:b/>
          <w:bCs/>
        </w:rPr>
        <w:t>Vagueness rule.</w:t>
      </w:r>
      <w:r>
        <w:t xml:space="preserve"> Genuinely ambiguous provisions are coded ○, and the ambiguity is recorded in the Evidence Matrix.</w:t>
      </w:r>
    </w:p>
    <w:p w14:paraId="6E081CCE" w14:textId="77777777" w:rsidR="00C20C82" w:rsidRDefault="00000000">
      <w:pPr>
        <w:pStyle w:val="Compact"/>
        <w:numPr>
          <w:ilvl w:val="0"/>
          <w:numId w:val="4"/>
        </w:numPr>
      </w:pPr>
      <w:r>
        <w:rPr>
          <w:b/>
          <w:bCs/>
        </w:rPr>
        <w:t xml:space="preserve">Non-consent-basis rule. Consent-based indicators are assessed only where consent is the applicable lawful basis. The PIPL permits other lawful bases under Article 13, and the absence of consent language must not be coded as non-compliance where the cited processing </w:t>
      </w:r>
      <w:r>
        <w:rPr>
          <w:b/>
          <w:bCs/>
        </w:rPr>
        <w:lastRenderedPageBreak/>
        <w:t>demonstrably rests on another basis. Where the archived material does not identify another lawful basis, coders record that uncertainty rather than assuming either consent or illegality.</w:t>
      </w:r>
    </w:p>
    <w:p w14:paraId="4845EF3D" w14:textId="77777777" w:rsidR="00C20C82" w:rsidRDefault="00000000">
      <w:pPr>
        <w:pStyle w:val="3"/>
        <w:rPr>
          <w:color w:val="auto"/>
        </w:rPr>
      </w:pPr>
      <w:bookmarkStart w:id="8" w:name="treatment-of-and-na-in-aggregation"/>
      <w:bookmarkEnd w:id="7"/>
      <w:r>
        <w:rPr>
          <w:color w:val="auto"/>
        </w:rPr>
        <w:t>3.5 Treatment of ○ in Aggregation</w:t>
      </w:r>
    </w:p>
    <w:p w14:paraId="3DF7E049" w14:textId="77777777" w:rsidR="00C20C82" w:rsidRDefault="00000000">
      <w:pPr>
        <w:pStyle w:val="Compact"/>
        <w:numPr>
          <w:ilvl w:val="0"/>
          <w:numId w:val="5"/>
        </w:numPr>
      </w:pPr>
      <w:r>
        <w:t>○ cells are treated neither as fully compliant nor as fully non-compliant. In aggregation they are counted in the denominator but not in the numerator.</w:t>
      </w:r>
    </w:p>
    <w:p w14:paraId="6964244A" w14:textId="77777777" w:rsidR="00C20C82" w:rsidRDefault="00000000">
      <w:pPr>
        <w:pStyle w:val="3"/>
        <w:rPr>
          <w:color w:val="auto"/>
        </w:rPr>
      </w:pPr>
      <w:bookmarkStart w:id="9" w:name="coding-procedure-and-reliability"/>
      <w:bookmarkEnd w:id="8"/>
      <w:r>
        <w:rPr>
          <w:color w:val="auto"/>
        </w:rPr>
        <w:t>3.6 Coding Procedure and Reliability</w:t>
      </w:r>
    </w:p>
    <w:p w14:paraId="41D10792" w14:textId="77777777" w:rsidR="00C20C82" w:rsidRDefault="00000000">
      <w:pPr>
        <w:pStyle w:val="Compact"/>
        <w:numPr>
          <w:ilvl w:val="0"/>
          <w:numId w:val="6"/>
        </w:numPr>
      </w:pPr>
      <w:r>
        <w:t xml:space="preserve">Each case was coded independently by at least two coders: </w:t>
      </w:r>
      <w:proofErr w:type="spellStart"/>
      <w:r>
        <w:t>Jinrong</w:t>
      </w:r>
      <w:proofErr w:type="spellEnd"/>
      <w:r>
        <w:t xml:space="preserve"> Yang (doctoral candidate in ethics) and Bin Shao (</w:t>
      </w:r>
      <w:proofErr w:type="gramStart"/>
      <w:r>
        <w:t>doctor of law</w:t>
      </w:r>
      <w:proofErr w:type="gramEnd"/>
      <w:r>
        <w:t>).</w:t>
      </w:r>
    </w:p>
    <w:p w14:paraId="0B1C39F8" w14:textId="77777777" w:rsidR="00C20C82" w:rsidRDefault="00000000">
      <w:pPr>
        <w:pStyle w:val="Compact"/>
        <w:numPr>
          <w:ilvl w:val="0"/>
          <w:numId w:val="6"/>
        </w:numPr>
      </w:pPr>
      <w:r>
        <w:t>Disagreements were resolved through discussion.</w:t>
      </w:r>
    </w:p>
    <w:p w14:paraId="54E88EF9" w14:textId="77777777" w:rsidR="00C20C82" w:rsidRDefault="00000000">
      <w:pPr>
        <w:pStyle w:val="Compact"/>
        <w:numPr>
          <w:ilvl w:val="0"/>
          <w:numId w:val="6"/>
        </w:numPr>
      </w:pPr>
      <w:r>
        <w:t>Inter-rater agreement is reported using Cohen’s κ, given by indicator and by analytical dimension.</w:t>
      </w:r>
    </w:p>
    <w:p w14:paraId="78C1C2EA" w14:textId="77777777" w:rsidR="00C20C82" w:rsidRDefault="00000000">
      <w:pPr>
        <w:pStyle w:val="Compact"/>
        <w:numPr>
          <w:ilvl w:val="0"/>
          <w:numId w:val="6"/>
        </w:numPr>
      </w:pPr>
      <w:r>
        <w:t>An independent second assessment was conducted for all cases and is reported.</w:t>
      </w:r>
    </w:p>
    <w:p w14:paraId="3C5F90C1" w14:textId="77777777" w:rsidR="00C20C82" w:rsidRDefault="00000000">
      <w:pPr>
        <w:pStyle w:val="3"/>
        <w:rPr>
          <w:color w:val="auto"/>
        </w:rPr>
      </w:pPr>
      <w:bookmarkStart w:id="10" w:name="content-not-coded"/>
      <w:bookmarkEnd w:id="9"/>
      <w:r>
        <w:rPr>
          <w:color w:val="auto"/>
        </w:rPr>
        <w:t>3.7 Content Not Coded</w:t>
      </w:r>
    </w:p>
    <w:p w14:paraId="39411ECB" w14:textId="77777777" w:rsidR="00C20C82" w:rsidRDefault="00000000">
      <w:pPr>
        <w:pStyle w:val="FirstParagraph"/>
      </w:pPr>
      <w:r>
        <w:t>The following fall outside the scope of document coding and are treated as limitations: actual interface usability and convenience (E1–E2 code only the availability of pathways as documented); the degree of user understanding; voluntariness in the experiential sense; and companies’ actual data-processing practices.</w:t>
      </w:r>
    </w:p>
    <w:p w14:paraId="1247340E" w14:textId="77777777" w:rsidR="00C20C82" w:rsidRDefault="00000000">
      <w:pPr>
        <w:pStyle w:val="2"/>
        <w:rPr>
          <w:color w:val="auto"/>
        </w:rPr>
      </w:pPr>
      <w:bookmarkStart w:id="11" w:name="coding-standards-for-all-indicators"/>
      <w:bookmarkEnd w:id="3"/>
      <w:bookmarkEnd w:id="10"/>
      <w:r>
        <w:rPr>
          <w:color w:val="auto"/>
        </w:rPr>
        <w:t>4. Coding Standards for All Indicators</w:t>
      </w:r>
    </w:p>
    <w:p w14:paraId="50A4BC8D" w14:textId="77777777" w:rsidR="00C20C82" w:rsidRDefault="00000000">
      <w:pPr>
        <w:pStyle w:val="3"/>
        <w:rPr>
          <w:color w:val="auto"/>
        </w:rPr>
      </w:pPr>
      <w:bookmarkStart w:id="12" w:name="Xc3af2657e41d252f29ce18204d90fccba7f49b7"/>
      <w:r>
        <w:rPr>
          <w:color w:val="auto"/>
        </w:rPr>
        <w:t>4.1 Dimension A — Completeness and Accessibility of Disclosure</w:t>
      </w:r>
    </w:p>
    <w:p w14:paraId="5AE2414A" w14:textId="77777777" w:rsidR="00C20C82" w:rsidRDefault="00000000">
      <w:pPr>
        <w:pStyle w:val="4"/>
        <w:rPr>
          <w:color w:val="auto"/>
        </w:rPr>
      </w:pPr>
      <w:bookmarkStart w:id="13" w:name="Xcef77612ca6344be22b926ac4a91c4f924e94b7"/>
      <w:r>
        <w:rPr>
          <w:color w:val="auto"/>
        </w:rPr>
        <w:t>A1. Whether the categories of data collected are listed in full, including specific types of health data rather than generic phrasing</w:t>
      </w:r>
    </w:p>
    <w:p w14:paraId="34EFAC72" w14:textId="77777777" w:rsidR="00C20C82" w:rsidRDefault="00000000">
      <w:pPr>
        <w:pStyle w:val="FirstParagraph"/>
      </w:pPr>
      <w:r>
        <w:t xml:space="preserve">The indicator measures whether the user agreement completely and specifically discloses the categories of personal data it collects, and whether it </w:t>
      </w:r>
      <w:proofErr w:type="spellStart"/>
      <w:r>
        <w:t>itemises</w:t>
      </w:r>
      <w:proofErr w:type="spellEnd"/>
      <w:r>
        <w:t xml:space="preserve"> each category (</w:t>
      </w:r>
      <w:proofErr w:type="gramStart"/>
      <w:r>
        <w:t>in particular health</w:t>
      </w:r>
      <w:proofErr w:type="gramEnd"/>
      <w:r>
        <w:t xml:space="preserve"> data, such as heart rate, blood pressure, blood glucose, ECG, and sleep data).</w:t>
      </w:r>
    </w:p>
    <w:p w14:paraId="69B74EDA" w14:textId="77777777" w:rsidR="00C20C82" w:rsidRDefault="00000000">
      <w:pPr>
        <w:pStyle w:val="a0"/>
      </w:pPr>
      <w:r>
        <w:rPr>
          <w:b/>
          <w:bCs/>
        </w:rPr>
        <w:t>Normative basis.</w:t>
      </w:r>
      <w:r>
        <w:t xml:space="preserve"> Article 17(1) of the PIPL (disclosure of the categories and purposes of processing personal information); Article 21 of the Network Data Security Management Regulations (</w:t>
      </w:r>
      <w:proofErr w:type="spellStart"/>
      <w:r>
        <w:t>itemised</w:t>
      </w:r>
      <w:proofErr w:type="spellEnd"/>
      <w:r>
        <w:t xml:space="preserve"> disclosure of purposes, methods, and categories); GB/T 42574-2023 (disclosure content: information types, processing purposes, processing methods, and security safeguards).</w:t>
      </w:r>
    </w:p>
    <w:tbl>
      <w:tblPr>
        <w:tblStyle w:val="Table"/>
        <w:tblW w:w="5000" w:type="pct"/>
        <w:tblInd w:w="0" w:type="dxa"/>
        <w:tblLayout w:type="fixed"/>
        <w:tblLook w:val="04A0" w:firstRow="1" w:lastRow="0" w:firstColumn="1" w:lastColumn="0" w:noHBand="0" w:noVBand="1"/>
      </w:tblPr>
      <w:tblGrid>
        <w:gridCol w:w="4320"/>
        <w:gridCol w:w="4320"/>
      </w:tblGrid>
      <w:tr w:rsidR="00C20C82" w14:paraId="43255F05" w14:textId="77777777" w:rsidTr="00C20C82">
        <w:trPr>
          <w:cnfStyle w:val="100000000000" w:firstRow="1" w:lastRow="0" w:firstColumn="0" w:lastColumn="0" w:oddVBand="0" w:evenVBand="0" w:oddHBand="0" w:evenHBand="0" w:firstRowFirstColumn="0" w:firstRowLastColumn="0" w:lastRowFirstColumn="0" w:lastRowLastColumn="0"/>
          <w:tblHeader/>
        </w:trPr>
        <w:tc>
          <w:tcPr>
            <w:tcW w:w="4428" w:type="dxa"/>
          </w:tcPr>
          <w:p w14:paraId="3858FF4D" w14:textId="77777777" w:rsidR="00C20C82" w:rsidRDefault="00000000">
            <w:pPr>
              <w:pStyle w:val="Compact"/>
            </w:pPr>
            <w:r>
              <w:t>Code</w:t>
            </w:r>
          </w:p>
        </w:tc>
        <w:tc>
          <w:tcPr>
            <w:tcW w:w="4428" w:type="dxa"/>
          </w:tcPr>
          <w:p w14:paraId="4946FB59" w14:textId="77777777" w:rsidR="00C20C82" w:rsidRDefault="00000000">
            <w:pPr>
              <w:pStyle w:val="Compact"/>
            </w:pPr>
            <w:r>
              <w:t>Operational standard</w:t>
            </w:r>
          </w:p>
        </w:tc>
      </w:tr>
      <w:tr w:rsidR="00C20C82" w14:paraId="52EDD70E" w14:textId="77777777" w:rsidTr="00C20C82">
        <w:tc>
          <w:tcPr>
            <w:tcW w:w="4428" w:type="dxa"/>
          </w:tcPr>
          <w:p w14:paraId="0BBB2CEB" w14:textId="77777777" w:rsidR="00C20C82" w:rsidRDefault="00000000">
            <w:pPr>
              <w:pStyle w:val="Compact"/>
            </w:pPr>
            <w:r>
              <w:t>✓</w:t>
            </w:r>
          </w:p>
        </w:tc>
        <w:tc>
          <w:tcPr>
            <w:tcW w:w="4428" w:type="dxa"/>
          </w:tcPr>
          <w:p w14:paraId="26B6EEA4" w14:textId="77777777" w:rsidR="00C20C82" w:rsidRDefault="00000000">
            <w:pPr>
              <w:pStyle w:val="Compact"/>
            </w:pPr>
            <w:r>
              <w:t xml:space="preserve">The document </w:t>
            </w:r>
            <w:proofErr w:type="spellStart"/>
            <w:r>
              <w:t>itemises</w:t>
            </w:r>
            <w:proofErr w:type="spellEnd"/>
            <w:r>
              <w:t xml:space="preserve"> the categories collected and identifies specific </w:t>
            </w:r>
            <w:r>
              <w:lastRenderedPageBreak/>
              <w:t>physiological data types for health data (e.g., heart rate, blood pressure, blood glucose, ECG, sleep stages, blood oxygen saturation, body composition).</w:t>
            </w:r>
          </w:p>
        </w:tc>
      </w:tr>
      <w:tr w:rsidR="00C20C82" w14:paraId="237F933C" w14:textId="77777777" w:rsidTr="00C20C82">
        <w:tc>
          <w:tcPr>
            <w:tcW w:w="4428" w:type="dxa"/>
          </w:tcPr>
          <w:p w14:paraId="096006E3" w14:textId="77777777" w:rsidR="00C20C82" w:rsidRDefault="00000000">
            <w:pPr>
              <w:pStyle w:val="Compact"/>
            </w:pPr>
            <w:r>
              <w:lastRenderedPageBreak/>
              <w:t>○</w:t>
            </w:r>
          </w:p>
        </w:tc>
        <w:tc>
          <w:tcPr>
            <w:tcW w:w="4428" w:type="dxa"/>
          </w:tcPr>
          <w:p w14:paraId="43F4DAED" w14:textId="77777777" w:rsidR="00C20C82" w:rsidRDefault="00000000">
            <w:pPr>
              <w:pStyle w:val="Compact"/>
            </w:pPr>
            <w:r>
              <w:t>Categories are listed only generically (“health information”, “body metrics”) without identifying specific types.</w:t>
            </w:r>
          </w:p>
        </w:tc>
      </w:tr>
      <w:tr w:rsidR="00C20C82" w14:paraId="240C5449" w14:textId="77777777" w:rsidTr="00C20C82">
        <w:tc>
          <w:tcPr>
            <w:tcW w:w="4428" w:type="dxa"/>
          </w:tcPr>
          <w:p w14:paraId="7040362B" w14:textId="77777777" w:rsidR="00C20C82" w:rsidRDefault="00000000">
            <w:pPr>
              <w:pStyle w:val="Compact"/>
            </w:pPr>
            <w:r>
              <w:t>x</w:t>
            </w:r>
          </w:p>
        </w:tc>
        <w:tc>
          <w:tcPr>
            <w:tcW w:w="4428" w:type="dxa"/>
          </w:tcPr>
          <w:p w14:paraId="6A6AF380" w14:textId="77777777" w:rsidR="00C20C82" w:rsidRDefault="00000000">
            <w:pPr>
              <w:pStyle w:val="Compact"/>
            </w:pPr>
            <w:r>
              <w:t>The document contains no list or description of the categories of data collected.</w:t>
            </w:r>
          </w:p>
        </w:tc>
      </w:tr>
    </w:tbl>
    <w:p w14:paraId="080A45BF" w14:textId="77777777" w:rsidR="00C20C82" w:rsidRDefault="00000000">
      <w:pPr>
        <w:pStyle w:val="4"/>
        <w:rPr>
          <w:color w:val="auto"/>
        </w:rPr>
      </w:pPr>
      <w:bookmarkStart w:id="14" w:name="X3925ce15bb0fd050ee220e33cdffcc048c1cd4d"/>
      <w:bookmarkEnd w:id="13"/>
      <w:r>
        <w:rPr>
          <w:color w:val="auto"/>
        </w:rPr>
        <w:t>A2. Whether each item of sensitive personal information is individually identified</w:t>
      </w:r>
    </w:p>
    <w:p w14:paraId="0D225FF8" w14:textId="77777777" w:rsidR="00C20C82" w:rsidRDefault="00000000">
      <w:pPr>
        <w:pStyle w:val="FirstParagraph"/>
      </w:pPr>
      <w:r>
        <w:t xml:space="preserve">The indicator measures whether the user agreement </w:t>
      </w:r>
      <w:proofErr w:type="spellStart"/>
      <w:r>
        <w:t>itemises</w:t>
      </w:r>
      <w:proofErr w:type="spellEnd"/>
      <w:r>
        <w:t xml:space="preserve"> which specific data it collects qualify as sensitive personal information within the meaning of Article 28 of the PIPL, and identifies and marks those items (e.g., by dedicating a section stating “the following information constitutes sensitive personal information”) so that users can perceive the special status of those items.</w:t>
      </w:r>
    </w:p>
    <w:p w14:paraId="7AC86DAE" w14:textId="77777777" w:rsidR="00C20C82" w:rsidRDefault="00000000">
      <w:pPr>
        <w:pStyle w:val="a0"/>
      </w:pPr>
      <w:r>
        <w:rPr>
          <w:b/>
          <w:bCs/>
        </w:rPr>
        <w:t>Normative basis.</w:t>
      </w:r>
      <w:r>
        <w:t xml:space="preserve"> Article 28 of the PIPL (definition of, and special protection for, sensitive personal information, including health data); Article 29 (enhanced disclosure for sensitive information); GB/T 35273-2020 (categories of sensitive personal information); GB/T 42574-2023; GB/T 45574-2025.</w:t>
      </w:r>
    </w:p>
    <w:tbl>
      <w:tblPr>
        <w:tblStyle w:val="Table"/>
        <w:tblW w:w="5000" w:type="pct"/>
        <w:tblInd w:w="0" w:type="dxa"/>
        <w:tblLayout w:type="fixed"/>
        <w:tblLook w:val="04A0" w:firstRow="1" w:lastRow="0" w:firstColumn="1" w:lastColumn="0" w:noHBand="0" w:noVBand="1"/>
      </w:tblPr>
      <w:tblGrid>
        <w:gridCol w:w="4320"/>
        <w:gridCol w:w="4320"/>
      </w:tblGrid>
      <w:tr w:rsidR="00C20C82" w14:paraId="790CE1E1" w14:textId="77777777" w:rsidTr="00C20C82">
        <w:trPr>
          <w:cnfStyle w:val="100000000000" w:firstRow="1" w:lastRow="0" w:firstColumn="0" w:lastColumn="0" w:oddVBand="0" w:evenVBand="0" w:oddHBand="0" w:evenHBand="0" w:firstRowFirstColumn="0" w:firstRowLastColumn="0" w:lastRowFirstColumn="0" w:lastRowLastColumn="0"/>
          <w:tblHeader/>
        </w:trPr>
        <w:tc>
          <w:tcPr>
            <w:tcW w:w="4428" w:type="dxa"/>
          </w:tcPr>
          <w:p w14:paraId="76249C13" w14:textId="77777777" w:rsidR="00C20C82" w:rsidRDefault="00000000">
            <w:pPr>
              <w:pStyle w:val="Compact"/>
            </w:pPr>
            <w:r>
              <w:t>Code</w:t>
            </w:r>
          </w:p>
        </w:tc>
        <w:tc>
          <w:tcPr>
            <w:tcW w:w="4428" w:type="dxa"/>
          </w:tcPr>
          <w:p w14:paraId="75848C72" w14:textId="77777777" w:rsidR="00C20C82" w:rsidRDefault="00000000">
            <w:pPr>
              <w:pStyle w:val="Compact"/>
            </w:pPr>
            <w:r>
              <w:t>Operational standard</w:t>
            </w:r>
          </w:p>
        </w:tc>
      </w:tr>
      <w:tr w:rsidR="00C20C82" w14:paraId="171AE2F2" w14:textId="77777777" w:rsidTr="00C20C82">
        <w:tc>
          <w:tcPr>
            <w:tcW w:w="4428" w:type="dxa"/>
          </w:tcPr>
          <w:p w14:paraId="7E42674D" w14:textId="77777777" w:rsidR="00C20C82" w:rsidRDefault="00000000">
            <w:pPr>
              <w:pStyle w:val="Compact"/>
            </w:pPr>
            <w:r>
              <w:t>✓</w:t>
            </w:r>
          </w:p>
        </w:tc>
        <w:tc>
          <w:tcPr>
            <w:tcW w:w="4428" w:type="dxa"/>
          </w:tcPr>
          <w:p w14:paraId="5481EAD5" w14:textId="77777777" w:rsidR="00C20C82" w:rsidRDefault="00000000">
            <w:pPr>
              <w:pStyle w:val="Compact"/>
            </w:pPr>
            <w:r>
              <w:t>The document identifies the sensitive character of specific data items, lists the sensitive categories it collects, and marks them as sensitive (e.g., by dedicating a section to sensitive information).</w:t>
            </w:r>
          </w:p>
        </w:tc>
      </w:tr>
      <w:tr w:rsidR="00C20C82" w14:paraId="4CCACACB" w14:textId="77777777" w:rsidTr="00C20C82">
        <w:tc>
          <w:tcPr>
            <w:tcW w:w="4428" w:type="dxa"/>
          </w:tcPr>
          <w:p w14:paraId="7D811129" w14:textId="77777777" w:rsidR="00C20C82" w:rsidRDefault="00000000">
            <w:pPr>
              <w:pStyle w:val="Compact"/>
            </w:pPr>
            <w:r>
              <w:t>○</w:t>
            </w:r>
          </w:p>
        </w:tc>
        <w:tc>
          <w:tcPr>
            <w:tcW w:w="4428" w:type="dxa"/>
          </w:tcPr>
          <w:p w14:paraId="5B7C5B63" w14:textId="77777777" w:rsidR="00C20C82" w:rsidRDefault="00000000">
            <w:pPr>
              <w:pStyle w:val="Compact"/>
            </w:pPr>
            <w:r>
              <w:t>The document contains only a generic statement (e.g., “health data constitute sensitive personal information”) without identifying which specific collected items are sensitive, or marks only some of the sensitive items collected.</w:t>
            </w:r>
          </w:p>
        </w:tc>
      </w:tr>
      <w:tr w:rsidR="00C20C82" w14:paraId="36B00611" w14:textId="77777777" w:rsidTr="00C20C82">
        <w:tc>
          <w:tcPr>
            <w:tcW w:w="4428" w:type="dxa"/>
          </w:tcPr>
          <w:p w14:paraId="1AD2A1D1" w14:textId="77777777" w:rsidR="00C20C82" w:rsidRDefault="00000000">
            <w:pPr>
              <w:pStyle w:val="Compact"/>
            </w:pPr>
            <w:r>
              <w:t>x</w:t>
            </w:r>
          </w:p>
        </w:tc>
        <w:tc>
          <w:tcPr>
            <w:tcW w:w="4428" w:type="dxa"/>
          </w:tcPr>
          <w:p w14:paraId="1D96A120" w14:textId="77777777" w:rsidR="00C20C82" w:rsidRDefault="00000000">
            <w:pPr>
              <w:pStyle w:val="Compact"/>
            </w:pPr>
            <w:r>
              <w:t>The document makes no mention of sensitive personal information.</w:t>
            </w:r>
          </w:p>
        </w:tc>
      </w:tr>
    </w:tbl>
    <w:p w14:paraId="19E591EB" w14:textId="77777777" w:rsidR="00C20C82" w:rsidRDefault="00000000">
      <w:pPr>
        <w:pStyle w:val="4"/>
        <w:rPr>
          <w:color w:val="auto"/>
        </w:rPr>
      </w:pPr>
      <w:bookmarkStart w:id="15" w:name="X7b6a657349fa2937ec22cd6fb7d18c69eae8771"/>
      <w:bookmarkEnd w:id="14"/>
      <w:r>
        <w:rPr>
          <w:color w:val="auto"/>
        </w:rPr>
        <w:t>A3. Whether processing purposes are clearly and specifically stated</w:t>
      </w:r>
    </w:p>
    <w:p w14:paraId="171BB2C0" w14:textId="77777777" w:rsidR="00C20C82" w:rsidRDefault="00000000">
      <w:pPr>
        <w:pStyle w:val="FirstParagraph"/>
      </w:pPr>
      <w:r>
        <w:t xml:space="preserve">The indicator measures whether the user agreement states the purposes of processing personal data in a specific way: whether it links the categories of data </w:t>
      </w:r>
      <w:r>
        <w:lastRenderedPageBreak/>
        <w:t xml:space="preserve">collected to specific processing purposes described in the document (e.g., “heart-rate data are collected for the health-monitoring function”, “for cross-device data </w:t>
      </w:r>
      <w:proofErr w:type="spellStart"/>
      <w:r>
        <w:t>synchronisation</w:t>
      </w:r>
      <w:proofErr w:type="spellEnd"/>
      <w:r>
        <w:t>”) rather than glossing over them with generic purposes such as “to provide and improve services” or “to enhance the user experience”.</w:t>
      </w:r>
    </w:p>
    <w:p w14:paraId="1CA52314" w14:textId="77777777" w:rsidR="00C20C82" w:rsidRDefault="00000000">
      <w:pPr>
        <w:pStyle w:val="a0"/>
      </w:pPr>
      <w:r>
        <w:rPr>
          <w:b/>
          <w:bCs/>
        </w:rPr>
        <w:t>Normative basis.</w:t>
      </w:r>
      <w:r>
        <w:t xml:space="preserve"> Article 17(1) of the PIPL (disclosure of processing purposes); Article 6 (purposes must be specific and reasonable); GB/T 42574-2023.</w:t>
      </w:r>
    </w:p>
    <w:tbl>
      <w:tblPr>
        <w:tblStyle w:val="Table"/>
        <w:tblW w:w="5000" w:type="pct"/>
        <w:tblInd w:w="0" w:type="dxa"/>
        <w:tblLayout w:type="fixed"/>
        <w:tblLook w:val="04A0" w:firstRow="1" w:lastRow="0" w:firstColumn="1" w:lastColumn="0" w:noHBand="0" w:noVBand="1"/>
      </w:tblPr>
      <w:tblGrid>
        <w:gridCol w:w="4320"/>
        <w:gridCol w:w="4320"/>
      </w:tblGrid>
      <w:tr w:rsidR="00C20C82" w14:paraId="23219B54" w14:textId="77777777" w:rsidTr="00C20C82">
        <w:trPr>
          <w:cnfStyle w:val="100000000000" w:firstRow="1" w:lastRow="0" w:firstColumn="0" w:lastColumn="0" w:oddVBand="0" w:evenVBand="0" w:oddHBand="0" w:evenHBand="0" w:firstRowFirstColumn="0" w:firstRowLastColumn="0" w:lastRowFirstColumn="0" w:lastRowLastColumn="0"/>
          <w:tblHeader/>
        </w:trPr>
        <w:tc>
          <w:tcPr>
            <w:tcW w:w="4428" w:type="dxa"/>
          </w:tcPr>
          <w:p w14:paraId="063F7A01" w14:textId="77777777" w:rsidR="00C20C82" w:rsidRDefault="00000000">
            <w:pPr>
              <w:pStyle w:val="Compact"/>
            </w:pPr>
            <w:r>
              <w:t>Code</w:t>
            </w:r>
          </w:p>
        </w:tc>
        <w:tc>
          <w:tcPr>
            <w:tcW w:w="4428" w:type="dxa"/>
          </w:tcPr>
          <w:p w14:paraId="4C3833A2" w14:textId="77777777" w:rsidR="00C20C82" w:rsidRDefault="00000000">
            <w:pPr>
              <w:pStyle w:val="Compact"/>
            </w:pPr>
            <w:r>
              <w:t>Operational standard</w:t>
            </w:r>
          </w:p>
        </w:tc>
      </w:tr>
      <w:tr w:rsidR="00C20C82" w14:paraId="338B189A" w14:textId="77777777" w:rsidTr="00C20C82">
        <w:tc>
          <w:tcPr>
            <w:tcW w:w="4428" w:type="dxa"/>
          </w:tcPr>
          <w:p w14:paraId="5B50B84F" w14:textId="77777777" w:rsidR="00C20C82" w:rsidRDefault="00000000">
            <w:pPr>
              <w:pStyle w:val="Compact"/>
            </w:pPr>
            <w:r>
              <w:t>✓</w:t>
            </w:r>
          </w:p>
        </w:tc>
        <w:tc>
          <w:tcPr>
            <w:tcW w:w="4428" w:type="dxa"/>
          </w:tcPr>
          <w:p w14:paraId="42BBA3E3" w14:textId="77777777" w:rsidR="00C20C82" w:rsidRDefault="00000000">
            <w:pPr>
              <w:pStyle w:val="Compact"/>
            </w:pPr>
            <w:r>
              <w:t xml:space="preserve">The document links the categories collected to specific processing purposes (e.g., </w:t>
            </w:r>
            <w:proofErr w:type="gramStart"/>
            <w:r>
              <w:t>heart-rate</w:t>
            </w:r>
            <w:proofErr w:type="gramEnd"/>
            <w:r>
              <w:t xml:space="preserve"> monitoring for the health-management function; cross-device </w:t>
            </w:r>
            <w:proofErr w:type="spellStart"/>
            <w:r>
              <w:t>synchronisation</w:t>
            </w:r>
            <w:proofErr w:type="spellEnd"/>
            <w:r>
              <w:t>).</w:t>
            </w:r>
          </w:p>
        </w:tc>
      </w:tr>
      <w:tr w:rsidR="00C20C82" w14:paraId="48F15F1F" w14:textId="77777777" w:rsidTr="00C20C82">
        <w:tc>
          <w:tcPr>
            <w:tcW w:w="4428" w:type="dxa"/>
          </w:tcPr>
          <w:p w14:paraId="7A3B9D50" w14:textId="77777777" w:rsidR="00C20C82" w:rsidRDefault="00000000">
            <w:pPr>
              <w:pStyle w:val="Compact"/>
            </w:pPr>
            <w:r>
              <w:t>○</w:t>
            </w:r>
          </w:p>
        </w:tc>
        <w:tc>
          <w:tcPr>
            <w:tcW w:w="4428" w:type="dxa"/>
          </w:tcPr>
          <w:p w14:paraId="5C0F104E" w14:textId="77777777" w:rsidR="00C20C82" w:rsidRDefault="00000000">
            <w:pPr>
              <w:pStyle w:val="Compact"/>
            </w:pPr>
            <w:r>
              <w:t>Purposes are stated only in generic terms (“to provide and improve services”, “to enhance the user experience”) without being linked to specific data or functions, or only some categories are addressed.</w:t>
            </w:r>
          </w:p>
        </w:tc>
      </w:tr>
      <w:tr w:rsidR="00C20C82" w14:paraId="1A1AD3F0" w14:textId="77777777" w:rsidTr="00C20C82">
        <w:tc>
          <w:tcPr>
            <w:tcW w:w="4428" w:type="dxa"/>
          </w:tcPr>
          <w:p w14:paraId="6EDAF97B" w14:textId="77777777" w:rsidR="00C20C82" w:rsidRDefault="00000000">
            <w:pPr>
              <w:pStyle w:val="Compact"/>
            </w:pPr>
            <w:r>
              <w:t>x</w:t>
            </w:r>
          </w:p>
        </w:tc>
        <w:tc>
          <w:tcPr>
            <w:tcW w:w="4428" w:type="dxa"/>
          </w:tcPr>
          <w:p w14:paraId="61A1DFFD" w14:textId="77777777" w:rsidR="00C20C82" w:rsidRDefault="00000000">
            <w:pPr>
              <w:pStyle w:val="Compact"/>
            </w:pPr>
            <w:r>
              <w:t>Processing purposes are not stated.</w:t>
            </w:r>
          </w:p>
        </w:tc>
      </w:tr>
    </w:tbl>
    <w:p w14:paraId="12416EAA" w14:textId="77777777" w:rsidR="00C20C82" w:rsidRDefault="00000000">
      <w:pPr>
        <w:pStyle w:val="4"/>
        <w:rPr>
          <w:color w:val="auto"/>
        </w:rPr>
      </w:pPr>
      <w:bookmarkStart w:id="16" w:name="X39bd2e091dba714628f254106960bc5058f4008"/>
      <w:bookmarkEnd w:id="15"/>
      <w:r>
        <w:rPr>
          <w:color w:val="auto"/>
        </w:rPr>
        <w:t>A4. Whether scenarios of third-party sharing are publicly disclosed</w:t>
      </w:r>
    </w:p>
    <w:p w14:paraId="733F2661" w14:textId="77777777" w:rsidR="00C20C82" w:rsidRDefault="00000000">
      <w:pPr>
        <w:pStyle w:val="FirstParagraph"/>
      </w:pPr>
      <w:r>
        <w:t xml:space="preserve">The indicator measures whether the user agreement discloses that personal data may be provided to third </w:t>
      </w:r>
      <w:proofErr w:type="gramStart"/>
      <w:r>
        <w:t>parties, and</w:t>
      </w:r>
      <w:proofErr w:type="gramEnd"/>
      <w:r>
        <w:t xml:space="preserve"> identifies the scenarios or recipients of such sharing (e.g., service providers, SDKs, health-platform integration, cloud-service providers), making the data flows visible to users. A4 concerns disclosure only; it does not equate to separate consent for third-party sharing (addressed by later indicators).</w:t>
      </w:r>
    </w:p>
    <w:p w14:paraId="58B04109" w14:textId="77777777" w:rsidR="00C20C82" w:rsidRDefault="00000000">
      <w:pPr>
        <w:pStyle w:val="a0"/>
      </w:pPr>
      <w:r>
        <w:rPr>
          <w:b/>
          <w:bCs/>
        </w:rPr>
        <w:t>Normative basis.</w:t>
      </w:r>
      <w:r>
        <w:t xml:space="preserve"> Article 23 of the PIPL (where personal information is provided to a third party, the recipient, purposes, methods, and categories must be disclosed); Article 21 of the Network Data Security Management Regulations.</w:t>
      </w:r>
    </w:p>
    <w:tbl>
      <w:tblPr>
        <w:tblStyle w:val="Table"/>
        <w:tblW w:w="5000" w:type="pct"/>
        <w:tblInd w:w="0" w:type="dxa"/>
        <w:tblLayout w:type="fixed"/>
        <w:tblLook w:val="04A0" w:firstRow="1" w:lastRow="0" w:firstColumn="1" w:lastColumn="0" w:noHBand="0" w:noVBand="1"/>
      </w:tblPr>
      <w:tblGrid>
        <w:gridCol w:w="4320"/>
        <w:gridCol w:w="4320"/>
      </w:tblGrid>
      <w:tr w:rsidR="00C20C82" w14:paraId="59F08C2E" w14:textId="77777777" w:rsidTr="00C20C82">
        <w:trPr>
          <w:cnfStyle w:val="100000000000" w:firstRow="1" w:lastRow="0" w:firstColumn="0" w:lastColumn="0" w:oddVBand="0" w:evenVBand="0" w:oddHBand="0" w:evenHBand="0" w:firstRowFirstColumn="0" w:firstRowLastColumn="0" w:lastRowFirstColumn="0" w:lastRowLastColumn="0"/>
          <w:tblHeader/>
        </w:trPr>
        <w:tc>
          <w:tcPr>
            <w:tcW w:w="4428" w:type="dxa"/>
          </w:tcPr>
          <w:p w14:paraId="7CBBE263" w14:textId="77777777" w:rsidR="00C20C82" w:rsidRDefault="00000000">
            <w:pPr>
              <w:pStyle w:val="Compact"/>
            </w:pPr>
            <w:r>
              <w:t>Code</w:t>
            </w:r>
          </w:p>
        </w:tc>
        <w:tc>
          <w:tcPr>
            <w:tcW w:w="4428" w:type="dxa"/>
          </w:tcPr>
          <w:p w14:paraId="4EE8F44A" w14:textId="77777777" w:rsidR="00C20C82" w:rsidRDefault="00000000">
            <w:pPr>
              <w:pStyle w:val="Compact"/>
            </w:pPr>
            <w:r>
              <w:t>Operational standard</w:t>
            </w:r>
          </w:p>
        </w:tc>
      </w:tr>
      <w:tr w:rsidR="00C20C82" w14:paraId="548FF42C" w14:textId="77777777" w:rsidTr="00C20C82">
        <w:tc>
          <w:tcPr>
            <w:tcW w:w="4428" w:type="dxa"/>
          </w:tcPr>
          <w:p w14:paraId="7C3E9D9E" w14:textId="77777777" w:rsidR="00C20C82" w:rsidRDefault="00000000">
            <w:pPr>
              <w:pStyle w:val="Compact"/>
            </w:pPr>
            <w:r>
              <w:t>✓</w:t>
            </w:r>
          </w:p>
        </w:tc>
        <w:tc>
          <w:tcPr>
            <w:tcW w:w="4428" w:type="dxa"/>
          </w:tcPr>
          <w:p w14:paraId="0931BF99" w14:textId="77777777" w:rsidR="00C20C82" w:rsidRDefault="00000000">
            <w:pPr>
              <w:pStyle w:val="Compact"/>
            </w:pPr>
            <w:r>
              <w:t>The document discloses third-party sharing and identifies the scenarios or recipients (service providers, SDKs, health platforms, cloud-service providers, etc.).</w:t>
            </w:r>
          </w:p>
        </w:tc>
      </w:tr>
      <w:tr w:rsidR="00C20C82" w14:paraId="51539CE8" w14:textId="77777777" w:rsidTr="00C20C82">
        <w:tc>
          <w:tcPr>
            <w:tcW w:w="4428" w:type="dxa"/>
          </w:tcPr>
          <w:p w14:paraId="3197208A" w14:textId="77777777" w:rsidR="00C20C82" w:rsidRDefault="00000000">
            <w:pPr>
              <w:pStyle w:val="Compact"/>
            </w:pPr>
            <w:r>
              <w:t>○</w:t>
            </w:r>
          </w:p>
        </w:tc>
        <w:tc>
          <w:tcPr>
            <w:tcW w:w="4428" w:type="dxa"/>
          </w:tcPr>
          <w:p w14:paraId="0DC81ED5" w14:textId="77777777" w:rsidR="00C20C82" w:rsidRDefault="00000000">
            <w:pPr>
              <w:pStyle w:val="Compact"/>
            </w:pPr>
            <w:r>
              <w:t xml:space="preserve">Third-party sharing is mentioned only generically (“we may share with partners”) without specifying scenarios or recipients, or only some scenarios are </w:t>
            </w:r>
            <w:r>
              <w:lastRenderedPageBreak/>
              <w:t>identified.</w:t>
            </w:r>
          </w:p>
        </w:tc>
      </w:tr>
      <w:tr w:rsidR="00C20C82" w14:paraId="13CB7CF8" w14:textId="77777777" w:rsidTr="00C20C82">
        <w:tc>
          <w:tcPr>
            <w:tcW w:w="4428" w:type="dxa"/>
          </w:tcPr>
          <w:p w14:paraId="0FB74DB8" w14:textId="77777777" w:rsidR="00C20C82" w:rsidRDefault="00000000">
            <w:pPr>
              <w:pStyle w:val="Compact"/>
            </w:pPr>
            <w:r>
              <w:lastRenderedPageBreak/>
              <w:t>x</w:t>
            </w:r>
          </w:p>
        </w:tc>
        <w:tc>
          <w:tcPr>
            <w:tcW w:w="4428" w:type="dxa"/>
          </w:tcPr>
          <w:p w14:paraId="062D52BB" w14:textId="77777777" w:rsidR="00C20C82" w:rsidRDefault="00000000">
            <w:pPr>
              <w:pStyle w:val="Compact"/>
            </w:pPr>
            <w:r>
              <w:t>The document does not disclose any third-party sharing.</w:t>
            </w:r>
          </w:p>
        </w:tc>
      </w:tr>
    </w:tbl>
    <w:p w14:paraId="0085EFF1" w14:textId="77777777" w:rsidR="00C20C82" w:rsidRDefault="00000000">
      <w:pPr>
        <w:pStyle w:val="3"/>
        <w:rPr>
          <w:color w:val="auto"/>
        </w:rPr>
      </w:pPr>
      <w:bookmarkStart w:id="17" w:name="X37c1461d247350fd85caa7e9f1dc4482cc38d16"/>
      <w:bookmarkEnd w:id="12"/>
      <w:bookmarkEnd w:id="16"/>
      <w:r>
        <w:rPr>
          <w:color w:val="auto"/>
        </w:rPr>
        <w:t>4.2 Dimension B — Voluntariness and Specificity of Consent</w:t>
      </w:r>
    </w:p>
    <w:p w14:paraId="2D52ACB8" w14:textId="77777777" w:rsidR="00C20C82" w:rsidRDefault="00000000">
      <w:pPr>
        <w:pStyle w:val="4"/>
        <w:rPr>
          <w:color w:val="auto"/>
        </w:rPr>
      </w:pPr>
      <w:bookmarkStart w:id="18" w:name="Xf7ff65c6e2e76d243cbc610ce6b09e3c078d67b"/>
      <w:r>
        <w:rPr>
          <w:color w:val="auto"/>
        </w:rPr>
        <w:t>B1. Whether consent is actively given by the user (opt-in) rather than presumed through default selection (opt-out)</w:t>
      </w:r>
    </w:p>
    <w:p w14:paraId="57B8E337" w14:textId="77777777" w:rsidR="00C20C82" w:rsidRDefault="00000000">
      <w:pPr>
        <w:pStyle w:val="FirstParagraph"/>
      </w:pPr>
      <w:r>
        <w:t>The indicator measures whether the manner of obtaining consent described in the agreement is an active act of the user (opt-in): whether processing is premised on the user actively ticking, clicking, or confirming, rather than being presumed through default-enabled settings, pre-ticked boxes, or “use of the device constitutes consent”. The determination is based on the agreement’s textual description, not on the actual operation of the interface.</w:t>
      </w:r>
    </w:p>
    <w:p w14:paraId="6AF18830" w14:textId="77777777" w:rsidR="00C20C82" w:rsidRDefault="00000000">
      <w:pPr>
        <w:pStyle w:val="a0"/>
      </w:pPr>
      <w:r>
        <w:rPr>
          <w:b/>
          <w:bCs/>
        </w:rPr>
        <w:t>Normative basis.</w:t>
      </w:r>
      <w:r>
        <w:t xml:space="preserve"> Article 14 of the PIPL (consent based on adequate information, given voluntarily and explicitly); Article 16 (prohibition of bundling and coerced consent); GB/T 42574-2023; GB/T 45574-2025 (prohibition of pre-ticked boxes and presumed consent).</w:t>
      </w:r>
    </w:p>
    <w:tbl>
      <w:tblPr>
        <w:tblStyle w:val="Table"/>
        <w:tblW w:w="5000" w:type="pct"/>
        <w:tblInd w:w="0" w:type="dxa"/>
        <w:tblLayout w:type="fixed"/>
        <w:tblLook w:val="04A0" w:firstRow="1" w:lastRow="0" w:firstColumn="1" w:lastColumn="0" w:noHBand="0" w:noVBand="1"/>
      </w:tblPr>
      <w:tblGrid>
        <w:gridCol w:w="4320"/>
        <w:gridCol w:w="4320"/>
      </w:tblGrid>
      <w:tr w:rsidR="00C20C82" w14:paraId="06D090B5" w14:textId="77777777" w:rsidTr="00C20C82">
        <w:trPr>
          <w:cnfStyle w:val="100000000000" w:firstRow="1" w:lastRow="0" w:firstColumn="0" w:lastColumn="0" w:oddVBand="0" w:evenVBand="0" w:oddHBand="0" w:evenHBand="0" w:firstRowFirstColumn="0" w:firstRowLastColumn="0" w:lastRowFirstColumn="0" w:lastRowLastColumn="0"/>
          <w:tblHeader/>
        </w:trPr>
        <w:tc>
          <w:tcPr>
            <w:tcW w:w="4428" w:type="dxa"/>
          </w:tcPr>
          <w:p w14:paraId="4F027B71" w14:textId="77777777" w:rsidR="00C20C82" w:rsidRDefault="00000000">
            <w:pPr>
              <w:pStyle w:val="Compact"/>
            </w:pPr>
            <w:r>
              <w:t>Code</w:t>
            </w:r>
          </w:p>
        </w:tc>
        <w:tc>
          <w:tcPr>
            <w:tcW w:w="4428" w:type="dxa"/>
          </w:tcPr>
          <w:p w14:paraId="2D468E5F" w14:textId="77777777" w:rsidR="00C20C82" w:rsidRDefault="00000000">
            <w:pPr>
              <w:pStyle w:val="Compact"/>
            </w:pPr>
            <w:r>
              <w:t>Operational standard</w:t>
            </w:r>
          </w:p>
        </w:tc>
      </w:tr>
      <w:tr w:rsidR="00C20C82" w14:paraId="04154E8B" w14:textId="77777777" w:rsidTr="00C20C82">
        <w:tc>
          <w:tcPr>
            <w:tcW w:w="4428" w:type="dxa"/>
          </w:tcPr>
          <w:p w14:paraId="0A4C1A18" w14:textId="77777777" w:rsidR="00C20C82" w:rsidRDefault="00000000">
            <w:pPr>
              <w:pStyle w:val="Compact"/>
            </w:pPr>
            <w:r>
              <w:t>✓</w:t>
            </w:r>
          </w:p>
        </w:tc>
        <w:tc>
          <w:tcPr>
            <w:tcW w:w="4428" w:type="dxa"/>
          </w:tcPr>
          <w:p w14:paraId="2491AFE3" w14:textId="77777777" w:rsidR="00C20C82" w:rsidRDefault="00000000">
            <w:pPr>
              <w:pStyle w:val="Compact"/>
            </w:pPr>
            <w:r>
              <w:t>The document describes an active consent step: the user must actively tick, click, or confirm before processing begins; consent is not obtained in advance through default settings or pre-ticked boxes.</w:t>
            </w:r>
          </w:p>
        </w:tc>
      </w:tr>
      <w:tr w:rsidR="00C20C82" w14:paraId="3C16040A" w14:textId="77777777" w:rsidTr="00C20C82">
        <w:tc>
          <w:tcPr>
            <w:tcW w:w="4428" w:type="dxa"/>
          </w:tcPr>
          <w:p w14:paraId="4072CB04" w14:textId="77777777" w:rsidR="00C20C82" w:rsidRDefault="00000000">
            <w:pPr>
              <w:pStyle w:val="Compact"/>
            </w:pPr>
            <w:r>
              <w:t>○</w:t>
            </w:r>
          </w:p>
        </w:tc>
        <w:tc>
          <w:tcPr>
            <w:tcW w:w="4428" w:type="dxa"/>
          </w:tcPr>
          <w:p w14:paraId="0EE32BDA" w14:textId="77777777" w:rsidR="00C20C82" w:rsidRDefault="00000000">
            <w:pPr>
              <w:pStyle w:val="Compact"/>
            </w:pPr>
            <w:r>
              <w:t>Consent is presumed through use (“use of the device constitutes consent”); or consent is obtained through an “accept-all” interface that bundles multiple processing activities; or processing proceeds under default-enabled settings that the user must actively disable.</w:t>
            </w:r>
          </w:p>
        </w:tc>
      </w:tr>
      <w:tr w:rsidR="00C20C82" w14:paraId="6DE43131" w14:textId="77777777" w:rsidTr="00C20C82">
        <w:tc>
          <w:tcPr>
            <w:tcW w:w="4428" w:type="dxa"/>
          </w:tcPr>
          <w:p w14:paraId="33A5D62A" w14:textId="77777777" w:rsidR="00C20C82" w:rsidRDefault="00000000">
            <w:pPr>
              <w:pStyle w:val="Compact"/>
            </w:pPr>
            <w:r>
              <w:t>x</w:t>
            </w:r>
          </w:p>
        </w:tc>
        <w:tc>
          <w:tcPr>
            <w:tcW w:w="4428" w:type="dxa"/>
          </w:tcPr>
          <w:p w14:paraId="7C15DDA0" w14:textId="77777777" w:rsidR="00C20C82" w:rsidRDefault="00000000">
            <w:pPr>
              <w:pStyle w:val="Compact"/>
            </w:pPr>
            <w:r>
              <w:t>The document does not explain how consent is obtained, or the processing described includes no consent step.</w:t>
            </w:r>
          </w:p>
        </w:tc>
      </w:tr>
    </w:tbl>
    <w:p w14:paraId="66401E8F" w14:textId="77777777" w:rsidR="00C20C82" w:rsidRDefault="00000000">
      <w:pPr>
        <w:pStyle w:val="4"/>
        <w:rPr>
          <w:color w:val="auto"/>
        </w:rPr>
      </w:pPr>
      <w:bookmarkStart w:id="19" w:name="X1bebd55793f48730b9589a472f31ca38554a7c8"/>
      <w:bookmarkEnd w:id="18"/>
      <w:r>
        <w:rPr>
          <w:rFonts w:hint="eastAsia"/>
          <w:color w:val="auto"/>
        </w:rPr>
        <w:lastRenderedPageBreak/>
        <w:t>B2. Whether consent to each category of sensitive personal information is obtained separately, item by item, rather than as a single bundled grant covering all categories of sensitive data at once</w:t>
      </w:r>
    </w:p>
    <w:p w14:paraId="44E1343B" w14:textId="77777777" w:rsidR="00C20C82" w:rsidRDefault="00000000">
      <w:pPr>
        <w:pStyle w:val="FirstParagraph"/>
      </w:pPr>
      <w:r>
        <w:rPr>
          <w:rFonts w:hint="eastAsia"/>
        </w:rPr>
        <w:t xml:space="preserve">The indicator applies the study's category-by-category </w:t>
      </w:r>
      <w:proofErr w:type="spellStart"/>
      <w:r>
        <w:rPr>
          <w:rFonts w:hint="eastAsia"/>
        </w:rPr>
        <w:t>authorisation</w:t>
      </w:r>
      <w:proofErr w:type="spellEnd"/>
      <w:r>
        <w:rPr>
          <w:rFonts w:hint="eastAsia"/>
        </w:rPr>
        <w:t xml:space="preserve"> benchmark. Article 29 of the PIPL requires separate consent for processing sensitive personal information, distinct from general consent. Article 13 of the Measures for the Supervision and Administration of Online Transactions supplies an item-by-item rule within the online-transaction context. Outside that context, B2 is an analytical and normative benchmark supported by </w:t>
      </w:r>
      <w:proofErr w:type="spellStart"/>
      <w:r>
        <w:rPr>
          <w:rFonts w:hint="eastAsia"/>
        </w:rPr>
        <w:t>itemised</w:t>
      </w:r>
      <w:proofErr w:type="spellEnd"/>
      <w:r>
        <w:rPr>
          <w:rFonts w:hint="eastAsia"/>
        </w:rPr>
        <w:t>-confirmation guidance, not an uncontested statement of Article 29.</w:t>
      </w:r>
    </w:p>
    <w:p w14:paraId="0E9DA4F0" w14:textId="77777777" w:rsidR="00C20C82" w:rsidRDefault="00000000">
      <w:pPr>
        <w:pStyle w:val="a0"/>
      </w:pPr>
      <w:r>
        <w:rPr>
          <w:b/>
          <w:bCs/>
        </w:rPr>
        <w:t>Normative basis. Article 29 of the PIPL (separate consent for sensitive personal information); Article 13 of the Measures for the Supervision and Administration of Online Transactions (item-by-item consent within its scope); GB/T 42574-2023 and GB/T 45574-2025 (standards guidance).</w:t>
      </w:r>
    </w:p>
    <w:tbl>
      <w:tblPr>
        <w:tblStyle w:val="Table"/>
        <w:tblW w:w="5000" w:type="pct"/>
        <w:tblInd w:w="0" w:type="dxa"/>
        <w:tblLayout w:type="fixed"/>
        <w:tblLook w:val="04A0" w:firstRow="1" w:lastRow="0" w:firstColumn="1" w:lastColumn="0" w:noHBand="0" w:noVBand="1"/>
      </w:tblPr>
      <w:tblGrid>
        <w:gridCol w:w="4320"/>
        <w:gridCol w:w="4320"/>
      </w:tblGrid>
      <w:tr w:rsidR="00C20C82" w14:paraId="3DDF5059" w14:textId="77777777" w:rsidTr="00C20C82">
        <w:trPr>
          <w:cnfStyle w:val="100000000000" w:firstRow="1" w:lastRow="0" w:firstColumn="0" w:lastColumn="0" w:oddVBand="0" w:evenVBand="0" w:oddHBand="0" w:evenHBand="0" w:firstRowFirstColumn="0" w:firstRowLastColumn="0" w:lastRowFirstColumn="0" w:lastRowLastColumn="0"/>
          <w:tblHeader/>
        </w:trPr>
        <w:tc>
          <w:tcPr>
            <w:tcW w:w="4428" w:type="dxa"/>
          </w:tcPr>
          <w:p w14:paraId="50CD3512" w14:textId="77777777" w:rsidR="00C20C82" w:rsidRDefault="00000000">
            <w:pPr>
              <w:pStyle w:val="Compact"/>
            </w:pPr>
            <w:r>
              <w:t>Code</w:t>
            </w:r>
          </w:p>
        </w:tc>
        <w:tc>
          <w:tcPr>
            <w:tcW w:w="4428" w:type="dxa"/>
          </w:tcPr>
          <w:p w14:paraId="6B79E1FB" w14:textId="77777777" w:rsidR="00C20C82" w:rsidRDefault="00000000">
            <w:pPr>
              <w:pStyle w:val="Compact"/>
            </w:pPr>
            <w:r>
              <w:t>Operational standard</w:t>
            </w:r>
          </w:p>
        </w:tc>
      </w:tr>
      <w:tr w:rsidR="00C20C82" w14:paraId="6214C640" w14:textId="77777777" w:rsidTr="00C20C82">
        <w:tc>
          <w:tcPr>
            <w:tcW w:w="4428" w:type="dxa"/>
          </w:tcPr>
          <w:p w14:paraId="3B1A2B0B" w14:textId="77777777" w:rsidR="00C20C82" w:rsidRDefault="00000000">
            <w:pPr>
              <w:pStyle w:val="Compact"/>
            </w:pPr>
            <w:r>
              <w:t>✓</w:t>
            </w:r>
          </w:p>
        </w:tc>
        <w:tc>
          <w:tcPr>
            <w:tcW w:w="4428" w:type="dxa"/>
          </w:tcPr>
          <w:p w14:paraId="75F20E20" w14:textId="77777777" w:rsidR="00C20C82" w:rsidRDefault="00000000">
            <w:pPr>
              <w:pStyle w:val="Compact"/>
            </w:pPr>
            <w:r>
              <w:rPr>
                <w:rFonts w:hint="eastAsia"/>
              </w:rPr>
              <w:t xml:space="preserve">The document provides a mechanism for </w:t>
            </w:r>
            <w:proofErr w:type="spellStart"/>
            <w:r>
              <w:rPr>
                <w:rFonts w:hint="eastAsia"/>
              </w:rPr>
              <w:t>authorising</w:t>
            </w:r>
            <w:proofErr w:type="spellEnd"/>
            <w:r>
              <w:rPr>
                <w:rFonts w:hint="eastAsia"/>
              </w:rPr>
              <w:t xml:space="preserve"> each category of sensitive personal information separately, item by item, such as distinct consent steps or controls for </w:t>
            </w:r>
            <w:proofErr w:type="gramStart"/>
            <w:r>
              <w:rPr>
                <w:rFonts w:hint="eastAsia"/>
              </w:rPr>
              <w:t>heart-rate</w:t>
            </w:r>
            <w:proofErr w:type="gramEnd"/>
            <w:r>
              <w:rPr>
                <w:rFonts w:hint="eastAsia"/>
              </w:rPr>
              <w:t xml:space="preserve">, blood-oxygen, sleep and other categories, rather than a single grant covering all categories at once. </w:t>
            </w:r>
          </w:p>
        </w:tc>
      </w:tr>
      <w:tr w:rsidR="00C20C82" w14:paraId="53526403" w14:textId="77777777" w:rsidTr="00C20C82">
        <w:tc>
          <w:tcPr>
            <w:tcW w:w="4428" w:type="dxa"/>
          </w:tcPr>
          <w:p w14:paraId="5206835B" w14:textId="77777777" w:rsidR="00C20C82" w:rsidRDefault="00000000">
            <w:pPr>
              <w:pStyle w:val="Compact"/>
            </w:pPr>
            <w:r>
              <w:t>○</w:t>
            </w:r>
          </w:p>
        </w:tc>
        <w:tc>
          <w:tcPr>
            <w:tcW w:w="4428" w:type="dxa"/>
          </w:tcPr>
          <w:p w14:paraId="5EEA086F" w14:textId="77777777" w:rsidR="00C20C82" w:rsidRDefault="00000000">
            <w:pPr>
              <w:pStyle w:val="Compact"/>
            </w:pPr>
            <w:r>
              <w:rPr>
                <w:rFonts w:hint="eastAsia"/>
              </w:rPr>
              <w:t xml:space="preserve">"Separate consent" for sensitive personal information is mentioned, or only some categories can be </w:t>
            </w:r>
            <w:proofErr w:type="spellStart"/>
            <w:r>
              <w:rPr>
                <w:rFonts w:hint="eastAsia"/>
              </w:rPr>
              <w:t>authorised</w:t>
            </w:r>
            <w:proofErr w:type="spellEnd"/>
            <w:r>
              <w:rPr>
                <w:rFonts w:hint="eastAsia"/>
              </w:rPr>
              <w:t xml:space="preserve"> separately, but the document describes no complete item-by-item </w:t>
            </w:r>
            <w:proofErr w:type="spellStart"/>
            <w:r>
              <w:rPr>
                <w:rFonts w:hint="eastAsia"/>
              </w:rPr>
              <w:t>authorisation</w:t>
            </w:r>
            <w:proofErr w:type="spellEnd"/>
            <w:r>
              <w:rPr>
                <w:rFonts w:hint="eastAsia"/>
              </w:rPr>
              <w:t xml:space="preserve"> mechanism for the categories it collects. </w:t>
            </w:r>
          </w:p>
        </w:tc>
      </w:tr>
      <w:tr w:rsidR="00C20C82" w14:paraId="550F6004" w14:textId="77777777" w:rsidTr="00C20C82">
        <w:tc>
          <w:tcPr>
            <w:tcW w:w="4428" w:type="dxa"/>
          </w:tcPr>
          <w:p w14:paraId="1AD3B131" w14:textId="77777777" w:rsidR="00C20C82" w:rsidRDefault="00000000">
            <w:pPr>
              <w:pStyle w:val="Compact"/>
            </w:pPr>
            <w:r>
              <w:t>x</w:t>
            </w:r>
          </w:p>
        </w:tc>
        <w:tc>
          <w:tcPr>
            <w:tcW w:w="4428" w:type="dxa"/>
          </w:tcPr>
          <w:p w14:paraId="46416012" w14:textId="77777777" w:rsidR="00C20C82" w:rsidRDefault="00000000">
            <w:pPr>
              <w:pStyle w:val="Compact"/>
            </w:pPr>
            <w:r>
              <w:rPr>
                <w:rFonts w:hint="eastAsia"/>
              </w:rPr>
              <w:t xml:space="preserve">No separate or item-by-item </w:t>
            </w:r>
            <w:proofErr w:type="spellStart"/>
            <w:r>
              <w:rPr>
                <w:rFonts w:hint="eastAsia"/>
              </w:rPr>
              <w:t>authorisation</w:t>
            </w:r>
            <w:proofErr w:type="spellEnd"/>
            <w:r>
              <w:rPr>
                <w:rFonts w:hint="eastAsia"/>
              </w:rPr>
              <w:t xml:space="preserve"> for sensitive personal information is described.</w:t>
            </w:r>
          </w:p>
        </w:tc>
      </w:tr>
    </w:tbl>
    <w:p w14:paraId="49E34C40" w14:textId="77777777" w:rsidR="00C20C82" w:rsidRDefault="00000000">
      <w:pPr>
        <w:pStyle w:val="3"/>
        <w:rPr>
          <w:color w:val="auto"/>
        </w:rPr>
      </w:pPr>
      <w:bookmarkStart w:id="20" w:name="dimension-c-separate-consent-mechanism"/>
      <w:bookmarkEnd w:id="17"/>
      <w:bookmarkEnd w:id="19"/>
      <w:r>
        <w:rPr>
          <w:color w:val="auto"/>
        </w:rPr>
        <w:t>4.3 Dimension C — Separate-Consent Mechanism</w:t>
      </w:r>
    </w:p>
    <w:p w14:paraId="2FF10213" w14:textId="77777777" w:rsidR="00C20C82" w:rsidRDefault="00000000">
      <w:pPr>
        <w:pStyle w:val="FirstParagraph"/>
      </w:pPr>
      <w:r>
        <w:rPr>
          <w:b/>
          <w:bCs/>
        </w:rPr>
        <w:t>Note on B2 and C1–C2:</w:t>
      </w:r>
      <w:r>
        <w:t xml:space="preserve"> B2 and C1–C2 both concern the separate-consent mechanism for sensitive data. </w:t>
      </w:r>
      <w:r>
        <w:rPr>
          <w:rFonts w:hint="eastAsia"/>
        </w:rPr>
        <w:t xml:space="preserve">B2 concerns the granularity of </w:t>
      </w:r>
      <w:proofErr w:type="spellStart"/>
      <w:r>
        <w:rPr>
          <w:rFonts w:hint="eastAsia"/>
        </w:rPr>
        <w:t>authorisation</w:t>
      </w:r>
      <w:proofErr w:type="spellEnd"/>
      <w:r>
        <w:rPr>
          <w:rFonts w:hint="eastAsia"/>
        </w:rPr>
        <w:t>, that is, whether consent to each category of sensitive personal information is obtained separately, item by item; C1</w:t>
      </w:r>
      <w:r>
        <w:rPr>
          <w:rFonts w:hint="eastAsia"/>
        </w:rPr>
        <w:t>–</w:t>
      </w:r>
      <w:r>
        <w:rPr>
          <w:rFonts w:hint="eastAsia"/>
        </w:rPr>
        <w:t>C2 concern the procedural form of consent (a separate interface and a second confirmation)</w:t>
      </w:r>
      <w:r>
        <w:t>. The category-by-category (item-by-</w:t>
      </w:r>
      <w:r>
        <w:lastRenderedPageBreak/>
        <w:t xml:space="preserve">item) </w:t>
      </w:r>
      <w:proofErr w:type="spellStart"/>
      <w:r>
        <w:t>authorisation</w:t>
      </w:r>
      <w:proofErr w:type="spellEnd"/>
      <w:r>
        <w:t xml:space="preserve"> examined in the Results is a granular benchmark advanced as a normative recommendation, not an uncontested reading of Article 29.</w:t>
      </w:r>
    </w:p>
    <w:p w14:paraId="4BE9700A" w14:textId="77777777" w:rsidR="00C20C82" w:rsidRDefault="00000000">
      <w:pPr>
        <w:pStyle w:val="4"/>
        <w:rPr>
          <w:color w:val="auto"/>
        </w:rPr>
      </w:pPr>
      <w:bookmarkStart w:id="21" w:name="X89b37e34ce1948de345ae92ff08a4e8169c3340"/>
      <w:r>
        <w:rPr>
          <w:color w:val="auto"/>
        </w:rPr>
        <w:t>C1. Whether consent is obtained through a separate interface</w:t>
      </w:r>
    </w:p>
    <w:p w14:paraId="557C0101" w14:textId="77777777" w:rsidR="00C20C82" w:rsidRDefault="00000000">
      <w:pPr>
        <w:pStyle w:val="FirstParagraph"/>
      </w:pPr>
      <w:r>
        <w:t xml:space="preserve">The indicator measures whether the manner of obtaining separate consent described in the agreement proceeds through a dedicated interface independent of general acceptance of the agreement. Consent for sensitive personal data should be presented and obtained in a separate pop-up, a separate page, or a separate </w:t>
      </w:r>
      <w:proofErr w:type="spellStart"/>
      <w:r>
        <w:t>authorisation</w:t>
      </w:r>
      <w:proofErr w:type="spellEnd"/>
      <w:r>
        <w:t xml:space="preserve"> step. Merely mentioning “separate consent” without describing a dedicated interface does not fully satisfy this indicator.</w:t>
      </w:r>
    </w:p>
    <w:p w14:paraId="113F673F" w14:textId="77777777" w:rsidR="00C20C82" w:rsidRDefault="00000000">
      <w:pPr>
        <w:pStyle w:val="a0"/>
      </w:pPr>
      <w:r>
        <w:rPr>
          <w:b/>
          <w:bCs/>
        </w:rPr>
        <w:t>Normative basis.</w:t>
      </w:r>
      <w:r>
        <w:t xml:space="preserve"> Article 29 of the PIPL; GB/T 42574-2023 (separate consent should be obtained through a separate interface).</w:t>
      </w:r>
    </w:p>
    <w:tbl>
      <w:tblPr>
        <w:tblStyle w:val="Table"/>
        <w:tblW w:w="5000" w:type="pct"/>
        <w:tblInd w:w="0" w:type="dxa"/>
        <w:tblLayout w:type="fixed"/>
        <w:tblLook w:val="04A0" w:firstRow="1" w:lastRow="0" w:firstColumn="1" w:lastColumn="0" w:noHBand="0" w:noVBand="1"/>
      </w:tblPr>
      <w:tblGrid>
        <w:gridCol w:w="4320"/>
        <w:gridCol w:w="4320"/>
      </w:tblGrid>
      <w:tr w:rsidR="00C20C82" w14:paraId="2908A8CA" w14:textId="77777777" w:rsidTr="00C20C82">
        <w:trPr>
          <w:cnfStyle w:val="100000000000" w:firstRow="1" w:lastRow="0" w:firstColumn="0" w:lastColumn="0" w:oddVBand="0" w:evenVBand="0" w:oddHBand="0" w:evenHBand="0" w:firstRowFirstColumn="0" w:firstRowLastColumn="0" w:lastRowFirstColumn="0" w:lastRowLastColumn="0"/>
          <w:tblHeader/>
        </w:trPr>
        <w:tc>
          <w:tcPr>
            <w:tcW w:w="4428" w:type="dxa"/>
          </w:tcPr>
          <w:p w14:paraId="4868943C" w14:textId="77777777" w:rsidR="00C20C82" w:rsidRDefault="00000000">
            <w:pPr>
              <w:pStyle w:val="Compact"/>
            </w:pPr>
            <w:r>
              <w:t>Code</w:t>
            </w:r>
          </w:p>
        </w:tc>
        <w:tc>
          <w:tcPr>
            <w:tcW w:w="4428" w:type="dxa"/>
          </w:tcPr>
          <w:p w14:paraId="6F0B8C0C" w14:textId="77777777" w:rsidR="00C20C82" w:rsidRDefault="00000000">
            <w:pPr>
              <w:pStyle w:val="Compact"/>
            </w:pPr>
            <w:r>
              <w:t>Operational standard</w:t>
            </w:r>
          </w:p>
        </w:tc>
      </w:tr>
      <w:tr w:rsidR="00C20C82" w14:paraId="1F9DF706" w14:textId="77777777" w:rsidTr="00C20C82">
        <w:tc>
          <w:tcPr>
            <w:tcW w:w="4428" w:type="dxa"/>
          </w:tcPr>
          <w:p w14:paraId="4C400D99" w14:textId="77777777" w:rsidR="00C20C82" w:rsidRDefault="00000000">
            <w:pPr>
              <w:pStyle w:val="Compact"/>
            </w:pPr>
            <w:r>
              <w:t>✓</w:t>
            </w:r>
          </w:p>
        </w:tc>
        <w:tc>
          <w:tcPr>
            <w:tcW w:w="4428" w:type="dxa"/>
          </w:tcPr>
          <w:p w14:paraId="5056739C" w14:textId="77777777" w:rsidR="00C20C82" w:rsidRDefault="00000000">
            <w:pPr>
              <w:pStyle w:val="Compact"/>
            </w:pPr>
            <w:r>
              <w:t xml:space="preserve">The document describes a dedicated interface or page for sensitive-data consent, distinct from the general agreement (e.g., a separate pop-up or page for sensitive-data </w:t>
            </w:r>
            <w:proofErr w:type="spellStart"/>
            <w:r>
              <w:t>authorisation</w:t>
            </w:r>
            <w:proofErr w:type="spellEnd"/>
            <w:r>
              <w:t>).</w:t>
            </w:r>
          </w:p>
        </w:tc>
      </w:tr>
      <w:tr w:rsidR="00C20C82" w14:paraId="7AAEBEC5" w14:textId="77777777" w:rsidTr="00C20C82">
        <w:tc>
          <w:tcPr>
            <w:tcW w:w="4428" w:type="dxa"/>
          </w:tcPr>
          <w:p w14:paraId="0A1A625F" w14:textId="77777777" w:rsidR="00C20C82" w:rsidRDefault="00000000">
            <w:pPr>
              <w:pStyle w:val="Compact"/>
            </w:pPr>
            <w:r>
              <w:t>○</w:t>
            </w:r>
          </w:p>
        </w:tc>
        <w:tc>
          <w:tcPr>
            <w:tcW w:w="4428" w:type="dxa"/>
          </w:tcPr>
          <w:p w14:paraId="313C8B0A" w14:textId="77777777" w:rsidR="00C20C82" w:rsidRDefault="00000000">
            <w:pPr>
              <w:pStyle w:val="Compact"/>
            </w:pPr>
            <w:r>
              <w:t>Separate consent is mentioned, but the described mechanism is not a separate interface (e.g., merely a clause in the general policy); or a separate interface is referenced but is not described with sufficient specificity in the archived document.</w:t>
            </w:r>
          </w:p>
        </w:tc>
      </w:tr>
      <w:tr w:rsidR="00C20C82" w14:paraId="0134684A" w14:textId="77777777" w:rsidTr="00C20C82">
        <w:tc>
          <w:tcPr>
            <w:tcW w:w="4428" w:type="dxa"/>
          </w:tcPr>
          <w:p w14:paraId="1CD977FD" w14:textId="77777777" w:rsidR="00C20C82" w:rsidRDefault="00000000">
            <w:pPr>
              <w:pStyle w:val="Compact"/>
            </w:pPr>
            <w:r>
              <w:t>x</w:t>
            </w:r>
          </w:p>
        </w:tc>
        <w:tc>
          <w:tcPr>
            <w:tcW w:w="4428" w:type="dxa"/>
          </w:tcPr>
          <w:p w14:paraId="5DDCF874" w14:textId="77777777" w:rsidR="00C20C82" w:rsidRDefault="00000000">
            <w:pPr>
              <w:pStyle w:val="Compact"/>
            </w:pPr>
            <w:r>
              <w:t>No separate-consent interface is described.</w:t>
            </w:r>
          </w:p>
        </w:tc>
      </w:tr>
    </w:tbl>
    <w:p w14:paraId="529192CF" w14:textId="77777777" w:rsidR="00C20C82" w:rsidRDefault="00000000">
      <w:pPr>
        <w:pStyle w:val="4"/>
        <w:rPr>
          <w:color w:val="auto"/>
        </w:rPr>
      </w:pPr>
      <w:bookmarkStart w:id="22" w:name="Xbf59a6f8f660f030dc7cc78599366cb8b983e16"/>
      <w:bookmarkEnd w:id="21"/>
      <w:r>
        <w:rPr>
          <w:color w:val="auto"/>
        </w:rPr>
        <w:t>C2. Whether a second confirmation is required</w:t>
      </w:r>
    </w:p>
    <w:p w14:paraId="35B9E452" w14:textId="77777777" w:rsidR="00C20C82" w:rsidRDefault="00000000">
      <w:pPr>
        <w:pStyle w:val="FirstParagraph"/>
      </w:pPr>
      <w:r>
        <w:t>The indicator measures whether the separate consent described in the agreement requires, in addition to initial acceptance of the policy, a dedicated, affirmative act of confirmation (a second confirmation / explicit indication).</w:t>
      </w:r>
    </w:p>
    <w:p w14:paraId="3778E9EB" w14:textId="77777777" w:rsidR="00C20C82" w:rsidRDefault="00000000">
      <w:pPr>
        <w:pStyle w:val="a0"/>
      </w:pPr>
      <w:r>
        <w:rPr>
          <w:b/>
          <w:bCs/>
        </w:rPr>
        <w:t>Normative basis.</w:t>
      </w:r>
      <w:r>
        <w:t xml:space="preserve"> Article 29 of the PIPL; GB/T 42574-2023 (enhanced disclosure and explicit indication); GB/T 45574-2025.</w:t>
      </w:r>
    </w:p>
    <w:tbl>
      <w:tblPr>
        <w:tblStyle w:val="Table"/>
        <w:tblW w:w="5000" w:type="pct"/>
        <w:tblInd w:w="0" w:type="dxa"/>
        <w:tblLayout w:type="fixed"/>
        <w:tblLook w:val="04A0" w:firstRow="1" w:lastRow="0" w:firstColumn="1" w:lastColumn="0" w:noHBand="0" w:noVBand="1"/>
      </w:tblPr>
      <w:tblGrid>
        <w:gridCol w:w="4320"/>
        <w:gridCol w:w="4320"/>
      </w:tblGrid>
      <w:tr w:rsidR="00C20C82" w14:paraId="372584A4" w14:textId="77777777" w:rsidTr="00C20C82">
        <w:trPr>
          <w:cnfStyle w:val="100000000000" w:firstRow="1" w:lastRow="0" w:firstColumn="0" w:lastColumn="0" w:oddVBand="0" w:evenVBand="0" w:oddHBand="0" w:evenHBand="0" w:firstRowFirstColumn="0" w:firstRowLastColumn="0" w:lastRowFirstColumn="0" w:lastRowLastColumn="0"/>
          <w:tblHeader/>
        </w:trPr>
        <w:tc>
          <w:tcPr>
            <w:tcW w:w="4428" w:type="dxa"/>
          </w:tcPr>
          <w:p w14:paraId="34B2A4D4" w14:textId="77777777" w:rsidR="00C20C82" w:rsidRDefault="00000000">
            <w:pPr>
              <w:pStyle w:val="Compact"/>
            </w:pPr>
            <w:r>
              <w:t>Code</w:t>
            </w:r>
          </w:p>
        </w:tc>
        <w:tc>
          <w:tcPr>
            <w:tcW w:w="4428" w:type="dxa"/>
          </w:tcPr>
          <w:p w14:paraId="446A254B" w14:textId="77777777" w:rsidR="00C20C82" w:rsidRDefault="00000000">
            <w:pPr>
              <w:pStyle w:val="Compact"/>
            </w:pPr>
            <w:r>
              <w:t>Operational standard</w:t>
            </w:r>
          </w:p>
        </w:tc>
      </w:tr>
      <w:tr w:rsidR="00C20C82" w14:paraId="56A5AAB4" w14:textId="77777777" w:rsidTr="00C20C82">
        <w:tc>
          <w:tcPr>
            <w:tcW w:w="4428" w:type="dxa"/>
          </w:tcPr>
          <w:p w14:paraId="355E4B9D" w14:textId="77777777" w:rsidR="00C20C82" w:rsidRDefault="00000000">
            <w:pPr>
              <w:pStyle w:val="Compact"/>
            </w:pPr>
            <w:r>
              <w:t>✓</w:t>
            </w:r>
          </w:p>
        </w:tc>
        <w:tc>
          <w:tcPr>
            <w:tcW w:w="4428" w:type="dxa"/>
          </w:tcPr>
          <w:p w14:paraId="7D879D2C" w14:textId="77777777" w:rsidR="00C20C82" w:rsidRDefault="00000000">
            <w:pPr>
              <w:pStyle w:val="Compact"/>
            </w:pPr>
            <w:r>
              <w:t>The document describes a dedicated affirmative confirmation for sensitive-data consent (a dedicated click, tick, or verification following the presentation of the separate notice).</w:t>
            </w:r>
          </w:p>
        </w:tc>
      </w:tr>
      <w:tr w:rsidR="00C20C82" w14:paraId="2AC2AB4A" w14:textId="77777777" w:rsidTr="00C20C82">
        <w:tc>
          <w:tcPr>
            <w:tcW w:w="4428" w:type="dxa"/>
          </w:tcPr>
          <w:p w14:paraId="2C928FB0" w14:textId="77777777" w:rsidR="00C20C82" w:rsidRDefault="00000000">
            <w:pPr>
              <w:pStyle w:val="Compact"/>
            </w:pPr>
            <w:r>
              <w:lastRenderedPageBreak/>
              <w:t>○</w:t>
            </w:r>
          </w:p>
        </w:tc>
        <w:tc>
          <w:tcPr>
            <w:tcW w:w="4428" w:type="dxa"/>
          </w:tcPr>
          <w:p w14:paraId="0D9F13AE" w14:textId="77777777" w:rsidR="00C20C82" w:rsidRDefault="00000000">
            <w:pPr>
              <w:pStyle w:val="Compact"/>
            </w:pPr>
            <w:r>
              <w:t>Enhanced disclosure is described but without an independent act of confirmation; or “explicit consent” is claimed only generically without describing any mechanism.</w:t>
            </w:r>
          </w:p>
        </w:tc>
      </w:tr>
      <w:tr w:rsidR="00C20C82" w14:paraId="4232198D" w14:textId="77777777" w:rsidTr="00C20C82">
        <w:tc>
          <w:tcPr>
            <w:tcW w:w="4428" w:type="dxa"/>
          </w:tcPr>
          <w:p w14:paraId="09320EC0" w14:textId="77777777" w:rsidR="00C20C82" w:rsidRDefault="00000000">
            <w:pPr>
              <w:pStyle w:val="Compact"/>
            </w:pPr>
            <w:r>
              <w:t>x</w:t>
            </w:r>
          </w:p>
        </w:tc>
        <w:tc>
          <w:tcPr>
            <w:tcW w:w="4428" w:type="dxa"/>
          </w:tcPr>
          <w:p w14:paraId="606C9F8F" w14:textId="77777777" w:rsidR="00C20C82" w:rsidRDefault="00000000">
            <w:pPr>
              <w:pStyle w:val="Compact"/>
            </w:pPr>
            <w:r>
              <w:t>No second-confirmation mechanism is described.</w:t>
            </w:r>
          </w:p>
        </w:tc>
      </w:tr>
    </w:tbl>
    <w:p w14:paraId="170AFF95" w14:textId="77777777" w:rsidR="00C20C82" w:rsidRDefault="00000000">
      <w:pPr>
        <w:pStyle w:val="3"/>
        <w:rPr>
          <w:color w:val="auto"/>
        </w:rPr>
      </w:pPr>
      <w:bookmarkStart w:id="23" w:name="Xfdf605153ac6606526eb61640c2060cbe22566f"/>
      <w:bookmarkEnd w:id="20"/>
      <w:bookmarkEnd w:id="22"/>
      <w:r>
        <w:rPr>
          <w:color w:val="auto"/>
        </w:rPr>
        <w:t>4.4 Dimension D — Transparency of Secondary Data Use</w:t>
      </w:r>
    </w:p>
    <w:p w14:paraId="1BFBA3F0" w14:textId="77777777" w:rsidR="00C20C82" w:rsidRDefault="00000000">
      <w:pPr>
        <w:pStyle w:val="4"/>
        <w:rPr>
          <w:color w:val="auto"/>
        </w:rPr>
      </w:pPr>
      <w:bookmarkStart w:id="24" w:name="X9b05adb0480d7baba38546e406b5b3139ca2726"/>
      <w:r>
        <w:rPr>
          <w:color w:val="auto"/>
        </w:rPr>
        <w:t xml:space="preserve">D1. Whether separate disclosure is </w:t>
      </w:r>
      <w:proofErr w:type="gramStart"/>
      <w:r>
        <w:rPr>
          <w:color w:val="auto"/>
        </w:rPr>
        <w:t>provided</w:t>
      </w:r>
      <w:proofErr w:type="gramEnd"/>
      <w:r>
        <w:rPr>
          <w:color w:val="auto"/>
        </w:rPr>
        <w:t xml:space="preserve"> and consent is obtained for AI model training, product improvement, or commercial analytics</w:t>
      </w:r>
    </w:p>
    <w:p w14:paraId="1FCCF97E" w14:textId="77777777" w:rsidR="00C20C82" w:rsidRDefault="00000000">
      <w:pPr>
        <w:pStyle w:val="FirstParagraph"/>
      </w:pPr>
      <w:r>
        <w:t>The indicator measures whether the archived document separately describes AI-model training, product improvement, or commercial analytics and identifies the consent or other lawful-basis mechanism applicable to that secondary-use scenario. A ✓ is a documentary judgement about the cited scenario, not proof that every real-world secondary use is disclosed or validly consented to.</w:t>
      </w:r>
    </w:p>
    <w:p w14:paraId="158C1F4F" w14:textId="77777777" w:rsidR="00C20C82" w:rsidRDefault="00000000">
      <w:pPr>
        <w:pStyle w:val="a0"/>
      </w:pPr>
      <w:r>
        <w:rPr>
          <w:b/>
          <w:bCs/>
        </w:rPr>
        <w:t>Normative basis.</w:t>
      </w:r>
      <w:r>
        <w:t xml:space="preserve"> Articles 14 and 17 of the PIPL (notice and consent; a change of processing purpose requires renewed notice and consent); Articles 22–23 (transfer and provision to third parties); GB/T 42574-2023.</w:t>
      </w:r>
    </w:p>
    <w:tbl>
      <w:tblPr>
        <w:tblStyle w:val="Table"/>
        <w:tblW w:w="5000" w:type="pct"/>
        <w:tblInd w:w="0" w:type="dxa"/>
        <w:tblLayout w:type="fixed"/>
        <w:tblLook w:val="04A0" w:firstRow="1" w:lastRow="0" w:firstColumn="1" w:lastColumn="0" w:noHBand="0" w:noVBand="1"/>
      </w:tblPr>
      <w:tblGrid>
        <w:gridCol w:w="4320"/>
        <w:gridCol w:w="4320"/>
      </w:tblGrid>
      <w:tr w:rsidR="00C20C82" w14:paraId="3B6F77D4" w14:textId="77777777" w:rsidTr="00C20C82">
        <w:trPr>
          <w:cnfStyle w:val="100000000000" w:firstRow="1" w:lastRow="0" w:firstColumn="0" w:lastColumn="0" w:oddVBand="0" w:evenVBand="0" w:oddHBand="0" w:evenHBand="0" w:firstRowFirstColumn="0" w:firstRowLastColumn="0" w:lastRowFirstColumn="0" w:lastRowLastColumn="0"/>
          <w:tblHeader/>
        </w:trPr>
        <w:tc>
          <w:tcPr>
            <w:tcW w:w="4428" w:type="dxa"/>
          </w:tcPr>
          <w:p w14:paraId="3B99C695" w14:textId="77777777" w:rsidR="00C20C82" w:rsidRDefault="00000000">
            <w:pPr>
              <w:pStyle w:val="Compact"/>
            </w:pPr>
            <w:r>
              <w:t>Code</w:t>
            </w:r>
          </w:p>
        </w:tc>
        <w:tc>
          <w:tcPr>
            <w:tcW w:w="4428" w:type="dxa"/>
          </w:tcPr>
          <w:p w14:paraId="15641467" w14:textId="77777777" w:rsidR="00C20C82" w:rsidRDefault="00000000">
            <w:pPr>
              <w:pStyle w:val="Compact"/>
            </w:pPr>
            <w:r>
              <w:t>Operational standard</w:t>
            </w:r>
          </w:p>
        </w:tc>
      </w:tr>
      <w:tr w:rsidR="00C20C82" w14:paraId="7BDAF3E5" w14:textId="77777777" w:rsidTr="00C20C82">
        <w:tc>
          <w:tcPr>
            <w:tcW w:w="4428" w:type="dxa"/>
          </w:tcPr>
          <w:p w14:paraId="3E54D3A3" w14:textId="77777777" w:rsidR="00C20C82" w:rsidRDefault="00000000">
            <w:pPr>
              <w:pStyle w:val="Compact"/>
            </w:pPr>
            <w:r>
              <w:t>✓</w:t>
            </w:r>
          </w:p>
        </w:tc>
        <w:tc>
          <w:tcPr>
            <w:tcW w:w="4428" w:type="dxa"/>
          </w:tcPr>
          <w:p w14:paraId="5747E2F7" w14:textId="77777777" w:rsidR="00C20C82" w:rsidRDefault="00000000">
            <w:pPr>
              <w:pStyle w:val="Compact"/>
            </w:pPr>
            <w:r>
              <w:t>The document separately discloses the above secondary uses and requires separate consent (opt-in) for them.</w:t>
            </w:r>
          </w:p>
        </w:tc>
      </w:tr>
      <w:tr w:rsidR="00C20C82" w14:paraId="169BA764" w14:textId="77777777" w:rsidTr="00C20C82">
        <w:tc>
          <w:tcPr>
            <w:tcW w:w="4428" w:type="dxa"/>
          </w:tcPr>
          <w:p w14:paraId="19CB940D" w14:textId="77777777" w:rsidR="00C20C82" w:rsidRDefault="00000000">
            <w:pPr>
              <w:pStyle w:val="Compact"/>
            </w:pPr>
            <w:r>
              <w:t>○</w:t>
            </w:r>
          </w:p>
        </w:tc>
        <w:tc>
          <w:tcPr>
            <w:tcW w:w="4428" w:type="dxa"/>
          </w:tcPr>
          <w:p w14:paraId="31FB73F1" w14:textId="77777777" w:rsidR="00C20C82" w:rsidRDefault="00000000">
            <w:pPr>
              <w:pStyle w:val="Compact"/>
            </w:pPr>
            <w:r>
              <w:t xml:space="preserve">Secondary use is disclosed but enabled by default (opt-out), to be disabled by the user; or the use is disclosed without any consent mechanism; or it is mentioned only generically (“we may use </w:t>
            </w:r>
            <w:proofErr w:type="spellStart"/>
            <w:r>
              <w:t>anonymised</w:t>
            </w:r>
            <w:proofErr w:type="spellEnd"/>
            <w:r>
              <w:t xml:space="preserve"> data to improve our products”).</w:t>
            </w:r>
          </w:p>
        </w:tc>
      </w:tr>
      <w:tr w:rsidR="00C20C82" w14:paraId="1BDDE54E" w14:textId="77777777" w:rsidTr="00C20C82">
        <w:tc>
          <w:tcPr>
            <w:tcW w:w="4428" w:type="dxa"/>
          </w:tcPr>
          <w:p w14:paraId="6C715BB3" w14:textId="77777777" w:rsidR="00C20C82" w:rsidRDefault="00000000">
            <w:pPr>
              <w:pStyle w:val="Compact"/>
            </w:pPr>
            <w:r>
              <w:t>x</w:t>
            </w:r>
          </w:p>
        </w:tc>
        <w:tc>
          <w:tcPr>
            <w:tcW w:w="4428" w:type="dxa"/>
          </w:tcPr>
          <w:p w14:paraId="53D7E0F4" w14:textId="77777777" w:rsidR="00C20C82" w:rsidRDefault="00000000">
            <w:pPr>
              <w:pStyle w:val="Compact"/>
            </w:pPr>
            <w:r>
              <w:t>The document makes no reference to AI model training, product improvement, or commercial analytics.</w:t>
            </w:r>
          </w:p>
        </w:tc>
      </w:tr>
    </w:tbl>
    <w:p w14:paraId="2AB2B40F" w14:textId="77777777" w:rsidR="00C20C82" w:rsidRDefault="00000000">
      <w:pPr>
        <w:pStyle w:val="4"/>
        <w:rPr>
          <w:color w:val="auto"/>
        </w:rPr>
      </w:pPr>
      <w:bookmarkStart w:id="25" w:name="X3414b4049ffd9c751a532462ee5ced1e2457412"/>
      <w:bookmarkEnd w:id="24"/>
      <w:r>
        <w:rPr>
          <w:color w:val="auto"/>
        </w:rPr>
        <w:t xml:space="preserve">D2. Whether an independent </w:t>
      </w:r>
      <w:proofErr w:type="spellStart"/>
      <w:r>
        <w:rPr>
          <w:color w:val="auto"/>
        </w:rPr>
        <w:t>authorisation</w:t>
      </w:r>
      <w:proofErr w:type="spellEnd"/>
      <w:r>
        <w:rPr>
          <w:color w:val="auto"/>
        </w:rPr>
        <w:t xml:space="preserve"> mechanism is established for interactions between health data and third-party applications</w:t>
      </w:r>
    </w:p>
    <w:p w14:paraId="24B26B4F" w14:textId="77777777" w:rsidR="00C20C82" w:rsidRDefault="00000000">
      <w:pPr>
        <w:pStyle w:val="FirstParagraph"/>
      </w:pPr>
      <w:r>
        <w:t xml:space="preserve">The indicator measures whether the archived document describes an </w:t>
      </w:r>
      <w:proofErr w:type="spellStart"/>
      <w:r>
        <w:t>authorisation</w:t>
      </w:r>
      <w:proofErr w:type="spellEnd"/>
      <w:r>
        <w:t xml:space="preserve"> mechanism, independent of initial policy acceptance, for health-data interactions with third-party applications or services. A documentary x means that no qualifying </w:t>
      </w:r>
      <w:r>
        <w:lastRenderedPageBreak/>
        <w:t>mechanism was identified in the archived set; it does not prove that third-party interaction is absent in practice.</w:t>
      </w:r>
    </w:p>
    <w:p w14:paraId="6BCB7097" w14:textId="77777777" w:rsidR="00C20C82" w:rsidRDefault="00000000">
      <w:pPr>
        <w:pStyle w:val="a0"/>
      </w:pPr>
      <w:r>
        <w:rPr>
          <w:b/>
          <w:bCs/>
        </w:rPr>
        <w:t>Normative basis.</w:t>
      </w:r>
      <w:r>
        <w:t xml:space="preserve"> Article 23 of the PIPL (separate consent for provision to third parties); Article 21 of the Network Data Security Management Regulations.</w:t>
      </w:r>
    </w:p>
    <w:tbl>
      <w:tblPr>
        <w:tblStyle w:val="Table"/>
        <w:tblW w:w="5000" w:type="pct"/>
        <w:tblInd w:w="0" w:type="dxa"/>
        <w:tblLayout w:type="fixed"/>
        <w:tblLook w:val="04A0" w:firstRow="1" w:lastRow="0" w:firstColumn="1" w:lastColumn="0" w:noHBand="0" w:noVBand="1"/>
      </w:tblPr>
      <w:tblGrid>
        <w:gridCol w:w="4320"/>
        <w:gridCol w:w="4320"/>
      </w:tblGrid>
      <w:tr w:rsidR="00C20C82" w14:paraId="6DEE557F" w14:textId="77777777" w:rsidTr="00C20C82">
        <w:trPr>
          <w:cnfStyle w:val="100000000000" w:firstRow="1" w:lastRow="0" w:firstColumn="0" w:lastColumn="0" w:oddVBand="0" w:evenVBand="0" w:oddHBand="0" w:evenHBand="0" w:firstRowFirstColumn="0" w:firstRowLastColumn="0" w:lastRowFirstColumn="0" w:lastRowLastColumn="0"/>
          <w:tblHeader/>
        </w:trPr>
        <w:tc>
          <w:tcPr>
            <w:tcW w:w="4428" w:type="dxa"/>
          </w:tcPr>
          <w:p w14:paraId="76AB4837" w14:textId="77777777" w:rsidR="00C20C82" w:rsidRDefault="00000000">
            <w:pPr>
              <w:pStyle w:val="Compact"/>
            </w:pPr>
            <w:r>
              <w:t>Code</w:t>
            </w:r>
          </w:p>
        </w:tc>
        <w:tc>
          <w:tcPr>
            <w:tcW w:w="4428" w:type="dxa"/>
          </w:tcPr>
          <w:p w14:paraId="23FE4D75" w14:textId="77777777" w:rsidR="00C20C82" w:rsidRDefault="00000000">
            <w:pPr>
              <w:pStyle w:val="Compact"/>
            </w:pPr>
            <w:r>
              <w:t>Operational standard</w:t>
            </w:r>
          </w:p>
        </w:tc>
      </w:tr>
      <w:tr w:rsidR="00C20C82" w14:paraId="1B795495" w14:textId="77777777" w:rsidTr="00C20C82">
        <w:tc>
          <w:tcPr>
            <w:tcW w:w="4428" w:type="dxa"/>
          </w:tcPr>
          <w:p w14:paraId="6B52DABA" w14:textId="77777777" w:rsidR="00C20C82" w:rsidRDefault="00000000">
            <w:pPr>
              <w:pStyle w:val="Compact"/>
            </w:pPr>
            <w:r>
              <w:t>✓</w:t>
            </w:r>
          </w:p>
        </w:tc>
        <w:tc>
          <w:tcPr>
            <w:tcW w:w="4428" w:type="dxa"/>
          </w:tcPr>
          <w:p w14:paraId="649DF97E" w14:textId="77777777" w:rsidR="00C20C82" w:rsidRDefault="00000000">
            <w:pPr>
              <w:pStyle w:val="Compact"/>
            </w:pPr>
            <w:r>
              <w:t xml:space="preserve">The document describes a separate </w:t>
            </w:r>
            <w:proofErr w:type="spellStart"/>
            <w:r>
              <w:t>authorisation</w:t>
            </w:r>
            <w:proofErr w:type="spellEnd"/>
            <w:r>
              <w:t xml:space="preserve"> step before health data are shared with third-party applications.</w:t>
            </w:r>
          </w:p>
        </w:tc>
      </w:tr>
      <w:tr w:rsidR="00C20C82" w14:paraId="2A0337FF" w14:textId="77777777" w:rsidTr="00C20C82">
        <w:tc>
          <w:tcPr>
            <w:tcW w:w="4428" w:type="dxa"/>
          </w:tcPr>
          <w:p w14:paraId="18AE8AA2" w14:textId="77777777" w:rsidR="00C20C82" w:rsidRDefault="00000000">
            <w:pPr>
              <w:pStyle w:val="Compact"/>
            </w:pPr>
            <w:r>
              <w:t>○</w:t>
            </w:r>
          </w:p>
        </w:tc>
        <w:tc>
          <w:tcPr>
            <w:tcW w:w="4428" w:type="dxa"/>
          </w:tcPr>
          <w:p w14:paraId="7B092CA9" w14:textId="77777777" w:rsidR="00C20C82" w:rsidRDefault="00000000">
            <w:pPr>
              <w:pStyle w:val="Compact"/>
            </w:pPr>
            <w:proofErr w:type="spellStart"/>
            <w:r>
              <w:t>Authorisation</w:t>
            </w:r>
            <w:proofErr w:type="spellEnd"/>
            <w:r>
              <w:t xml:space="preserve"> to third-party applications is mentioned, but the step is not independent (e.g., bundled with the general agreement) or is described only generically.</w:t>
            </w:r>
          </w:p>
        </w:tc>
      </w:tr>
      <w:tr w:rsidR="00C20C82" w14:paraId="76A1A1B7" w14:textId="77777777" w:rsidTr="00C20C82">
        <w:tc>
          <w:tcPr>
            <w:tcW w:w="4428" w:type="dxa"/>
          </w:tcPr>
          <w:p w14:paraId="5887FAFE" w14:textId="77777777" w:rsidR="00C20C82" w:rsidRDefault="00000000">
            <w:pPr>
              <w:pStyle w:val="Compact"/>
            </w:pPr>
            <w:r>
              <w:t>x</w:t>
            </w:r>
          </w:p>
        </w:tc>
        <w:tc>
          <w:tcPr>
            <w:tcW w:w="4428" w:type="dxa"/>
          </w:tcPr>
          <w:p w14:paraId="73B4B571" w14:textId="77777777" w:rsidR="00C20C82" w:rsidRDefault="00000000">
            <w:pPr>
              <w:pStyle w:val="Compact"/>
            </w:pPr>
            <w:r>
              <w:t xml:space="preserve">No </w:t>
            </w:r>
            <w:proofErr w:type="spellStart"/>
            <w:r>
              <w:t>authorisation</w:t>
            </w:r>
            <w:proofErr w:type="spellEnd"/>
            <w:r>
              <w:t xml:space="preserve"> mechanism for third-party access to health data exists.</w:t>
            </w:r>
          </w:p>
        </w:tc>
      </w:tr>
    </w:tbl>
    <w:p w14:paraId="31C5D873" w14:textId="77777777" w:rsidR="00C20C82" w:rsidRDefault="00000000">
      <w:pPr>
        <w:pStyle w:val="4"/>
        <w:rPr>
          <w:color w:val="auto"/>
        </w:rPr>
      </w:pPr>
      <w:bookmarkStart w:id="26" w:name="Xbff284d7fd9941af68e50236b2c8b73a78a3243"/>
      <w:bookmarkEnd w:id="25"/>
      <w:r>
        <w:rPr>
          <w:color w:val="auto"/>
        </w:rPr>
        <w:t>D3. Whether a complete list of the shared data fields is presented to users</w:t>
      </w:r>
    </w:p>
    <w:p w14:paraId="0E0D8E12" w14:textId="77777777" w:rsidR="00C20C82" w:rsidRDefault="00000000">
      <w:pPr>
        <w:pStyle w:val="FirstParagraph"/>
      </w:pPr>
      <w:r>
        <w:t xml:space="preserve">The indicator measures whether the archived agreement presents the list of data fields shared with third parties (including recipients), rather than merely promising such a list. The list should </w:t>
      </w:r>
      <w:proofErr w:type="spellStart"/>
      <w:r>
        <w:t>itemise</w:t>
      </w:r>
      <w:proofErr w:type="spellEnd"/>
      <w:r>
        <w:t xml:space="preserve"> the specific data fields shared (e.g., steps, calories, heart rate) and the recipients. Where the agreement only states “see the shared-information list for details” without providing the list in the document or a directly accessible attachment, it is coded no higher than ○.</w:t>
      </w:r>
    </w:p>
    <w:p w14:paraId="390FF74C" w14:textId="77777777" w:rsidR="00C20C82" w:rsidRDefault="00000000">
      <w:pPr>
        <w:pStyle w:val="a0"/>
      </w:pPr>
      <w:r>
        <w:rPr>
          <w:b/>
          <w:bCs/>
        </w:rPr>
        <w:t>Normative basis.</w:t>
      </w:r>
      <w:r>
        <w:t xml:space="preserve"> Article 23 of the PIPL (the categories of personal information provided to third parties must be disclosed); GB/T 42574-2023.</w:t>
      </w:r>
    </w:p>
    <w:tbl>
      <w:tblPr>
        <w:tblStyle w:val="Table"/>
        <w:tblW w:w="5000" w:type="pct"/>
        <w:tblInd w:w="0" w:type="dxa"/>
        <w:tblLayout w:type="fixed"/>
        <w:tblLook w:val="04A0" w:firstRow="1" w:lastRow="0" w:firstColumn="1" w:lastColumn="0" w:noHBand="0" w:noVBand="1"/>
      </w:tblPr>
      <w:tblGrid>
        <w:gridCol w:w="4320"/>
        <w:gridCol w:w="4320"/>
      </w:tblGrid>
      <w:tr w:rsidR="00C20C82" w14:paraId="07E48AE8" w14:textId="77777777" w:rsidTr="00C20C82">
        <w:trPr>
          <w:cnfStyle w:val="100000000000" w:firstRow="1" w:lastRow="0" w:firstColumn="0" w:lastColumn="0" w:oddVBand="0" w:evenVBand="0" w:oddHBand="0" w:evenHBand="0" w:firstRowFirstColumn="0" w:firstRowLastColumn="0" w:lastRowFirstColumn="0" w:lastRowLastColumn="0"/>
          <w:tblHeader/>
        </w:trPr>
        <w:tc>
          <w:tcPr>
            <w:tcW w:w="4428" w:type="dxa"/>
          </w:tcPr>
          <w:p w14:paraId="348EDF46" w14:textId="77777777" w:rsidR="00C20C82" w:rsidRDefault="00000000">
            <w:pPr>
              <w:pStyle w:val="Compact"/>
            </w:pPr>
            <w:r>
              <w:t>Code</w:t>
            </w:r>
          </w:p>
        </w:tc>
        <w:tc>
          <w:tcPr>
            <w:tcW w:w="4428" w:type="dxa"/>
          </w:tcPr>
          <w:p w14:paraId="681850E7" w14:textId="77777777" w:rsidR="00C20C82" w:rsidRDefault="00000000">
            <w:pPr>
              <w:pStyle w:val="Compact"/>
            </w:pPr>
            <w:r>
              <w:t>Operational standard</w:t>
            </w:r>
          </w:p>
        </w:tc>
      </w:tr>
      <w:tr w:rsidR="00C20C82" w14:paraId="0F1E9AE9" w14:textId="77777777" w:rsidTr="00C20C82">
        <w:tc>
          <w:tcPr>
            <w:tcW w:w="4428" w:type="dxa"/>
          </w:tcPr>
          <w:p w14:paraId="65B1A9B7" w14:textId="77777777" w:rsidR="00C20C82" w:rsidRDefault="00000000">
            <w:pPr>
              <w:pStyle w:val="Compact"/>
            </w:pPr>
            <w:r>
              <w:t>✓</w:t>
            </w:r>
          </w:p>
        </w:tc>
        <w:tc>
          <w:tcPr>
            <w:tcW w:w="4428" w:type="dxa"/>
          </w:tcPr>
          <w:p w14:paraId="6BC8BD9A" w14:textId="77777777" w:rsidR="00C20C82" w:rsidRDefault="00000000">
            <w:pPr>
              <w:pStyle w:val="Compact"/>
            </w:pPr>
            <w:r>
              <w:t>The document lists the shared fields and recipients in the archived text or in a directly accessible attachment included in the case’s document set.</w:t>
            </w:r>
          </w:p>
        </w:tc>
      </w:tr>
      <w:tr w:rsidR="00C20C82" w14:paraId="70A370AD" w14:textId="77777777" w:rsidTr="00C20C82">
        <w:tc>
          <w:tcPr>
            <w:tcW w:w="4428" w:type="dxa"/>
          </w:tcPr>
          <w:p w14:paraId="24298795" w14:textId="77777777" w:rsidR="00C20C82" w:rsidRDefault="00000000">
            <w:pPr>
              <w:pStyle w:val="Compact"/>
            </w:pPr>
            <w:r>
              <w:t>○</w:t>
            </w:r>
          </w:p>
        </w:tc>
        <w:tc>
          <w:tcPr>
            <w:tcW w:w="4428" w:type="dxa"/>
          </w:tcPr>
          <w:p w14:paraId="684315AD" w14:textId="77777777" w:rsidR="00C20C82" w:rsidRDefault="00000000">
            <w:pPr>
              <w:pStyle w:val="Compact"/>
            </w:pPr>
            <w:r>
              <w:t>A list is promised but is not included in the archived document or a directly accessible attachment; or recipients are listed but not the specific fields; or only some fields are listed.</w:t>
            </w:r>
          </w:p>
        </w:tc>
      </w:tr>
      <w:tr w:rsidR="00C20C82" w14:paraId="74355A5E" w14:textId="77777777" w:rsidTr="00C20C82">
        <w:tc>
          <w:tcPr>
            <w:tcW w:w="4428" w:type="dxa"/>
          </w:tcPr>
          <w:p w14:paraId="49268D17" w14:textId="77777777" w:rsidR="00C20C82" w:rsidRDefault="00000000">
            <w:pPr>
              <w:pStyle w:val="Compact"/>
            </w:pPr>
            <w:r>
              <w:t>x</w:t>
            </w:r>
          </w:p>
        </w:tc>
        <w:tc>
          <w:tcPr>
            <w:tcW w:w="4428" w:type="dxa"/>
          </w:tcPr>
          <w:p w14:paraId="66FF88F0" w14:textId="77777777" w:rsidR="00C20C82" w:rsidRDefault="00000000">
            <w:pPr>
              <w:pStyle w:val="Compact"/>
            </w:pPr>
            <w:r>
              <w:t>No shared data fields are mentioned.</w:t>
            </w:r>
          </w:p>
        </w:tc>
      </w:tr>
    </w:tbl>
    <w:p w14:paraId="3DD8B9AA" w14:textId="77777777" w:rsidR="00C20C82" w:rsidRDefault="00000000">
      <w:pPr>
        <w:pStyle w:val="3"/>
        <w:rPr>
          <w:color w:val="auto"/>
        </w:rPr>
      </w:pPr>
      <w:bookmarkStart w:id="27" w:name="Xf664a8c003deb8e734ee8918ff1f14b2fda3be3"/>
      <w:bookmarkEnd w:id="23"/>
      <w:bookmarkEnd w:id="26"/>
      <w:r>
        <w:rPr>
          <w:color w:val="auto"/>
        </w:rPr>
        <w:lastRenderedPageBreak/>
        <w:t>4.5 Dimension E — Pathways for the Exercise of Users’ Rights</w:t>
      </w:r>
    </w:p>
    <w:p w14:paraId="3E578FCA" w14:textId="77777777" w:rsidR="00C20C82" w:rsidRDefault="00000000">
      <w:pPr>
        <w:pStyle w:val="4"/>
        <w:rPr>
          <w:color w:val="auto"/>
        </w:rPr>
      </w:pPr>
      <w:bookmarkStart w:id="28" w:name="X1fb976a8e0ac7ebd585ab17737d4b236c36ba8e"/>
      <w:r>
        <w:rPr>
          <w:color w:val="auto"/>
        </w:rPr>
        <w:t>E1. Whether the agreement describes a specific pathway for withdrawing consent and states the consequences of withdrawal</w:t>
      </w:r>
    </w:p>
    <w:p w14:paraId="40341AD7" w14:textId="77777777" w:rsidR="00C20C82" w:rsidRDefault="00000000">
      <w:pPr>
        <w:pStyle w:val="FirstParagraph"/>
      </w:pPr>
      <w:r>
        <w:t>The indicator measures whether the agreement describes a specific, documented pathway for withdrawing consent and the consequences of withdrawal. “Specific pathway” here means whether the agreement identifies the manner and specific location of withdrawal (a named interface, menu path, or named function) and states the consequences of withdrawal. Empirical assessment of the interface’s actual ease of use falls outside the scope of document coding. Where the agreement merely states that consent “can be withdrawn” without identifying a pathway, or describes it only generically (e.g., “in the app settings”) without a specific location, or fails to state the consequences of withdrawal, the indicator is not fully satisfied and is coded ○.</w:t>
      </w:r>
    </w:p>
    <w:p w14:paraId="29F67782" w14:textId="77777777" w:rsidR="00C20C82" w:rsidRDefault="00000000">
      <w:pPr>
        <w:pStyle w:val="a0"/>
      </w:pPr>
      <w:r>
        <w:rPr>
          <w:b/>
          <w:bCs/>
        </w:rPr>
        <w:t>Normative basis.</w:t>
      </w:r>
      <w:r>
        <w:t xml:space="preserve"> Article 15 of the PIPL (the right to withdraw consent); GB/T 42574-2023.</w:t>
      </w:r>
    </w:p>
    <w:tbl>
      <w:tblPr>
        <w:tblStyle w:val="Table"/>
        <w:tblW w:w="5000" w:type="pct"/>
        <w:tblInd w:w="0" w:type="dxa"/>
        <w:tblLayout w:type="fixed"/>
        <w:tblLook w:val="04A0" w:firstRow="1" w:lastRow="0" w:firstColumn="1" w:lastColumn="0" w:noHBand="0" w:noVBand="1"/>
      </w:tblPr>
      <w:tblGrid>
        <w:gridCol w:w="4320"/>
        <w:gridCol w:w="4320"/>
      </w:tblGrid>
      <w:tr w:rsidR="00C20C82" w14:paraId="340CDDBE" w14:textId="77777777" w:rsidTr="00C20C82">
        <w:trPr>
          <w:cnfStyle w:val="100000000000" w:firstRow="1" w:lastRow="0" w:firstColumn="0" w:lastColumn="0" w:oddVBand="0" w:evenVBand="0" w:oddHBand="0" w:evenHBand="0" w:firstRowFirstColumn="0" w:firstRowLastColumn="0" w:lastRowFirstColumn="0" w:lastRowLastColumn="0"/>
          <w:tblHeader/>
        </w:trPr>
        <w:tc>
          <w:tcPr>
            <w:tcW w:w="4428" w:type="dxa"/>
          </w:tcPr>
          <w:p w14:paraId="6F53820D" w14:textId="77777777" w:rsidR="00C20C82" w:rsidRDefault="00000000">
            <w:pPr>
              <w:pStyle w:val="Compact"/>
            </w:pPr>
            <w:r>
              <w:t>Code</w:t>
            </w:r>
          </w:p>
        </w:tc>
        <w:tc>
          <w:tcPr>
            <w:tcW w:w="4428" w:type="dxa"/>
          </w:tcPr>
          <w:p w14:paraId="71B12607" w14:textId="77777777" w:rsidR="00C20C82" w:rsidRDefault="00000000">
            <w:pPr>
              <w:pStyle w:val="Compact"/>
            </w:pPr>
            <w:r>
              <w:t>Operational standard</w:t>
            </w:r>
          </w:p>
        </w:tc>
      </w:tr>
      <w:tr w:rsidR="00C20C82" w14:paraId="16F2AB56" w14:textId="77777777" w:rsidTr="00C20C82">
        <w:tc>
          <w:tcPr>
            <w:tcW w:w="4428" w:type="dxa"/>
          </w:tcPr>
          <w:p w14:paraId="6CA39DF5" w14:textId="77777777" w:rsidR="00C20C82" w:rsidRDefault="00000000">
            <w:pPr>
              <w:pStyle w:val="Compact"/>
            </w:pPr>
            <w:r>
              <w:t>✓</w:t>
            </w:r>
          </w:p>
        </w:tc>
        <w:tc>
          <w:tcPr>
            <w:tcW w:w="4428" w:type="dxa"/>
          </w:tcPr>
          <w:p w14:paraId="5BEFBB56" w14:textId="77777777" w:rsidR="00C20C82" w:rsidRDefault="00000000">
            <w:pPr>
              <w:pStyle w:val="Compact"/>
            </w:pPr>
            <w:r>
              <w:t>The document identifies the manner and location of withdrawing consent (a named interface or menu path, or a named function) and states the consequences of withdrawal.</w:t>
            </w:r>
          </w:p>
        </w:tc>
      </w:tr>
      <w:tr w:rsidR="00C20C82" w14:paraId="0FAEDE10" w14:textId="77777777" w:rsidTr="00C20C82">
        <w:tc>
          <w:tcPr>
            <w:tcW w:w="4428" w:type="dxa"/>
          </w:tcPr>
          <w:p w14:paraId="76A3B497" w14:textId="77777777" w:rsidR="00C20C82" w:rsidRDefault="00000000">
            <w:pPr>
              <w:pStyle w:val="Compact"/>
            </w:pPr>
            <w:r>
              <w:t>○</w:t>
            </w:r>
          </w:p>
        </w:tc>
        <w:tc>
          <w:tcPr>
            <w:tcW w:w="4428" w:type="dxa"/>
          </w:tcPr>
          <w:p w14:paraId="01540776" w14:textId="77777777" w:rsidR="00C20C82" w:rsidRDefault="00000000">
            <w:pPr>
              <w:pStyle w:val="Compact"/>
            </w:pPr>
            <w:r>
              <w:t>The document states that consent can be withdrawn but does not identify a pathway; or describes it only generically (“in the app settings”) without a specific location; or does not state the consequences.</w:t>
            </w:r>
          </w:p>
        </w:tc>
      </w:tr>
      <w:tr w:rsidR="00C20C82" w14:paraId="6E75F123" w14:textId="77777777" w:rsidTr="00C20C82">
        <w:tc>
          <w:tcPr>
            <w:tcW w:w="4428" w:type="dxa"/>
          </w:tcPr>
          <w:p w14:paraId="4289B506" w14:textId="77777777" w:rsidR="00C20C82" w:rsidRDefault="00000000">
            <w:pPr>
              <w:pStyle w:val="Compact"/>
            </w:pPr>
            <w:r>
              <w:t>x</w:t>
            </w:r>
          </w:p>
        </w:tc>
        <w:tc>
          <w:tcPr>
            <w:tcW w:w="4428" w:type="dxa"/>
          </w:tcPr>
          <w:p w14:paraId="37F288C6" w14:textId="77777777" w:rsidR="00C20C82" w:rsidRDefault="00000000">
            <w:pPr>
              <w:pStyle w:val="Compact"/>
            </w:pPr>
            <w:r>
              <w:t>No mechanism for withdrawing consent is described.</w:t>
            </w:r>
          </w:p>
        </w:tc>
      </w:tr>
    </w:tbl>
    <w:p w14:paraId="3DB0CA6B" w14:textId="77777777" w:rsidR="00C20C82" w:rsidRDefault="00000000">
      <w:pPr>
        <w:pStyle w:val="4"/>
        <w:rPr>
          <w:color w:val="auto"/>
        </w:rPr>
      </w:pPr>
      <w:bookmarkStart w:id="29" w:name="Xebcebc0a337b1b5b85f752d13a733e6d651d30e"/>
      <w:bookmarkEnd w:id="28"/>
      <w:r>
        <w:rPr>
          <w:color w:val="auto"/>
        </w:rPr>
        <w:t>E2. Whether the agreement describes specific pathways for data erasure and account cancellation and states their consequences</w:t>
      </w:r>
    </w:p>
    <w:p w14:paraId="42524AB4" w14:textId="77777777" w:rsidR="00C20C82" w:rsidRDefault="00000000">
      <w:pPr>
        <w:pStyle w:val="FirstParagraph"/>
      </w:pPr>
      <w:r>
        <w:t xml:space="preserve">The indicator measures whether the agreement describes specific, documented pathways for data deletion and account cancellation and states their consequences. Consistent with E1, this indicator concerns whether the agreement describes named pathways for both deletion and cancellation (specific locations, functions, or a rights-management </w:t>
      </w:r>
      <w:proofErr w:type="spellStart"/>
      <w:r>
        <w:t>centre</w:t>
      </w:r>
      <w:proofErr w:type="spellEnd"/>
      <w:r>
        <w:t xml:space="preserve">), not an empirical assessment of the interface’s actual operability. Where the agreement mentions deletion or account cancellation but (a) describes only one of the two; (b) describes them generically without a specific pathway; or (c) attaches conditions that make the right difficult to exercise, it is coded ○. Data deletion and account cancellation are bound together </w:t>
      </w:r>
      <w:r>
        <w:lastRenderedPageBreak/>
        <w:t>because, in ordinary use, the two actions typically occur in sequence and coincide in time.</w:t>
      </w:r>
    </w:p>
    <w:p w14:paraId="6A08C171" w14:textId="77777777" w:rsidR="00C20C82" w:rsidRDefault="00000000">
      <w:pPr>
        <w:pStyle w:val="a0"/>
      </w:pPr>
      <w:r>
        <w:rPr>
          <w:b/>
          <w:bCs/>
        </w:rPr>
        <w:t>Normative basis.</w:t>
      </w:r>
      <w:r>
        <w:t xml:space="preserve"> Article 47 of the PIPL (the right to erasure); Article 50 (convenient mechanisms for receiving and handling rights requests); Article 1035 of the Civil Code.</w:t>
      </w:r>
    </w:p>
    <w:tbl>
      <w:tblPr>
        <w:tblStyle w:val="Table"/>
        <w:tblW w:w="5000" w:type="pct"/>
        <w:tblInd w:w="0" w:type="dxa"/>
        <w:tblLayout w:type="fixed"/>
        <w:tblLook w:val="04A0" w:firstRow="1" w:lastRow="0" w:firstColumn="1" w:lastColumn="0" w:noHBand="0" w:noVBand="1"/>
      </w:tblPr>
      <w:tblGrid>
        <w:gridCol w:w="4320"/>
        <w:gridCol w:w="4320"/>
      </w:tblGrid>
      <w:tr w:rsidR="00C20C82" w14:paraId="7326EECD" w14:textId="77777777" w:rsidTr="00C20C82">
        <w:trPr>
          <w:cnfStyle w:val="100000000000" w:firstRow="1" w:lastRow="0" w:firstColumn="0" w:lastColumn="0" w:oddVBand="0" w:evenVBand="0" w:oddHBand="0" w:evenHBand="0" w:firstRowFirstColumn="0" w:firstRowLastColumn="0" w:lastRowFirstColumn="0" w:lastRowLastColumn="0"/>
          <w:tblHeader/>
        </w:trPr>
        <w:tc>
          <w:tcPr>
            <w:tcW w:w="4428" w:type="dxa"/>
          </w:tcPr>
          <w:p w14:paraId="6CF1F506" w14:textId="77777777" w:rsidR="00C20C82" w:rsidRDefault="00000000">
            <w:pPr>
              <w:pStyle w:val="Compact"/>
            </w:pPr>
            <w:r>
              <w:t>Code</w:t>
            </w:r>
          </w:p>
        </w:tc>
        <w:tc>
          <w:tcPr>
            <w:tcW w:w="4428" w:type="dxa"/>
          </w:tcPr>
          <w:p w14:paraId="1951D361" w14:textId="77777777" w:rsidR="00C20C82" w:rsidRDefault="00000000">
            <w:pPr>
              <w:pStyle w:val="Compact"/>
            </w:pPr>
            <w:r>
              <w:t>Operational standard</w:t>
            </w:r>
          </w:p>
        </w:tc>
      </w:tr>
      <w:tr w:rsidR="00C20C82" w14:paraId="23CA0430" w14:textId="77777777" w:rsidTr="00C20C82">
        <w:tc>
          <w:tcPr>
            <w:tcW w:w="4428" w:type="dxa"/>
          </w:tcPr>
          <w:p w14:paraId="37A42203" w14:textId="77777777" w:rsidR="00C20C82" w:rsidRDefault="00000000">
            <w:pPr>
              <w:pStyle w:val="Compact"/>
            </w:pPr>
            <w:r>
              <w:t>✓</w:t>
            </w:r>
          </w:p>
        </w:tc>
        <w:tc>
          <w:tcPr>
            <w:tcW w:w="4428" w:type="dxa"/>
          </w:tcPr>
          <w:p w14:paraId="2EB9AA60" w14:textId="77777777" w:rsidR="00C20C82" w:rsidRDefault="00000000">
            <w:pPr>
              <w:pStyle w:val="Compact"/>
            </w:pPr>
            <w:r>
              <w:t xml:space="preserve">The document describes specific, clear pathways for data deletion and account cancellation (named locations or functions, or a rights-management </w:t>
            </w:r>
            <w:proofErr w:type="spellStart"/>
            <w:r>
              <w:t>centre</w:t>
            </w:r>
            <w:proofErr w:type="spellEnd"/>
            <w:r>
              <w:t>) and states their consequences.</w:t>
            </w:r>
          </w:p>
        </w:tc>
      </w:tr>
      <w:tr w:rsidR="00C20C82" w14:paraId="4DB60BFA" w14:textId="77777777" w:rsidTr="00C20C82">
        <w:tc>
          <w:tcPr>
            <w:tcW w:w="4428" w:type="dxa"/>
          </w:tcPr>
          <w:p w14:paraId="180F5AB7" w14:textId="77777777" w:rsidR="00C20C82" w:rsidRDefault="00000000">
            <w:pPr>
              <w:pStyle w:val="Compact"/>
            </w:pPr>
            <w:r>
              <w:t>○</w:t>
            </w:r>
          </w:p>
        </w:tc>
        <w:tc>
          <w:tcPr>
            <w:tcW w:w="4428" w:type="dxa"/>
          </w:tcPr>
          <w:p w14:paraId="2017D794" w14:textId="77777777" w:rsidR="00C20C82" w:rsidRDefault="00000000">
            <w:pPr>
              <w:pStyle w:val="Compact"/>
            </w:pPr>
            <w:r>
              <w:t>Deletion or account cancellation is mentioned, but (a) only one of the two is described; or (b) the description is generic without a specific pathway; or (c) conditions attached make the right difficult to exercise.</w:t>
            </w:r>
          </w:p>
        </w:tc>
      </w:tr>
      <w:tr w:rsidR="00C20C82" w14:paraId="0B7F6365" w14:textId="77777777" w:rsidTr="00C20C82">
        <w:tc>
          <w:tcPr>
            <w:tcW w:w="4428" w:type="dxa"/>
          </w:tcPr>
          <w:p w14:paraId="5BF64D09" w14:textId="77777777" w:rsidR="00C20C82" w:rsidRDefault="00000000">
            <w:pPr>
              <w:pStyle w:val="Compact"/>
            </w:pPr>
            <w:r>
              <w:t>x</w:t>
            </w:r>
          </w:p>
        </w:tc>
        <w:tc>
          <w:tcPr>
            <w:tcW w:w="4428" w:type="dxa"/>
          </w:tcPr>
          <w:p w14:paraId="12F63C99" w14:textId="77777777" w:rsidR="00C20C82" w:rsidRDefault="00000000">
            <w:pPr>
              <w:pStyle w:val="Compact"/>
            </w:pPr>
            <w:r>
              <w:t>Neither data deletion nor account cancellation is described.</w:t>
            </w:r>
          </w:p>
        </w:tc>
      </w:tr>
    </w:tbl>
    <w:p w14:paraId="3114DACE" w14:textId="77777777" w:rsidR="00C20C82" w:rsidRDefault="00000000">
      <w:pPr>
        <w:pStyle w:val="4"/>
        <w:rPr>
          <w:color w:val="auto"/>
        </w:rPr>
      </w:pPr>
      <w:bookmarkStart w:id="30" w:name="X1b05809c76cb42c4953b28637aefddac8398dd1"/>
      <w:bookmarkEnd w:id="29"/>
      <w:r>
        <w:rPr>
          <w:color w:val="auto"/>
        </w:rPr>
        <w:t>E3. Whether the specific methods for exercising these rights are clearly explained</w:t>
      </w:r>
    </w:p>
    <w:p w14:paraId="081AE4C2" w14:textId="77777777" w:rsidR="00C20C82" w:rsidRDefault="00000000">
      <w:pPr>
        <w:pStyle w:val="FirstParagraph"/>
      </w:pPr>
      <w:r>
        <w:t>The indicator measures whether the agreement clearly conveys the specific methods for exercising the various rights: including contact channels (e.g., in-app support, customer-service email, data-protection-officer contact), the steps for exercising them, and response deadlines (e.g., “a reply within 15 working days”). Where the agreement merely lists rights without specific methods, gives methods for only some rights, or fails to state response deadlines, the indicator is not fully satisfied and is coded ○.</w:t>
      </w:r>
    </w:p>
    <w:p w14:paraId="0AC6AABD" w14:textId="77777777" w:rsidR="00C20C82" w:rsidRDefault="00000000">
      <w:pPr>
        <w:pStyle w:val="a0"/>
      </w:pPr>
      <w:r>
        <w:rPr>
          <w:b/>
          <w:bCs/>
        </w:rPr>
        <w:t>Normative basis.</w:t>
      </w:r>
      <w:r>
        <w:t xml:space="preserve"> Articles 44–50 of the PIPL (the rights and their mechanisms); Article 17 (conspicuous, easy-to-understand notice); GB/T 42574-2023.</w:t>
      </w:r>
    </w:p>
    <w:tbl>
      <w:tblPr>
        <w:tblStyle w:val="Table"/>
        <w:tblW w:w="5000" w:type="pct"/>
        <w:tblInd w:w="0" w:type="dxa"/>
        <w:tblLayout w:type="fixed"/>
        <w:tblLook w:val="04A0" w:firstRow="1" w:lastRow="0" w:firstColumn="1" w:lastColumn="0" w:noHBand="0" w:noVBand="1"/>
      </w:tblPr>
      <w:tblGrid>
        <w:gridCol w:w="4320"/>
        <w:gridCol w:w="4320"/>
      </w:tblGrid>
      <w:tr w:rsidR="00C20C82" w14:paraId="6B370AC9" w14:textId="77777777" w:rsidTr="00C20C82">
        <w:trPr>
          <w:cnfStyle w:val="100000000000" w:firstRow="1" w:lastRow="0" w:firstColumn="0" w:lastColumn="0" w:oddVBand="0" w:evenVBand="0" w:oddHBand="0" w:evenHBand="0" w:firstRowFirstColumn="0" w:firstRowLastColumn="0" w:lastRowFirstColumn="0" w:lastRowLastColumn="0"/>
          <w:tblHeader/>
        </w:trPr>
        <w:tc>
          <w:tcPr>
            <w:tcW w:w="4428" w:type="dxa"/>
          </w:tcPr>
          <w:p w14:paraId="0290DA59" w14:textId="77777777" w:rsidR="00C20C82" w:rsidRDefault="00000000">
            <w:pPr>
              <w:pStyle w:val="Compact"/>
            </w:pPr>
            <w:r>
              <w:t>Code</w:t>
            </w:r>
          </w:p>
        </w:tc>
        <w:tc>
          <w:tcPr>
            <w:tcW w:w="4428" w:type="dxa"/>
          </w:tcPr>
          <w:p w14:paraId="0A1538F7" w14:textId="77777777" w:rsidR="00C20C82" w:rsidRDefault="00000000">
            <w:pPr>
              <w:pStyle w:val="Compact"/>
            </w:pPr>
            <w:r>
              <w:t>Operational standard</w:t>
            </w:r>
          </w:p>
        </w:tc>
      </w:tr>
      <w:tr w:rsidR="00C20C82" w14:paraId="64E18EEA" w14:textId="77777777" w:rsidTr="00C20C82">
        <w:tc>
          <w:tcPr>
            <w:tcW w:w="4428" w:type="dxa"/>
          </w:tcPr>
          <w:p w14:paraId="39A5B48D" w14:textId="77777777" w:rsidR="00C20C82" w:rsidRDefault="00000000">
            <w:pPr>
              <w:pStyle w:val="Compact"/>
            </w:pPr>
            <w:r>
              <w:t>✓</w:t>
            </w:r>
          </w:p>
        </w:tc>
        <w:tc>
          <w:tcPr>
            <w:tcW w:w="4428" w:type="dxa"/>
          </w:tcPr>
          <w:p w14:paraId="250C533A" w14:textId="77777777" w:rsidR="00C20C82" w:rsidRDefault="00000000">
            <w:pPr>
              <w:pStyle w:val="Compact"/>
            </w:pPr>
            <w:r>
              <w:t>The document identifies the methods for exercising rights (contact channels, such as in-app support or a dedicated contact; steps; and response deadlines, such as “within 15 working days”).</w:t>
            </w:r>
          </w:p>
        </w:tc>
      </w:tr>
      <w:tr w:rsidR="00C20C82" w14:paraId="2C686E76" w14:textId="77777777" w:rsidTr="00C20C82">
        <w:tc>
          <w:tcPr>
            <w:tcW w:w="4428" w:type="dxa"/>
          </w:tcPr>
          <w:p w14:paraId="3C34A5B6" w14:textId="77777777" w:rsidR="00C20C82" w:rsidRDefault="00000000">
            <w:pPr>
              <w:pStyle w:val="Compact"/>
            </w:pPr>
            <w:r>
              <w:t>○</w:t>
            </w:r>
          </w:p>
        </w:tc>
        <w:tc>
          <w:tcPr>
            <w:tcW w:w="4428" w:type="dxa"/>
          </w:tcPr>
          <w:p w14:paraId="4AC616E0" w14:textId="77777777" w:rsidR="00C20C82" w:rsidRDefault="00000000">
            <w:pPr>
              <w:pStyle w:val="Compact"/>
            </w:pPr>
            <w:r>
              <w:t>Rights are listed but no specific methods are given; or methods are given for only some rights; or response deadlines are not stated.</w:t>
            </w:r>
          </w:p>
        </w:tc>
      </w:tr>
      <w:tr w:rsidR="00C20C82" w14:paraId="799D2FDD" w14:textId="77777777" w:rsidTr="00C20C82">
        <w:tc>
          <w:tcPr>
            <w:tcW w:w="4428" w:type="dxa"/>
          </w:tcPr>
          <w:p w14:paraId="3D626B9A" w14:textId="77777777" w:rsidR="00C20C82" w:rsidRDefault="00000000">
            <w:pPr>
              <w:pStyle w:val="Compact"/>
            </w:pPr>
            <w:r>
              <w:lastRenderedPageBreak/>
              <w:t>x</w:t>
            </w:r>
          </w:p>
        </w:tc>
        <w:tc>
          <w:tcPr>
            <w:tcW w:w="4428" w:type="dxa"/>
          </w:tcPr>
          <w:p w14:paraId="03C6B868" w14:textId="77777777" w:rsidR="00C20C82" w:rsidRDefault="00000000">
            <w:pPr>
              <w:pStyle w:val="Compact"/>
            </w:pPr>
            <w:r>
              <w:t>No methods for exercising rights are described.</w:t>
            </w:r>
          </w:p>
        </w:tc>
      </w:tr>
    </w:tbl>
    <w:p w14:paraId="1E42396F" w14:textId="77777777" w:rsidR="00C20C82" w:rsidRDefault="00000000">
      <w:pPr>
        <w:pStyle w:val="2"/>
        <w:rPr>
          <w:color w:val="auto"/>
        </w:rPr>
      </w:pPr>
      <w:bookmarkStart w:id="31" w:name="aggregation-rules"/>
      <w:bookmarkEnd w:id="11"/>
      <w:bookmarkEnd w:id="27"/>
      <w:bookmarkEnd w:id="30"/>
      <w:r>
        <w:rPr>
          <w:color w:val="auto"/>
        </w:rPr>
        <w:t>5. Aggregation Rules</w:t>
      </w:r>
    </w:p>
    <w:p w14:paraId="6DA20C72" w14:textId="77777777" w:rsidR="00C20C82" w:rsidRDefault="00000000">
      <w:pPr>
        <w:pStyle w:val="Compact"/>
        <w:numPr>
          <w:ilvl w:val="0"/>
          <w:numId w:val="7"/>
        </w:numPr>
      </w:pPr>
      <w:r>
        <w:t>This framework measures whether archived documents describe specified disclosures, procedures, and mechanisms. It does not comprehensively determine legal compliance, actual implementation, user understanding, voluntariness, or the ethical validity of consent.</w:t>
      </w:r>
    </w:p>
    <w:p w14:paraId="7CC4694C" w14:textId="77777777" w:rsidR="00C20C82" w:rsidRDefault="00000000">
      <w:pPr>
        <w:pStyle w:val="Compact"/>
        <w:numPr>
          <w:ilvl w:val="0"/>
          <w:numId w:val="7"/>
        </w:numPr>
      </w:pPr>
      <w:r>
        <w:t>All 14 indicators are evaluated for each of the 18 device–document cases after case-level applicability review. The Evidence Matrix records 252 distinct applicability reasons. Documentary silence is not used to infer non-occurrence; where the activity is not affirmatively excluded, failure to disclose the required matter is coded x rather than N/A. The denominator for each indicator remains 18.</w:t>
      </w:r>
    </w:p>
    <w:p w14:paraId="16087A6E" w14:textId="77777777" w:rsidR="00C20C82" w:rsidRDefault="00000000">
      <w:pPr>
        <w:pStyle w:val="Compact"/>
        <w:numPr>
          <w:ilvl w:val="0"/>
          <w:numId w:val="7"/>
        </w:numPr>
      </w:pPr>
      <w:r>
        <w:t>Percentages are calculated as (fully compliant cells ÷ 18) × 100. Cells coded ○ (partial coverage) count toward the denominator but not the numerator. Because the indicators are not of equal ethical or legal importance and the framework has not been validated as a composite instrument, no composite “overall compliance rate” is computed across dimensions; results are reported by individual indicator and by dimension, and every percentage is a descriptive summary of coded documentary provisions rather than a validated measure of the quality or validity of informed consent.</w:t>
      </w:r>
      <w:bookmarkEnd w:id="0"/>
      <w:bookmarkEnd w:id="31"/>
    </w:p>
    <w:sectPr w:rsidR="00C20C82">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ED1224" w14:textId="77777777" w:rsidR="00331DC6" w:rsidRDefault="00331DC6">
      <w:pPr>
        <w:spacing w:after="0"/>
      </w:pPr>
      <w:r>
        <w:separator/>
      </w:r>
    </w:p>
  </w:endnote>
  <w:endnote w:type="continuationSeparator" w:id="0">
    <w:p w14:paraId="10968CE9" w14:textId="77777777" w:rsidR="00331DC6" w:rsidRDefault="00331D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w:altName w:val="Segoe UI"/>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Segoe UI Variable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640A52" w14:textId="77777777" w:rsidR="00331DC6" w:rsidRDefault="00331DC6">
      <w:pPr>
        <w:spacing w:after="0"/>
      </w:pPr>
      <w:r>
        <w:separator/>
      </w:r>
    </w:p>
  </w:footnote>
  <w:footnote w:type="continuationSeparator" w:id="0">
    <w:p w14:paraId="7CF58EA7" w14:textId="77777777" w:rsidR="00331DC6" w:rsidRDefault="00331DC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814442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581745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935272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38075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407628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18004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56596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7"/>
  <w:embedSystemFonts/>
  <w:proofState w:spelling="clean" w:grammar="clean"/>
  <w:defaultTabStop w:val="720"/>
  <w:drawingGridHorizontalSpacing w:val="360"/>
  <w:drawingGridVerticalSpacing w:val="360"/>
  <w:noPunctuationKerning/>
  <w:characterSpacingControl w:val="doNotCompress"/>
  <w:footnotePr>
    <w:numRestart w:val="eachSect"/>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C82"/>
    <w:rsid w:val="001D68DF"/>
    <w:rsid w:val="00331DC6"/>
    <w:rsid w:val="00993E98"/>
    <w:rsid w:val="00C20C82"/>
    <w:rsid w:val="05EC5595"/>
    <w:rsid w:val="0C1A2EF9"/>
    <w:rsid w:val="107F763E"/>
    <w:rsid w:val="1F677690"/>
    <w:rsid w:val="4D075C93"/>
    <w:rsid w:val="4DC47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2FDF595"/>
  <w15:docId w15:val="{699E1D03-F4ED-2742-91FC-08153FDCB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caption" w:qFormat="1"/>
    <w:lsdException w:name="footnote reference" w:qFormat="1"/>
    <w:lsdException w:name="Title" w:uiPriority="10" w:qFormat="1"/>
    <w:lsdException w:name="Default Paragraph Font" w:semiHidden="1" w:unhideWhenUsed="1" w:qFormat="1"/>
    <w:lsdException w:name="Body Text" w:qFormat="1"/>
    <w:lsdException w:name="Subtitle" w:uiPriority="11" w:qFormat="1"/>
    <w:lsdException w:name="Date" w:qFormat="1"/>
    <w:lsdException w:name="Block Text" w:uiPriority="9" w:unhideWhenUsed="1" w:qFormat="1"/>
    <w:lsdException w:name="Hyperlink" w:qFormat="1"/>
    <w:lsdException w:name="Strong"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rFonts w:asciiTheme="minorHAnsi" w:eastAsiaTheme="minorEastAsia" w:hAnsiTheme="minorHAnsi" w:cstheme="minorBidi"/>
      <w:sz w:val="24"/>
      <w:szCs w:val="24"/>
    </w:rPr>
  </w:style>
  <w:style w:type="paragraph" w:styleId="1">
    <w:name w:val="heading 1"/>
    <w:basedOn w:val="a"/>
    <w:next w:val="a0"/>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a5">
    <w:name w:val="caption"/>
    <w:basedOn w:val="a"/>
    <w:qFormat/>
    <w:pPr>
      <w:spacing w:after="120"/>
    </w:pPr>
    <w:rPr>
      <w:i/>
    </w:rPr>
  </w:style>
  <w:style w:type="paragraph" w:styleId="a6">
    <w:name w:val="Block Text"/>
    <w:basedOn w:val="a0"/>
    <w:next w:val="a0"/>
    <w:uiPriority w:val="9"/>
    <w:unhideWhenUsed/>
    <w:qFormat/>
    <w:pPr>
      <w:spacing w:before="100" w:after="100"/>
      <w:ind w:left="480" w:right="480"/>
    </w:pPr>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contextualSpacing/>
      <w:jc w:val="center"/>
    </w:pPr>
    <w:rPr>
      <w:rFonts w:asciiTheme="majorHAnsi" w:eastAsiaTheme="majorEastAsia" w:hAnsiTheme="majorHAnsi" w:cstheme="majorBidi"/>
      <w:sz w:val="56"/>
      <w:szCs w:val="56"/>
    </w:rPr>
  </w:style>
  <w:style w:type="paragraph" w:styleId="aa">
    <w:name w:val="Subtitle"/>
    <w:basedOn w:val="a8"/>
    <w:next w:val="a0"/>
    <w:link w:val="ab"/>
    <w:uiPriority w:val="11"/>
    <w:qFormat/>
    <w:rPr>
      <w:spacing w:val="15"/>
      <w:sz w:val="28"/>
      <w:szCs w:val="28"/>
    </w:rPr>
  </w:style>
  <w:style w:type="paragraph" w:styleId="ac">
    <w:name w:val="footnote text"/>
    <w:basedOn w:val="a"/>
    <w:uiPriority w:val="9"/>
    <w:unhideWhenUsed/>
    <w:qFormat/>
  </w:style>
  <w:style w:type="character" w:styleId="ad">
    <w:name w:val="Strong"/>
    <w:basedOn w:val="a1"/>
    <w:qFormat/>
    <w:rPr>
      <w:b/>
    </w:rPr>
  </w:style>
  <w:style w:type="character" w:styleId="ae">
    <w:name w:val="Hyperlink"/>
    <w:basedOn w:val="a4"/>
    <w:qFormat/>
    <w:rPr>
      <w:color w:val="156082" w:themeColor="accent1"/>
    </w:rPr>
  </w:style>
  <w:style w:type="character" w:customStyle="1" w:styleId="a4">
    <w:name w:val="正文文本 字符"/>
    <w:basedOn w:val="a1"/>
    <w:link w:val="a0"/>
    <w:qFormat/>
  </w:style>
  <w:style w:type="character" w:styleId="af">
    <w:name w:val="footnote reference"/>
    <w:basedOn w:val="a4"/>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9">
    <w:name w:val="标题 字符"/>
    <w:basedOn w:val="a1"/>
    <w:link w:val="a8"/>
    <w:uiPriority w:val="10"/>
    <w:qFormat/>
    <w:rPr>
      <w:rFonts w:asciiTheme="majorHAnsi" w:eastAsiaTheme="majorEastAsia" w:hAnsiTheme="majorHAnsi" w:cstheme="majorBidi"/>
      <w:sz w:val="56"/>
      <w:szCs w:val="56"/>
    </w:rPr>
  </w:style>
  <w:style w:type="character" w:customStyle="1" w:styleId="ab">
    <w:name w:val="副标题 字符"/>
    <w:basedOn w:val="a1"/>
    <w:link w:val="aa"/>
    <w:uiPriority w:val="11"/>
    <w:qFormat/>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qFormat/>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qFormat/>
    <w:rPr>
      <w:rFonts w:eastAsiaTheme="majorEastAsia" w:cstheme="majorBidi"/>
      <w:color w:val="0F4761" w:themeColor="accent1" w:themeShade="BF"/>
      <w:sz w:val="28"/>
      <w:szCs w:val="28"/>
    </w:rPr>
  </w:style>
  <w:style w:type="character" w:customStyle="1" w:styleId="40">
    <w:name w:val="标题 4 字符"/>
    <w:basedOn w:val="a1"/>
    <w:link w:val="4"/>
    <w:uiPriority w:val="9"/>
    <w:semiHidden/>
    <w:qFormat/>
    <w:rPr>
      <w:rFonts w:eastAsiaTheme="majorEastAsia" w:cstheme="majorBidi"/>
      <w:i/>
      <w:iCs/>
      <w:color w:val="0F4761" w:themeColor="accent1" w:themeShade="BF"/>
    </w:rPr>
  </w:style>
  <w:style w:type="character" w:customStyle="1" w:styleId="50">
    <w:name w:val="标题 5 字符"/>
    <w:basedOn w:val="a1"/>
    <w:link w:val="5"/>
    <w:uiPriority w:val="9"/>
    <w:semiHidden/>
    <w:qFormat/>
    <w:rPr>
      <w:rFonts w:eastAsiaTheme="majorEastAsia" w:cstheme="majorBidi"/>
      <w:color w:val="0F4761" w:themeColor="accent1" w:themeShade="BF"/>
    </w:rPr>
  </w:style>
  <w:style w:type="character" w:customStyle="1" w:styleId="60">
    <w:name w:val="标题 6 字符"/>
    <w:basedOn w:val="a1"/>
    <w:link w:val="6"/>
    <w:uiPriority w:val="9"/>
    <w:semiHidden/>
    <w:qFormat/>
    <w:rPr>
      <w:rFonts w:eastAsiaTheme="majorEastAsia" w:cstheme="majorBidi"/>
      <w:i/>
      <w:iCs/>
      <w:color w:val="595959" w:themeColor="text1" w:themeTint="A6"/>
    </w:rPr>
  </w:style>
  <w:style w:type="character" w:customStyle="1" w:styleId="70">
    <w:name w:val="标题 7 字符"/>
    <w:basedOn w:val="a1"/>
    <w:link w:val="7"/>
    <w:uiPriority w:val="9"/>
    <w:semiHidden/>
    <w:qFormat/>
    <w:rPr>
      <w:rFonts w:eastAsiaTheme="majorEastAsia" w:cstheme="majorBidi"/>
      <w:color w:val="595959" w:themeColor="text1" w:themeTint="A6"/>
    </w:rPr>
  </w:style>
  <w:style w:type="character" w:customStyle="1" w:styleId="80">
    <w:name w:val="标题 8 字符"/>
    <w:basedOn w:val="a1"/>
    <w:link w:val="8"/>
    <w:uiPriority w:val="9"/>
    <w:semiHidden/>
    <w:qFormat/>
    <w:rPr>
      <w:rFonts w:eastAsiaTheme="majorEastAsia" w:cstheme="majorBidi"/>
      <w:i/>
      <w:iCs/>
      <w:color w:val="272727" w:themeColor="text1" w:themeTint="D8"/>
    </w:rPr>
  </w:style>
  <w:style w:type="character" w:customStyle="1" w:styleId="90">
    <w:name w:val="标题 9 字符"/>
    <w:basedOn w:val="a1"/>
    <w:link w:val="9"/>
    <w:uiPriority w:val="9"/>
    <w:semiHidden/>
    <w:qFormat/>
    <w:rPr>
      <w:rFonts w:eastAsiaTheme="majorEastAsia" w:cstheme="majorBidi"/>
      <w:color w:val="272727" w:themeColor="text1" w:themeTint="D8"/>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5"/>
    <w:qFormat/>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4"/>
    <w:link w:val="SourceCode"/>
    <w:qFormat/>
    <w:rPr>
      <w:rFonts w:ascii="Consolas" w:hAnsi="Consolas"/>
      <w:sz w:val="22"/>
    </w:rPr>
  </w:style>
  <w:style w:type="paragraph" w:customStyle="1" w:styleId="SourceCode">
    <w:name w:val="Source Code"/>
    <w:basedOn w:val="a"/>
    <w:link w:val="VerbatimChar"/>
    <w:qFormat/>
    <w:pPr>
      <w:wordWrap w:val="0"/>
    </w:pPr>
  </w:style>
  <w:style w:type="character" w:customStyle="1" w:styleId="SectionNumber">
    <w:name w:val="Section Number"/>
    <w:basedOn w:val="a4"/>
    <w:qFormat/>
  </w:style>
  <w:style w:type="paragraph" w:customStyle="1" w:styleId="TOC1">
    <w:name w:val="TOC 标题1"/>
    <w:basedOn w:val="1"/>
    <w:next w:val="a0"/>
    <w:uiPriority w:val="39"/>
    <w:unhideWhenUsed/>
    <w:qFormat/>
    <w:pPr>
      <w:spacing w:before="240" w:line="259" w:lineRule="auto"/>
      <w:outlineLvl w:val="9"/>
    </w:p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3870</Words>
  <Characters>22063</Characters>
  <Application>Microsoft Office Word</Application>
  <DocSecurity>0</DocSecurity>
  <Lines>183</Lines>
  <Paragraphs>51</Paragraphs>
  <ScaleCrop>false</ScaleCrop>
  <Company/>
  <LinksUpToDate>false</LinksUpToDate>
  <CharactersWithSpaces>25882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邵滨0837</dc:creator>
  <cp:lastModifiedBy>a67079</cp:lastModifiedBy>
  <cp:revision>2</cp:revision>
  <dcterms:created xsi:type="dcterms:W3CDTF">2026-09-10T02:03:00Z</dcterms:created>
  <dcterms:modified xsi:type="dcterms:W3CDTF">2026-09-10T02:03:00Z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eyJoZGlkIjoiMmE2NWJjMWQxZTY5MTBlZWNlODQ2ZGE0NjJlYTdlMjUiLCJ1c2VySWQiOiIxODIyNDE0NzIwIn0=</vt:lpwstr>
  </property>
  <property fmtid="{D5CDD505-2E9C-101B-9397-08002B2CF9AE}" pid="3" name="KSOProductBuildVer">
    <vt:lpwstr>2052-12.1.0.28043</vt:lpwstr>
  </property>
  <property fmtid="{D5CDD505-2E9C-101B-9397-08002B2CF9AE}" pid="4" name="ICV">
    <vt:lpwstr>93AB95FD07564DA4A11E2E4C4CF92BFB_12</vt:lpwstr>
  </property>
</Properties>
</file>