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48D648" w14:textId="77777777" w:rsidR="00A60C59" w:rsidRDefault="00000000">
      <w:pPr>
        <w:pStyle w:val="a8"/>
      </w:pPr>
      <w:r>
        <w:t>Device and Document Applicability Inventory</w:t>
      </w:r>
    </w:p>
    <w:p w14:paraId="0C5143F4" w14:textId="77777777" w:rsidR="00A60C59" w:rsidRDefault="00000000">
      <w:pPr>
        <w:jc w:val="center"/>
      </w:pPr>
      <w:r>
        <w:t>Manuscript: Safeguarding Informed Consent in the Collection of Personal Health Data by Wearable Smart Devices: An Empirical Study of User Agreements from Chinese Devices</w:t>
      </w:r>
    </w:p>
    <w:p w14:paraId="24A8992C" w14:textId="77777777" w:rsidR="00A60C59" w:rsidRDefault="00000000">
      <w:pPr>
        <w:pStyle w:val="1"/>
      </w:pPr>
      <w:r>
        <w:t>1 Purpose and unit of analysis</w:t>
      </w:r>
    </w:p>
    <w:p w14:paraId="7308E2EE" w14:textId="77777777" w:rsidR="00A60C59" w:rsidRDefault="00000000">
      <w:r>
        <w:t>The primary unit is a device–document case: one wearable device or device category paired with the archived document set used to govern or describe its personal-information processing. The set consists of the available user agreement and/or privacy policy and any incorporated third-party information list. Missing fields are stated explicitly and are not inferred.</w:t>
      </w:r>
    </w:p>
    <w:p w14:paraId="36F6BC46" w14:textId="77777777" w:rsidR="00A60C59" w:rsidRDefault="00000000">
      <w:r>
        <w:t>The final codes and all reported statistics are unchanged. The English auditable Evidence Matrix contains the complete 252 case–indicator applicability reasons. The tables below provide the file-level inventory and a focused audit of D1 and D2, the indicators for which the editor specifically requested independent, activity-based applicability reasoning.</w:t>
      </w:r>
    </w:p>
    <w:p w14:paraId="32A18DFD" w14:textId="77777777" w:rsidR="00A60C59" w:rsidRDefault="00000000">
      <w:pPr>
        <w:pStyle w:val="1"/>
      </w:pPr>
      <w:r>
        <w:t>2 Case identity and governing documents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941"/>
        <w:gridCol w:w="1943"/>
        <w:gridCol w:w="1943"/>
        <w:gridCol w:w="1943"/>
        <w:gridCol w:w="1943"/>
        <w:gridCol w:w="1943"/>
        <w:gridCol w:w="1943"/>
        <w:gridCol w:w="1943"/>
      </w:tblGrid>
      <w:tr w:rsidR="00A60C59" w14:paraId="67F0EE81" w14:textId="77777777">
        <w:trPr>
          <w:tblHeader/>
          <w:jc w:val="center"/>
        </w:trPr>
        <w:tc>
          <w:tcPr>
            <w:tcW w:w="1944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D10477" w14:textId="77777777" w:rsidR="00A60C59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Case</w:t>
            </w:r>
          </w:p>
        </w:tc>
        <w:tc>
          <w:tcPr>
            <w:tcW w:w="1944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A5361A" w14:textId="77777777" w:rsidR="00A60C59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Manufacturer / brand</w:t>
            </w:r>
          </w:p>
        </w:tc>
        <w:tc>
          <w:tcPr>
            <w:tcW w:w="1944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195A70" w14:textId="77777777" w:rsidR="00A60C59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Device / category</w:t>
            </w:r>
          </w:p>
        </w:tc>
        <w:tc>
          <w:tcPr>
            <w:tcW w:w="1944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AF501C" w14:textId="77777777" w:rsidR="00A60C59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Companion application</w:t>
            </w:r>
          </w:p>
        </w:tc>
        <w:tc>
          <w:tcPr>
            <w:tcW w:w="1944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A0F859" w14:textId="77777777" w:rsidR="00A60C59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Policy owner</w:t>
            </w:r>
          </w:p>
        </w:tc>
        <w:tc>
          <w:tcPr>
            <w:tcW w:w="1944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642E52" w14:textId="77777777" w:rsidR="00A60C59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User agreement title</w:t>
            </w:r>
          </w:p>
        </w:tc>
        <w:tc>
          <w:tcPr>
            <w:tcW w:w="1944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51DE46" w14:textId="77777777" w:rsidR="00A60C59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Privacy policy title</w:t>
            </w:r>
          </w:p>
        </w:tc>
        <w:tc>
          <w:tcPr>
            <w:tcW w:w="1944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C8FF25" w14:textId="77777777" w:rsidR="00A60C59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Third-party list</w:t>
            </w:r>
          </w:p>
        </w:tc>
      </w:tr>
      <w:tr w:rsidR="00A60C59" w14:paraId="7F6483EF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FAB052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AG1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4AEB04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Huawei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26DF41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Smartwatch/band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4FA28B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Huawei Health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1B97EC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Huawei Software Technologies Co., Ltd.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A00216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Not separately identified in the archived case set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7CFF86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About Huawei Health and Privacy Statement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63A958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List of Information Shared with Third Parties; Third-party SDK list</w:t>
            </w:r>
          </w:p>
        </w:tc>
      </w:tr>
      <w:tr w:rsidR="00A60C59" w14:paraId="5CA42889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26687A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AG2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82E584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Xiaomi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ABC095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Smartwatch/band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0806D7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Mi Fitness / Xiaomi Fitness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FB69D5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Xiaomi Technology Co., Ltd.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17D04C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Not separately identified in the archived case set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9EA4C3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Mi Fitness Privacy Policy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23ACAB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Mi Fitness App Third-party Data Sharing Statement</w:t>
            </w:r>
          </w:p>
        </w:tc>
      </w:tr>
      <w:tr w:rsidR="00A60C59" w14:paraId="2421F2E6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B3F8BF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AG3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5A7D39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OPPO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82B246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Smartwatch/band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FDF49A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OPPO Health Connect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9DBB99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Guangdong </w:t>
            </w:r>
            <w:proofErr w:type="spellStart"/>
            <w:r>
              <w:rPr>
                <w:rFonts w:ascii="Arial" w:hAnsi="Arial"/>
                <w:sz w:val="13"/>
              </w:rPr>
              <w:t>HeyTap</w:t>
            </w:r>
            <w:proofErr w:type="spellEnd"/>
            <w:r>
              <w:rPr>
                <w:rFonts w:ascii="Arial" w:hAnsi="Arial"/>
                <w:sz w:val="13"/>
              </w:rPr>
              <w:t xml:space="preserve"> Technology Co., Ltd. and affiliates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32959A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Not separately identified in the archived case set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A2178D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OPPO Health Connect Personal Information Protection Policy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6E5790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List of Third-party SDKs; List of Other Third-party Information Sharing</w:t>
            </w:r>
          </w:p>
        </w:tc>
      </w:tr>
      <w:tr w:rsidR="00A60C59" w14:paraId="26EF8E47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703540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AG4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B7B977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vivo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531154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Smartwatch/band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CC8A2D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vivo Health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DD9ED6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Guangdong </w:t>
            </w:r>
            <w:proofErr w:type="spellStart"/>
            <w:r>
              <w:rPr>
                <w:rFonts w:ascii="Arial" w:hAnsi="Arial"/>
                <w:sz w:val="13"/>
              </w:rPr>
              <w:t>Tianchen</w:t>
            </w:r>
            <w:proofErr w:type="spellEnd"/>
            <w:r>
              <w:rPr>
                <w:rFonts w:ascii="Arial" w:hAnsi="Arial"/>
                <w:sz w:val="13"/>
              </w:rPr>
              <w:t xml:space="preserve"> Network Technology Co., Ltd. and affiliates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236451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Not separately identified in the archived case set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CC3277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vivo Health Personal Information Protection Policy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B90486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Third-party SDK table within the policy</w:t>
            </w:r>
          </w:p>
        </w:tc>
      </w:tr>
      <w:tr w:rsidR="00A60C59" w14:paraId="6A42F14D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320E89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AG5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648851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Honor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CE7082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Smartwatch/band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BEDFF9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Honor Health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A34EDE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Shenzhen Honor Software Technologies Co., Ltd.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156B59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Not separately identified in the archived case set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C400DC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Honor Health privacy statement (title not separately displayed in archived text)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61D55B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Honor Health Personal Information Sharing List</w:t>
            </w:r>
          </w:p>
        </w:tc>
      </w:tr>
      <w:tr w:rsidR="00A60C59" w14:paraId="3749FD0F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3010BC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AG6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FEB624" w14:textId="77777777" w:rsidR="00A60C59" w:rsidRDefault="00000000">
            <w:pPr>
              <w:spacing w:after="0"/>
            </w:pPr>
            <w:proofErr w:type="spellStart"/>
            <w:r>
              <w:rPr>
                <w:rFonts w:ascii="Arial" w:hAnsi="Arial"/>
                <w:sz w:val="13"/>
              </w:rPr>
              <w:t>Amazfit</w:t>
            </w:r>
            <w:proofErr w:type="spellEnd"/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9E659C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Smartwatch/band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ACE60B" w14:textId="77777777" w:rsidR="00A60C59" w:rsidRDefault="00000000">
            <w:pPr>
              <w:spacing w:after="0"/>
            </w:pPr>
            <w:proofErr w:type="spellStart"/>
            <w:r>
              <w:rPr>
                <w:rFonts w:ascii="Arial" w:hAnsi="Arial"/>
                <w:sz w:val="13"/>
              </w:rPr>
              <w:t>Amazfit</w:t>
            </w:r>
            <w:proofErr w:type="spellEnd"/>
            <w:r>
              <w:rPr>
                <w:rFonts w:ascii="Arial" w:hAnsi="Arial"/>
                <w:sz w:val="13"/>
              </w:rPr>
              <w:t xml:space="preserve"> Watch App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01FBB4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Anhui </w:t>
            </w:r>
            <w:proofErr w:type="spellStart"/>
            <w:r>
              <w:rPr>
                <w:rFonts w:ascii="Arial" w:hAnsi="Arial"/>
                <w:sz w:val="13"/>
              </w:rPr>
              <w:t>Huami</w:t>
            </w:r>
            <w:proofErr w:type="spellEnd"/>
            <w:r>
              <w:rPr>
                <w:rFonts w:ascii="Arial" w:hAnsi="Arial"/>
                <w:sz w:val="13"/>
              </w:rPr>
              <w:t xml:space="preserve"> Information Technology Co., Ltd.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21FBB5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Not separately identified in the archived case set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C24E5B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Privacy Policy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44DFC9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No separate incorporated list identified; APIs, SDKs and social features are described within the policy</w:t>
            </w:r>
          </w:p>
        </w:tc>
      </w:tr>
      <w:tr w:rsidR="00A60C59" w14:paraId="7A402097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7DF687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AG7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6756DB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Keep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7C0A24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Smartwatch/band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9DE735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Keep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BBDE2D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Beijing Calorie Technology Co., Ltd. and affiliates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476334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Not separately identified in the archived case set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B5894D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Privacy Policy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61066B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Third-party SDK and data-sharing disclosures within the policy</w:t>
            </w:r>
          </w:p>
        </w:tc>
      </w:tr>
      <w:tr w:rsidR="00A60C59" w14:paraId="61A9E254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2F4C60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AG8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91BA97" w14:textId="77777777" w:rsidR="00A60C59" w:rsidRDefault="00000000">
            <w:pPr>
              <w:spacing w:after="0"/>
            </w:pPr>
            <w:proofErr w:type="spellStart"/>
            <w:r>
              <w:rPr>
                <w:rFonts w:ascii="Arial" w:hAnsi="Arial"/>
                <w:sz w:val="13"/>
              </w:rPr>
              <w:t>RingConn</w:t>
            </w:r>
            <w:proofErr w:type="spellEnd"/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B02A24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Smart ring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4D8783" w14:textId="77777777" w:rsidR="00A60C59" w:rsidRDefault="00000000">
            <w:pPr>
              <w:spacing w:after="0"/>
            </w:pPr>
            <w:proofErr w:type="spellStart"/>
            <w:r>
              <w:rPr>
                <w:rFonts w:ascii="Arial" w:hAnsi="Arial"/>
                <w:sz w:val="13"/>
              </w:rPr>
              <w:t>RingConn</w:t>
            </w:r>
            <w:proofErr w:type="spellEnd"/>
            <w:r>
              <w:rPr>
                <w:rFonts w:ascii="Arial" w:hAnsi="Arial"/>
                <w:sz w:val="13"/>
              </w:rPr>
              <w:t xml:space="preserve"> App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547DAA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Shenzhen </w:t>
            </w:r>
            <w:proofErr w:type="spellStart"/>
            <w:r>
              <w:rPr>
                <w:rFonts w:ascii="Arial" w:hAnsi="Arial"/>
                <w:sz w:val="13"/>
              </w:rPr>
              <w:t>Ninenovo</w:t>
            </w:r>
            <w:proofErr w:type="spellEnd"/>
            <w:r>
              <w:rPr>
                <w:rFonts w:ascii="Arial" w:hAnsi="Arial"/>
                <w:sz w:val="13"/>
              </w:rPr>
              <w:t xml:space="preserve"> Technology Limited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65AAC3" w14:textId="77777777" w:rsidR="00A60C59" w:rsidRDefault="00000000">
            <w:pPr>
              <w:spacing w:after="0"/>
            </w:pPr>
            <w:proofErr w:type="spellStart"/>
            <w:r>
              <w:rPr>
                <w:rFonts w:ascii="Arial" w:hAnsi="Arial"/>
                <w:sz w:val="13"/>
              </w:rPr>
              <w:t>RingConn</w:t>
            </w:r>
            <w:proofErr w:type="spellEnd"/>
            <w:r>
              <w:rPr>
                <w:rFonts w:ascii="Arial" w:hAnsi="Arial"/>
                <w:sz w:val="13"/>
              </w:rPr>
              <w:t xml:space="preserve"> Terms of Use is referenced but not separately archived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54EA08" w14:textId="77777777" w:rsidR="00A60C59" w:rsidRDefault="00000000">
            <w:pPr>
              <w:spacing w:after="0"/>
            </w:pPr>
            <w:proofErr w:type="spellStart"/>
            <w:r>
              <w:rPr>
                <w:rFonts w:ascii="Arial" w:hAnsi="Arial"/>
                <w:sz w:val="13"/>
              </w:rPr>
              <w:t>RingConn</w:t>
            </w:r>
            <w:proofErr w:type="spellEnd"/>
            <w:r>
              <w:rPr>
                <w:rFonts w:ascii="Arial" w:hAnsi="Arial"/>
                <w:sz w:val="13"/>
              </w:rPr>
              <w:t xml:space="preserve"> Privacy Policy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A32406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Third-party service/SDK disclosures within the policy; no separate incorporated file identified</w:t>
            </w:r>
          </w:p>
        </w:tc>
      </w:tr>
      <w:tr w:rsidR="00A60C59" w14:paraId="7A48A4D3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5C9CC9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lastRenderedPageBreak/>
              <w:t>AG9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F7B6EA" w14:textId="77777777" w:rsidR="00A60C59" w:rsidRDefault="00000000">
            <w:pPr>
              <w:spacing w:after="0"/>
            </w:pPr>
            <w:proofErr w:type="spellStart"/>
            <w:r>
              <w:rPr>
                <w:rFonts w:ascii="Arial" w:hAnsi="Arial"/>
                <w:sz w:val="13"/>
              </w:rPr>
              <w:t>Dreame</w:t>
            </w:r>
            <w:proofErr w:type="spellEnd"/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311E6D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Smart ring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691956" w14:textId="77777777" w:rsidR="00A60C59" w:rsidRDefault="00000000">
            <w:pPr>
              <w:spacing w:after="0"/>
            </w:pPr>
            <w:proofErr w:type="spellStart"/>
            <w:r>
              <w:rPr>
                <w:rFonts w:ascii="Arial" w:hAnsi="Arial"/>
                <w:sz w:val="13"/>
              </w:rPr>
              <w:t>Dreame</w:t>
            </w:r>
            <w:proofErr w:type="spellEnd"/>
            <w:r>
              <w:rPr>
                <w:rFonts w:ascii="Arial" w:hAnsi="Arial"/>
                <w:sz w:val="13"/>
              </w:rPr>
              <w:t xml:space="preserve"> Health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FDB4A2" w14:textId="77777777" w:rsidR="00A60C59" w:rsidRDefault="00000000">
            <w:pPr>
              <w:spacing w:after="0"/>
            </w:pPr>
            <w:proofErr w:type="spellStart"/>
            <w:r>
              <w:rPr>
                <w:rFonts w:ascii="Arial" w:hAnsi="Arial"/>
                <w:sz w:val="13"/>
              </w:rPr>
              <w:t>Dreametech</w:t>
            </w:r>
            <w:proofErr w:type="spellEnd"/>
            <w:r>
              <w:rPr>
                <w:rFonts w:ascii="Arial" w:hAnsi="Arial"/>
                <w:sz w:val="13"/>
              </w:rPr>
              <w:t xml:space="preserve"> (Suzhou) Co., Ltd., Shenzhen Branch, and affiliates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079421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Not separately identified in the archived case set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CA7156" w14:textId="77777777" w:rsidR="00A60C59" w:rsidRDefault="00000000">
            <w:pPr>
              <w:spacing w:after="0"/>
            </w:pPr>
            <w:proofErr w:type="spellStart"/>
            <w:r>
              <w:rPr>
                <w:rFonts w:ascii="Arial" w:hAnsi="Arial"/>
                <w:sz w:val="13"/>
              </w:rPr>
              <w:t>Dreame</w:t>
            </w:r>
            <w:proofErr w:type="spellEnd"/>
            <w:r>
              <w:rPr>
                <w:rFonts w:ascii="Arial" w:hAnsi="Arial"/>
                <w:sz w:val="13"/>
              </w:rPr>
              <w:t xml:space="preserve"> Health App Privacy Policy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6A9E53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Third-party website/App/SDK provisions within the policy; no separate incorporated list identified</w:t>
            </w:r>
          </w:p>
        </w:tc>
      </w:tr>
      <w:tr w:rsidR="00A60C59" w14:paraId="02ED27AE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E82837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AG10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5B9FAC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Meizu (MYVU)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094D39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Smart ring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E43EFA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MYVU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50CA4B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Hubei </w:t>
            </w:r>
            <w:proofErr w:type="spellStart"/>
            <w:r>
              <w:rPr>
                <w:rFonts w:ascii="Arial" w:hAnsi="Arial"/>
                <w:sz w:val="13"/>
              </w:rPr>
              <w:t>Xingji</w:t>
            </w:r>
            <w:proofErr w:type="spellEnd"/>
            <w:r>
              <w:rPr>
                <w:rFonts w:ascii="Arial" w:hAnsi="Arial"/>
                <w:sz w:val="13"/>
              </w:rPr>
              <w:t xml:space="preserve"> Meizu Network Technology Co., Ltd. and affiliates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6D9867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Not separately identified in the archived case set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7C9CAF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MYVU Privacy Policy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93A350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Personal Information Collection List; Third-party Information Sharing List</w:t>
            </w:r>
          </w:p>
        </w:tc>
      </w:tr>
      <w:tr w:rsidR="00A60C59" w14:paraId="1A89796F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17FC1A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AG11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2F4CA3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Black Shark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9BD5DE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Smart ring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687885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Not identified in the archived case set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E45C1C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Nanchang Black Shark Technology Co., Ltd. and affiliates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AE7730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Not separately identified in the archived case set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1F3E30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Black Shark Privacy Policy (general policy)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A1716F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Selected third-party service/SDK disclosures within the policy; no complete separate list identified</w:t>
            </w:r>
          </w:p>
        </w:tc>
      </w:tr>
      <w:tr w:rsidR="00A60C59" w14:paraId="409E6DC5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044897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AG12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619FF5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Lenovo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426D0F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Smartwatch/band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5E9BAA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Product-specific Lenovo/Motorola applications described in policy; no single companion App identified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86799C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Lenovo and Motorola Mobility LLC affiliates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F43FFE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Not separately identified in the archived case set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47E9CF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Lenovo Products Privacy Statement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E191AD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No unified incorporated list identified; named third-party services are described within the statement</w:t>
            </w:r>
          </w:p>
        </w:tc>
      </w:tr>
      <w:tr w:rsidR="00A60C59" w14:paraId="2BE9380F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E5E2D4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AG13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3BA4B3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Baidu (</w:t>
            </w:r>
            <w:proofErr w:type="spellStart"/>
            <w:r>
              <w:rPr>
                <w:rFonts w:ascii="Arial" w:hAnsi="Arial"/>
                <w:sz w:val="13"/>
              </w:rPr>
              <w:t>Xiaodu</w:t>
            </w:r>
            <w:proofErr w:type="spellEnd"/>
            <w:r>
              <w:rPr>
                <w:rFonts w:ascii="Arial" w:hAnsi="Arial"/>
                <w:sz w:val="13"/>
              </w:rPr>
              <w:t>)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2A3E04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Smartwatch/band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9A1B3C" w14:textId="77777777" w:rsidR="00A60C59" w:rsidRDefault="00000000">
            <w:pPr>
              <w:spacing w:after="0"/>
            </w:pPr>
            <w:proofErr w:type="spellStart"/>
            <w:r>
              <w:rPr>
                <w:rFonts w:ascii="Arial" w:hAnsi="Arial"/>
                <w:sz w:val="13"/>
              </w:rPr>
              <w:t>Xiaodu</w:t>
            </w:r>
            <w:proofErr w:type="spellEnd"/>
            <w:r>
              <w:rPr>
                <w:rFonts w:ascii="Arial" w:hAnsi="Arial"/>
                <w:sz w:val="13"/>
              </w:rPr>
              <w:t xml:space="preserve"> App / </w:t>
            </w:r>
            <w:proofErr w:type="spellStart"/>
            <w:r>
              <w:rPr>
                <w:rFonts w:ascii="Arial" w:hAnsi="Arial"/>
                <w:sz w:val="13"/>
              </w:rPr>
              <w:t>DuerOS</w:t>
            </w:r>
            <w:proofErr w:type="spellEnd"/>
            <w:r>
              <w:rPr>
                <w:rFonts w:ascii="Arial" w:hAnsi="Arial"/>
                <w:sz w:val="13"/>
              </w:rPr>
              <w:t xml:space="preserve"> services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13A956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Shanghai </w:t>
            </w:r>
            <w:proofErr w:type="spellStart"/>
            <w:r>
              <w:rPr>
                <w:rFonts w:ascii="Arial" w:hAnsi="Arial"/>
                <w:sz w:val="13"/>
              </w:rPr>
              <w:t>Xiaodu</w:t>
            </w:r>
            <w:proofErr w:type="spellEnd"/>
            <w:r>
              <w:rPr>
                <w:rFonts w:ascii="Arial" w:hAnsi="Arial"/>
                <w:sz w:val="13"/>
              </w:rPr>
              <w:t xml:space="preserve"> Artificial Intelligence Co., Ltd. and affiliates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54083C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Not separately identified in the archived case set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CC9DEA" w14:textId="77777777" w:rsidR="00A60C59" w:rsidRDefault="00000000">
            <w:pPr>
              <w:spacing w:after="0"/>
            </w:pPr>
            <w:proofErr w:type="spellStart"/>
            <w:r>
              <w:rPr>
                <w:rFonts w:ascii="Arial" w:hAnsi="Arial"/>
                <w:sz w:val="13"/>
              </w:rPr>
              <w:t>DuerOS</w:t>
            </w:r>
            <w:proofErr w:type="spellEnd"/>
            <w:r>
              <w:rPr>
                <w:rFonts w:ascii="Arial" w:hAnsi="Arial"/>
                <w:sz w:val="13"/>
              </w:rPr>
              <w:t xml:space="preserve"> Privacy Policy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D31C15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Third-party SDK section within the policy; no complete separate list archived</w:t>
            </w:r>
          </w:p>
        </w:tc>
      </w:tr>
      <w:tr w:rsidR="00A60C59" w14:paraId="4FCED582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18568A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AG14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BCC3BA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Huawei Audio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AD7701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Smart earbuds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BB69A9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Huawei Smart Audio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D13B75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Huawei Software Technologies Co., Ltd.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E2C0C8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Not separately identified in the archived case set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0AAB3A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Huawei Smart Audio Privacy Statement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577921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No third-party information list identified in the archived case set</w:t>
            </w:r>
          </w:p>
        </w:tc>
      </w:tr>
      <w:tr w:rsidR="00A60C59" w14:paraId="4601B534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E1B311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AG15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9F8106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Edifier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258198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Smart earbuds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E989D3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Edifier Connect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5922D2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Beijing Edifier Technology Co., Ltd.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998A7D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Not separately identified in the archived case set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6299B9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Edifier Connect Privacy Policy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B056E0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SDK disclosures within the policy (WeChat, QQ, </w:t>
            </w:r>
            <w:proofErr w:type="spellStart"/>
            <w:r>
              <w:rPr>
                <w:rFonts w:ascii="Arial" w:hAnsi="Arial"/>
                <w:sz w:val="13"/>
              </w:rPr>
              <w:t>Umeng</w:t>
            </w:r>
            <w:proofErr w:type="spellEnd"/>
            <w:r>
              <w:rPr>
                <w:rFonts w:ascii="Arial" w:hAnsi="Arial"/>
                <w:sz w:val="13"/>
              </w:rPr>
              <w:t xml:space="preserve">, Baidu Analytics, TBS, </w:t>
            </w:r>
            <w:proofErr w:type="spellStart"/>
            <w:r>
              <w:rPr>
                <w:rFonts w:ascii="Arial" w:hAnsi="Arial"/>
                <w:sz w:val="13"/>
              </w:rPr>
              <w:t>Bugly</w:t>
            </w:r>
            <w:proofErr w:type="spellEnd"/>
            <w:r>
              <w:rPr>
                <w:rFonts w:ascii="Arial" w:hAnsi="Arial"/>
                <w:sz w:val="13"/>
              </w:rPr>
              <w:t>)</w:t>
            </w:r>
          </w:p>
        </w:tc>
      </w:tr>
      <w:tr w:rsidR="00A60C59" w14:paraId="6ED46507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915FF6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AG16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1B3290" w14:textId="77777777" w:rsidR="00A60C59" w:rsidRDefault="00000000">
            <w:pPr>
              <w:spacing w:after="0"/>
            </w:pPr>
            <w:proofErr w:type="spellStart"/>
            <w:r>
              <w:rPr>
                <w:rFonts w:ascii="Arial" w:hAnsi="Arial"/>
                <w:sz w:val="13"/>
              </w:rPr>
              <w:t>Shokzhear</w:t>
            </w:r>
            <w:proofErr w:type="spellEnd"/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6FA21F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Smart earbuds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AB30A5" w14:textId="77777777" w:rsidR="00A60C59" w:rsidRDefault="00000000">
            <w:pPr>
              <w:spacing w:after="0"/>
            </w:pPr>
            <w:proofErr w:type="spellStart"/>
            <w:r>
              <w:rPr>
                <w:rFonts w:ascii="Arial" w:hAnsi="Arial"/>
                <w:sz w:val="13"/>
              </w:rPr>
              <w:t>Shokz</w:t>
            </w:r>
            <w:proofErr w:type="spellEnd"/>
            <w:r>
              <w:rPr>
                <w:rFonts w:ascii="Arial" w:hAnsi="Arial"/>
                <w:sz w:val="13"/>
              </w:rPr>
              <w:t xml:space="preserve"> App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75D1F5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Shenzhen </w:t>
            </w:r>
            <w:proofErr w:type="spellStart"/>
            <w:r>
              <w:rPr>
                <w:rFonts w:ascii="Arial" w:hAnsi="Arial"/>
                <w:sz w:val="13"/>
              </w:rPr>
              <w:t>Shokz</w:t>
            </w:r>
            <w:proofErr w:type="spellEnd"/>
            <w:r>
              <w:rPr>
                <w:rFonts w:ascii="Arial" w:hAnsi="Arial"/>
                <w:sz w:val="13"/>
              </w:rPr>
              <w:t xml:space="preserve"> Technology Co., Ltd.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045756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Not separately identified in the archived case set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97329D" w14:textId="77777777" w:rsidR="00A60C59" w:rsidRDefault="00000000">
            <w:pPr>
              <w:spacing w:after="0"/>
            </w:pPr>
            <w:proofErr w:type="spellStart"/>
            <w:r>
              <w:rPr>
                <w:rFonts w:ascii="Arial" w:hAnsi="Arial"/>
                <w:sz w:val="13"/>
              </w:rPr>
              <w:t>Shokz</w:t>
            </w:r>
            <w:proofErr w:type="spellEnd"/>
            <w:r>
              <w:rPr>
                <w:rFonts w:ascii="Arial" w:hAnsi="Arial"/>
                <w:sz w:val="13"/>
              </w:rPr>
              <w:t xml:space="preserve"> App Privacy Policy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7DAFF7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List of Personal Information Shared with Third Parties is referenced but not separately archived</w:t>
            </w:r>
          </w:p>
        </w:tc>
      </w:tr>
      <w:tr w:rsidR="00A60C59" w14:paraId="25AF730D" w14:textId="77777777">
        <w:trPr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34B6A0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AG17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4F0658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QCY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B33F3A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Smartwatch/band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8D6512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QCY App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6B2495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 xml:space="preserve">Dongguan Hele Electronics Co., Ltd. and Guangxi </w:t>
            </w:r>
            <w:proofErr w:type="spellStart"/>
            <w:r>
              <w:rPr>
                <w:rFonts w:ascii="Arial" w:hAnsi="Arial"/>
                <w:sz w:val="13"/>
              </w:rPr>
              <w:t>Hesheng</w:t>
            </w:r>
            <w:proofErr w:type="spellEnd"/>
            <w:r>
              <w:rPr>
                <w:rFonts w:ascii="Arial" w:hAnsi="Arial"/>
                <w:sz w:val="13"/>
              </w:rPr>
              <w:t xml:space="preserve"> Electronics Co., Ltd.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670EB7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Not separately identified in the archived case set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AC713B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Privacy Policy</w:t>
            </w:r>
          </w:p>
        </w:tc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809A63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Third-party SDK list within the policy</w:t>
            </w:r>
          </w:p>
        </w:tc>
      </w:tr>
      <w:tr w:rsidR="00A60C59" w14:paraId="218A3D9C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DD7E35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AG18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3F91D9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EARWEISS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CAD619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Smart earbuds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8453A0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听智慧耳机</w:t>
            </w:r>
            <w:r>
              <w:rPr>
                <w:rFonts w:ascii="Arial" w:hAnsi="Arial"/>
                <w:sz w:val="13"/>
              </w:rPr>
              <w:t xml:space="preserve"> App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88F31A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听智慧（南京）科技有限公司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E2D4FB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Not separately identified in the archived case set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11854A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Privacy Policy</w:t>
            </w:r>
          </w:p>
        </w:tc>
        <w:tc>
          <w:tcPr>
            <w:tcW w:w="1944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333523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3"/>
              </w:rPr>
              <w:t>Third-party SDK list within the policy</w:t>
            </w:r>
          </w:p>
        </w:tc>
      </w:tr>
    </w:tbl>
    <w:p w14:paraId="4F6A3E7F" w14:textId="77777777" w:rsidR="00A60C59" w:rsidRDefault="00000000">
      <w:r>
        <w:br w:type="page"/>
      </w:r>
    </w:p>
    <w:p w14:paraId="39EC6A26" w14:textId="77777777" w:rsidR="00A60C59" w:rsidRDefault="00000000">
      <w:pPr>
        <w:pStyle w:val="1"/>
      </w:pPr>
      <w:r>
        <w:t>3 Version source archive and independence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46"/>
        <w:gridCol w:w="1094"/>
        <w:gridCol w:w="550"/>
        <w:gridCol w:w="612"/>
        <w:gridCol w:w="3961"/>
        <w:gridCol w:w="3197"/>
        <w:gridCol w:w="3618"/>
        <w:gridCol w:w="1057"/>
        <w:gridCol w:w="1007"/>
      </w:tblGrid>
      <w:tr w:rsidR="00A60C59" w14:paraId="688D538E" w14:textId="77777777">
        <w:trPr>
          <w:tblHeader/>
          <w:jc w:val="center"/>
        </w:trPr>
        <w:tc>
          <w:tcPr>
            <w:tcW w:w="17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B10FBE" w14:textId="77777777" w:rsidR="00A60C59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2"/>
              </w:rPr>
              <w:t>Case</w:t>
            </w:r>
          </w:p>
        </w:tc>
        <w:tc>
          <w:tcPr>
            <w:tcW w:w="17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B5C0FE" w14:textId="77777777" w:rsidR="00A60C59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2"/>
              </w:rPr>
              <w:t>Version / effective date</w:t>
            </w:r>
          </w:p>
        </w:tc>
        <w:tc>
          <w:tcPr>
            <w:tcW w:w="17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B9A95C" w14:textId="77777777" w:rsidR="00A60C59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2"/>
              </w:rPr>
              <w:t>Access date</w:t>
            </w:r>
          </w:p>
        </w:tc>
        <w:tc>
          <w:tcPr>
            <w:tcW w:w="17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A32D80" w14:textId="77777777" w:rsidR="00A60C59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2"/>
              </w:rPr>
              <w:t>Channel</w:t>
            </w:r>
          </w:p>
        </w:tc>
        <w:tc>
          <w:tcPr>
            <w:tcW w:w="17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1563BC" w14:textId="77777777" w:rsidR="00A60C59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2"/>
              </w:rPr>
              <w:t>Source</w:t>
            </w:r>
          </w:p>
        </w:tc>
        <w:tc>
          <w:tcPr>
            <w:tcW w:w="17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A01424" w14:textId="77777777" w:rsidR="00A60C59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2"/>
              </w:rPr>
              <w:t>Archived text</w:t>
            </w:r>
          </w:p>
        </w:tc>
        <w:tc>
          <w:tcPr>
            <w:tcW w:w="17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3171B0" w14:textId="77777777" w:rsidR="00A60C59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2"/>
              </w:rPr>
              <w:t>Original source</w:t>
            </w:r>
          </w:p>
        </w:tc>
        <w:tc>
          <w:tcPr>
            <w:tcW w:w="17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E320CB" w14:textId="77777777" w:rsidR="00A60C59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2"/>
              </w:rPr>
              <w:t>Other sampled devices</w:t>
            </w:r>
          </w:p>
        </w:tc>
        <w:tc>
          <w:tcPr>
            <w:tcW w:w="17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6DB38A" w14:textId="77777777" w:rsidR="00A60C59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2"/>
              </w:rPr>
              <w:t>Independence rationale</w:t>
            </w:r>
          </w:p>
        </w:tc>
      </w:tr>
      <w:tr w:rsidR="00A60C59" w14:paraId="14744B1D" w14:textId="77777777">
        <w:trPr>
          <w:jc w:val="center"/>
        </w:trPr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CB55AF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AG1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A2DEE8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11 August 2025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4E5D4B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5 August 2026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5DFF7B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Official webpage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1EE77A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https://privacy-drcn.dbankcdn.cn/agreement/scope/huawei/health/privacy-statement/cn_b0_20250820_0/default/privacy-statement-zh-cn.htm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A30C56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01_markdown_texts/AG01_Huawei_privacy_policy.md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1D10FE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02_original_policy_files/AG01_Huawei_source_document.docx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219A45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May govern multiple Huawei Health-compatible watch/band models; no other sampled case uses this document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28132B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One document set is counted once within the smartwatch/band category; AG14 uses a different audio-device document.</w:t>
            </w:r>
          </w:p>
        </w:tc>
      </w:tr>
      <w:tr w:rsidR="00A60C59" w14:paraId="3EFA0E6A" w14:textId="77777777">
        <w:trPr>
          <w:jc w:val="center"/>
        </w:trPr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725FFE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AG2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D95F8D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14 May 2026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337A9D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5 August 2026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F3C36F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Official webpage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9D5077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https://watch.iot.mi.com/html/privacy/index.html?model=app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24C897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01_markdown_texts/AG02_Xiaomi_privacy_policy.md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2FF6C9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02_original_policy_files/AG02_Xiaomi_source_document.docx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1B641E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May govern multiple compatible wearable models; no other sampled case uses this document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DCDC3F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The shared policy is represented once as AG2.</w:t>
            </w:r>
          </w:p>
        </w:tc>
      </w:tr>
      <w:tr w:rsidR="00A60C59" w14:paraId="14C4581A" w14:textId="77777777">
        <w:trPr>
          <w:jc w:val="center"/>
        </w:trPr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07D4D2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AG3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7C4DBD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26 February 2026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BF1024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5 August 2026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DB3607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Official webpage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B49B9C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https://connect.oppo.com/privacy/OPPOHealthConnectPrivacy.html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C28D43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01_markdown_texts/AG03_OPPO_privacy_policy.md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B1F1CC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02_original_policy_files/AG03_OPPO_source_document.docx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95EA42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May govern OPPO Health Connect-compatible phones/watches; no other sampled case uses this document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48ED4B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The policy is counted once for this device category and application.</w:t>
            </w:r>
          </w:p>
        </w:tc>
      </w:tr>
      <w:tr w:rsidR="00A60C59" w14:paraId="54B48343" w14:textId="77777777">
        <w:trPr>
          <w:jc w:val="center"/>
        </w:trPr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7488AE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AG4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AC4DA2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27 June 2025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2B1232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5 August 2026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65F9E7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Official webpage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3108C7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https://health-h5.vivo.com.cn/doc/v5.0/privacy.html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2AAFDC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01_markdown_texts/AG04_vivo_privacy_policy.md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A93E40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02_original_policy_files/AG04_vivo_source_document.docx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C5E0FB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May govern multiple vivo Health-compatible models; no other sampled case uses this document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55052E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The shared policy is represented once as AG4.</w:t>
            </w:r>
          </w:p>
        </w:tc>
      </w:tr>
      <w:tr w:rsidR="00A60C59" w14:paraId="68C7FDA9" w14:textId="77777777">
        <w:trPr>
          <w:jc w:val="center"/>
        </w:trPr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1C7B1B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AG5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AB8583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30 July 2026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2DD019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5 August 2026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95434C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Official webpage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4389E2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https://agreement.itsec.hihonor.com/asm/agrFile/getHtmlFile?agrNo=1070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0D83AF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01_markdown_texts/AG05_Honor_privacy_policy.md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81AF95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02_original_policy_files/AG05_Honor_source_document.docx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39CD41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May govern multiple Honor Health-compatible devices; no other sampled case uses this document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84268F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The shared statement is represented once as AG5.</w:t>
            </w:r>
          </w:p>
        </w:tc>
      </w:tr>
      <w:tr w:rsidR="00A60C59" w14:paraId="5A425BC7" w14:textId="77777777">
        <w:trPr>
          <w:jc w:val="center"/>
        </w:trPr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5B21B3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AG6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28A525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Effective 3 June 2019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546377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5 August 2026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78C311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Official webpage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E04029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https://in.amazfit.com/pages/privacy-policy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0A4EB1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01_markdown_texts/AG06_Amazfit_privacy_policy.md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79C86C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02_original_policy_files/AG06_Amazfit_source_document.docx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0AB532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Applies across listed </w:t>
            </w:r>
            <w:proofErr w:type="spellStart"/>
            <w:r>
              <w:rPr>
                <w:rFonts w:ascii="Arial" w:hAnsi="Arial"/>
                <w:sz w:val="12"/>
              </w:rPr>
              <w:t>Huami</w:t>
            </w:r>
            <w:proofErr w:type="spellEnd"/>
            <w:r>
              <w:rPr>
                <w:rFonts w:ascii="Arial" w:hAnsi="Arial"/>
                <w:sz w:val="12"/>
              </w:rPr>
              <w:t>/</w:t>
            </w:r>
            <w:proofErr w:type="spellStart"/>
            <w:r>
              <w:rPr>
                <w:rFonts w:ascii="Arial" w:hAnsi="Arial"/>
                <w:sz w:val="12"/>
              </w:rPr>
              <w:t>Amazfit</w:t>
            </w:r>
            <w:proofErr w:type="spellEnd"/>
            <w:r>
              <w:rPr>
                <w:rFonts w:ascii="Arial" w:hAnsi="Arial"/>
                <w:sz w:val="12"/>
              </w:rPr>
              <w:t xml:space="preserve"> products and services; no other sampled case uses this document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D61077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The broad policy is represented once; conclusions are limited to the archived text.</w:t>
            </w:r>
          </w:p>
        </w:tc>
      </w:tr>
      <w:tr w:rsidR="00A60C59" w14:paraId="29F24ECA" w14:textId="77777777">
        <w:trPr>
          <w:jc w:val="center"/>
        </w:trPr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C7C420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AG7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BBC982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Updated 3 August 2026; effective 5 August 2026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2E3774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5 August 2026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120B98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Official webpage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53B7BB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https://agreement-drcn.hispace.dbankcloud.cn/index.html?lang=zh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BC8854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01_markdown_texts/AG07_Keep_privacy_policy.md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C6E10D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02_original_policy_files/AG07_Keep_source_document.pdf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B45DCE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Covers Keep web/App and supported hardware; no other sampled case uses this </w:t>
            </w:r>
            <w:r>
              <w:rPr>
                <w:rFonts w:ascii="Arial" w:hAnsi="Arial"/>
                <w:sz w:val="12"/>
              </w:rPr>
              <w:lastRenderedPageBreak/>
              <w:t>document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7F7682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lastRenderedPageBreak/>
              <w:t>The policy is represented once as AG7.</w:t>
            </w:r>
          </w:p>
        </w:tc>
      </w:tr>
      <w:tr w:rsidR="00A60C59" w14:paraId="433EA7ED" w14:textId="77777777">
        <w:trPr>
          <w:jc w:val="center"/>
        </w:trPr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C57512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AG8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291DA3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8 April 2026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62D7D8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5 August 2026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FF6D4E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Official webpage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11427F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https://app.gdjztech.com/ringconn/h5/index.html#/privacy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30D109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01_markdown_texts/AG08_RingConn_privacy_policy.md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D02A60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02_original_policy_files/AG08_RingConn_source_document.docx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F67220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Covers </w:t>
            </w:r>
            <w:proofErr w:type="spellStart"/>
            <w:r>
              <w:rPr>
                <w:rFonts w:ascii="Arial" w:hAnsi="Arial"/>
                <w:sz w:val="12"/>
              </w:rPr>
              <w:t>RingConn</w:t>
            </w:r>
            <w:proofErr w:type="spellEnd"/>
            <w:r>
              <w:rPr>
                <w:rFonts w:ascii="Arial" w:hAnsi="Arial"/>
                <w:sz w:val="12"/>
              </w:rPr>
              <w:t xml:space="preserve"> devices and services; no other sampled case uses this document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8519E1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The policy is represented once as AG8.</w:t>
            </w:r>
          </w:p>
        </w:tc>
      </w:tr>
      <w:tr w:rsidR="00A60C59" w14:paraId="5EF33B85" w14:textId="77777777">
        <w:trPr>
          <w:jc w:val="center"/>
        </w:trPr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BD0B1C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AG9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600D1C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Updated 6 July 2026; effective 13 July 2026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E3C025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5 August 2026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4EFE2B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Official webpage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799057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https://protocol.dreame.tech/p2177/zh/general_privacyPolicy.html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A30F7B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01_markdown_texts/AG09_Dreame_privacy_policy.md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95AC29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02_original_policy_files/AG09_Dreame_source_document.docx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FA8FDE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May cover multiple </w:t>
            </w:r>
            <w:proofErr w:type="spellStart"/>
            <w:r>
              <w:rPr>
                <w:rFonts w:ascii="Arial" w:hAnsi="Arial"/>
                <w:sz w:val="12"/>
              </w:rPr>
              <w:t>Dreame</w:t>
            </w:r>
            <w:proofErr w:type="spellEnd"/>
            <w:r>
              <w:rPr>
                <w:rFonts w:ascii="Arial" w:hAnsi="Arial"/>
                <w:sz w:val="12"/>
              </w:rPr>
              <w:t xml:space="preserve"> Health-supported models; no other sampled case uses this document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6DEB93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The policy is represented once as AG9.</w:t>
            </w:r>
          </w:p>
        </w:tc>
      </w:tr>
      <w:tr w:rsidR="00A60C59" w14:paraId="07641F8A" w14:textId="77777777">
        <w:trPr>
          <w:jc w:val="center"/>
        </w:trPr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3F4458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AG10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2DB470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Version 1.17; updated/effective 10 January 2025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703009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5 August 2026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EFB324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Official webpage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B85F2A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https://static.meizu.com/resources/term/privacy8.html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27CE77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01_markdown_texts/AG10_Meizu_MYVU_privacy_policy.md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28569D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02_original_policy_files/AG10_Meizu_MYVU_source_document.pdf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8FA565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Covers MYVU services and supported wearable devices; no other sampled case uses this document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C8F4CD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The MYVU policy is represented once as AG10.</w:t>
            </w:r>
          </w:p>
        </w:tc>
      </w:tr>
      <w:tr w:rsidR="00A60C59" w14:paraId="66D1CFC8" w14:textId="77777777">
        <w:trPr>
          <w:jc w:val="center"/>
        </w:trPr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1A940D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AG11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AE82ED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Updated 4 September 2019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E18D85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5 August 2026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FF15D7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Official webpage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F58983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https://miui.blackshark.com/res/doc/privacy.html?lang=zh_CN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A9271B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01_markdown_texts/AG11_Black_Shark_privacy_policy.md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4DF959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02_original_policy_files/AG11_Black_Shark_source_document.docx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638A32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General policy may apply across Black Shark products; no other sampled case uses this document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B98937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The general policy is represented </w:t>
            </w:r>
            <w:proofErr w:type="gramStart"/>
            <w:r>
              <w:rPr>
                <w:rFonts w:ascii="Arial" w:hAnsi="Arial"/>
                <w:sz w:val="12"/>
              </w:rPr>
              <w:t>once</w:t>
            </w:r>
            <w:proofErr w:type="gramEnd"/>
            <w:r>
              <w:rPr>
                <w:rFonts w:ascii="Arial" w:hAnsi="Arial"/>
                <w:sz w:val="12"/>
              </w:rPr>
              <w:t xml:space="preserve"> and the limitation is recorded; no duplicate Black Shark case is included.</w:t>
            </w:r>
          </w:p>
        </w:tc>
      </w:tr>
      <w:tr w:rsidR="00A60C59" w14:paraId="531BB3E6" w14:textId="77777777">
        <w:trPr>
          <w:jc w:val="center"/>
        </w:trPr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1D0C77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AG12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73FEC7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Updated 21 August 2025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02186B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5 August 2026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6FB1F0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Official webpage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0A21B2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https://privacy.lenovo.com.cn/products/ae486ba7ff924c91.html?external=true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BB9DE1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01_markdown_texts/AG12_Lenovo_privacy_policy.md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A49004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02_original_policy_files/AG12_Lenovo_source_document.docx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35A3AC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Broad statement covers multiple Lenovo products/services; no other sampled case uses this document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D4DC7D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The broad statement is represented </w:t>
            </w:r>
            <w:proofErr w:type="gramStart"/>
            <w:r>
              <w:rPr>
                <w:rFonts w:ascii="Arial" w:hAnsi="Arial"/>
                <w:sz w:val="12"/>
              </w:rPr>
              <w:t>once</w:t>
            </w:r>
            <w:proofErr w:type="gramEnd"/>
            <w:r>
              <w:rPr>
                <w:rFonts w:ascii="Arial" w:hAnsi="Arial"/>
                <w:sz w:val="12"/>
              </w:rPr>
              <w:t xml:space="preserve"> and findings are confined to its documented provisions.</w:t>
            </w:r>
          </w:p>
        </w:tc>
      </w:tr>
      <w:tr w:rsidR="00A60C59" w14:paraId="340DE2B7" w14:textId="77777777">
        <w:trPr>
          <w:jc w:val="center"/>
        </w:trPr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D16E92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AG13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8BC615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Updated 7 January 2026; effective 14 January 2026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3AF4D0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5 August 2026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CE9997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Official webpage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E72161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https://xiaodu.baidu.com/webssr/protocol?id=f9fb105e-d4b4-4953-a5a3-744f835dff65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F852D1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01_markdown_texts/AG13_Baidu_Xiaodu_privacy_policy.md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8DE7D4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02_original_policy_files/AG13_Baidu_Xiaodu_source_document.md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0389EE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Broad policy covers multiple </w:t>
            </w:r>
            <w:proofErr w:type="spellStart"/>
            <w:r>
              <w:rPr>
                <w:rFonts w:ascii="Arial" w:hAnsi="Arial"/>
                <w:sz w:val="12"/>
              </w:rPr>
              <w:t>DuerOS</w:t>
            </w:r>
            <w:proofErr w:type="spellEnd"/>
            <w:r>
              <w:rPr>
                <w:rFonts w:ascii="Arial" w:hAnsi="Arial"/>
                <w:sz w:val="12"/>
              </w:rPr>
              <w:t xml:space="preserve"> clients and devices; no other sampled case uses this document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CF481B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The policy is represented </w:t>
            </w:r>
            <w:proofErr w:type="gramStart"/>
            <w:r>
              <w:rPr>
                <w:rFonts w:ascii="Arial" w:hAnsi="Arial"/>
                <w:sz w:val="12"/>
              </w:rPr>
              <w:t>once</w:t>
            </w:r>
            <w:proofErr w:type="gramEnd"/>
            <w:r>
              <w:rPr>
                <w:rFonts w:ascii="Arial" w:hAnsi="Arial"/>
                <w:sz w:val="12"/>
              </w:rPr>
              <w:t xml:space="preserve"> and findings are limited to the archived document.</w:t>
            </w:r>
          </w:p>
        </w:tc>
      </w:tr>
      <w:tr w:rsidR="00A60C59" w14:paraId="13FD3D68" w14:textId="77777777">
        <w:trPr>
          <w:jc w:val="center"/>
        </w:trPr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BF5515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AG14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2FCEDC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25 April 2026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1FABA7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5 August 2026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092ECA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Official webpage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54BE4B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https://privacy-drcn.dbankcdn.cn/agreement/scope/huawei/audio-connect/privacy-statement/cn_b0_20250901_0/default/privacy-statement-zh-cn.htm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1524F5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01_markdown_texts/AG14_Huawei_Audio_privacy_policy.md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377915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02_original_policy_files/AG14_Huawei_Audio_source_document.docx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2D0FAA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May govern multiple Huawei audio models; separate from AG1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BEE251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AG14 concerns a different device category and a distinct audio-specific statement from AG1.</w:t>
            </w:r>
          </w:p>
        </w:tc>
      </w:tr>
      <w:tr w:rsidR="00A60C59" w14:paraId="29FF59DB" w14:textId="77777777">
        <w:trPr>
          <w:jc w:val="center"/>
        </w:trPr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297B8C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AG15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758F9C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21 July 2021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134722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5 August 2026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9CE008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Official webpage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4B7656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https://edifier.com/privacy.html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079C81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01_markdown_texts/AG15_Edifier_privacy_policy.md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0BE3D8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02_original_policy_files/AG15_Edifier_source_document.docx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30AD49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Covers Edifier Connect and compatible devices; no other sampled case uses this document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749EDE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The policy is represented once as AG15.</w:t>
            </w:r>
          </w:p>
        </w:tc>
      </w:tr>
      <w:tr w:rsidR="00A60C59" w14:paraId="0F245E66" w14:textId="77777777">
        <w:trPr>
          <w:jc w:val="center"/>
        </w:trPr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26EAAB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lastRenderedPageBreak/>
              <w:t>AG16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05803C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Published/effective May 2026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1536AC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5 August 2026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DF12CB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Official webpage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E0B2F7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https://www.shokzhear.com/privacy.html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3E8791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01_markdown_texts/AG16_Shokzhear_privacy_policy.md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E38FB5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02_original_policy_files/AG16_Shokzhear_source_document.docx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0CD7EA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May govern multiple </w:t>
            </w:r>
            <w:proofErr w:type="spellStart"/>
            <w:r>
              <w:rPr>
                <w:rFonts w:ascii="Arial" w:hAnsi="Arial"/>
                <w:sz w:val="12"/>
              </w:rPr>
              <w:t>Shokz</w:t>
            </w:r>
            <w:proofErr w:type="spellEnd"/>
            <w:r>
              <w:rPr>
                <w:rFonts w:ascii="Arial" w:hAnsi="Arial"/>
                <w:sz w:val="12"/>
              </w:rPr>
              <w:t xml:space="preserve"> App-supported products; no other sampled case uses this document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C3F896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The policy is represented once as AG16.</w:t>
            </w:r>
          </w:p>
        </w:tc>
      </w:tr>
      <w:tr w:rsidR="00A60C59" w14:paraId="0B126739" w14:textId="77777777">
        <w:trPr>
          <w:jc w:val="center"/>
        </w:trPr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46229C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AG17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AA6CF2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Updated 12 August 2025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227B8B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5 August 2026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EA8401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In-app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D6BB42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In-app access: QCY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DAA2DA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01_markdown_texts/AG17_QCY_privacy_policy.md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A65C42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02_original_policy_files/AG17_QCY_source_document.docx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2E52B9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May govern QCY App-supported devices; no other sampled case uses this document</w:t>
            </w:r>
          </w:p>
        </w:tc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28820F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The policy is represented once as AG17.</w:t>
            </w:r>
          </w:p>
        </w:tc>
      </w:tr>
      <w:tr w:rsidR="00A60C59" w14:paraId="0BFDD1AB" w14:textId="77777777">
        <w:trPr>
          <w:jc w:val="center"/>
        </w:trPr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0EAD3A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AG18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187AC3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Updated 1 December 2023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2A6BDF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5 August 2026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792C77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In-app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ABC4FF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In-app access: </w:t>
            </w:r>
            <w:r>
              <w:rPr>
                <w:rFonts w:ascii="Arial" w:hAnsi="Arial"/>
                <w:sz w:val="12"/>
              </w:rPr>
              <w:t>听智慧耳机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B1368B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01_markdown_texts/AG18_Earweiss_privacy_policy.md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86260C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02_original_policy_files/AG18_Earweiss_source_document.docx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6E7300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May govern multiple products served by the App; no other sampled case uses this document</w:t>
            </w:r>
          </w:p>
        </w:tc>
        <w:tc>
          <w:tcPr>
            <w:tcW w:w="1728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3E9C44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The policy is represented once as AG18.</w:t>
            </w:r>
          </w:p>
        </w:tc>
      </w:tr>
    </w:tbl>
    <w:p w14:paraId="2361555B" w14:textId="77777777" w:rsidR="00A60C59" w:rsidRDefault="00000000">
      <w:r>
        <w:br w:type="page"/>
      </w:r>
    </w:p>
    <w:p w14:paraId="68143B6E" w14:textId="77777777" w:rsidR="00A60C59" w:rsidRDefault="00000000">
      <w:pPr>
        <w:pStyle w:val="1"/>
      </w:pPr>
      <w:r>
        <w:t>4 D1 and D2 case-level applicability audit</w:t>
      </w:r>
    </w:p>
    <w:p w14:paraId="6B38CDB7" w14:textId="77777777" w:rsidR="00A60C59" w:rsidRDefault="00000000">
      <w:r>
        <w:t>For each case, D1 and D2 are determined independently. A code of x records that the required documentary disclosure or mechanism was not identified; it is not proof that the underlying activity is absent in practice. N/A is used only if the archived case set affirmatively establishes that the relevant activity cannot occur; no final case met that condition.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108"/>
        <w:gridCol w:w="3109"/>
        <w:gridCol w:w="3108"/>
        <w:gridCol w:w="3109"/>
        <w:gridCol w:w="3108"/>
      </w:tblGrid>
      <w:tr w:rsidR="00A60C59" w14:paraId="1F584A38" w14:textId="77777777">
        <w:trPr>
          <w:tblHeader/>
          <w:jc w:val="center"/>
        </w:trPr>
        <w:tc>
          <w:tcPr>
            <w:tcW w:w="3110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38CEC0" w14:textId="77777777" w:rsidR="00A60C59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2"/>
              </w:rPr>
              <w:t>Case</w:t>
            </w:r>
          </w:p>
        </w:tc>
        <w:tc>
          <w:tcPr>
            <w:tcW w:w="3110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60A3E6" w14:textId="77777777" w:rsidR="00A60C59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2"/>
              </w:rPr>
              <w:t>D1 case-specific applicability / finding</w:t>
            </w:r>
          </w:p>
        </w:tc>
        <w:tc>
          <w:tcPr>
            <w:tcW w:w="3110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7C63AE" w14:textId="77777777" w:rsidR="00A60C59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2"/>
              </w:rPr>
              <w:t>D1</w:t>
            </w:r>
          </w:p>
        </w:tc>
        <w:tc>
          <w:tcPr>
            <w:tcW w:w="3110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08DBBC" w14:textId="77777777" w:rsidR="00A60C59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2"/>
              </w:rPr>
              <w:t>D2 case-specific applicability / finding</w:t>
            </w:r>
          </w:p>
        </w:tc>
        <w:tc>
          <w:tcPr>
            <w:tcW w:w="3110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E286C0" w14:textId="77777777" w:rsidR="00A60C59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2"/>
              </w:rPr>
              <w:t>D2</w:t>
            </w:r>
          </w:p>
        </w:tc>
      </w:tr>
      <w:tr w:rsidR="00A60C59" w14:paraId="7B4A850A" w14:textId="77777777">
        <w:trPr>
          <w:jc w:val="center"/>
        </w:trPr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24115A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AG1</w:t>
            </w:r>
          </w:p>
        </w:tc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BA565B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Applicable to AG1: the case documents processing of heart rate, blood oxygen, sleep, body temperature, blood glucose, body fat, ECG, respiratory rate and other health data. D1 is triggered by the case-specific secondary-use passage at Section 1.11: “Section 1.11 states that, to </w:t>
            </w:r>
            <w:proofErr w:type="spellStart"/>
            <w:r>
              <w:rPr>
                <w:rFonts w:ascii="Arial" w:hAnsi="Arial"/>
                <w:sz w:val="12"/>
              </w:rPr>
              <w:t>optimise</w:t>
            </w:r>
            <w:proofErr w:type="spellEnd"/>
            <w:r>
              <w:rPr>
                <w:rFonts w:ascii="Arial" w:hAnsi="Arial"/>
                <w:sz w:val="12"/>
              </w:rPr>
              <w:t xml:space="preserve"> models and algorithms and improve the exercise and health experience, personal information, exercise data and health data (including sleep, heart </w:t>
            </w:r>
            <w:proofErr w:type="gramStart"/>
            <w:r>
              <w:rPr>
                <w:rFonts w:ascii="Arial" w:hAnsi="Arial"/>
                <w:sz w:val="12"/>
              </w:rPr>
              <w:t>rate,…</w:t>
            </w:r>
            <w:proofErr w:type="gramEnd"/>
            <w:r>
              <w:rPr>
                <w:rFonts w:ascii="Arial" w:hAnsi="Arial"/>
                <w:sz w:val="12"/>
              </w:rPr>
              <w:t>” The code assesses the disclosure/consent mechanism described for that scenario, not whether it occurs in practice.</w:t>
            </w:r>
          </w:p>
        </w:tc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8F9E6C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○</w:t>
            </w:r>
          </w:p>
        </w:tc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BD8C5F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Applicable to AG1: the case documents processing of heart rate, blood oxygen, sleep, body temperature, blood glucose, body fat, ECG, respiratory rate and other health data. D2 is triggered by the case-specific third-party interaction described at Summary; Section 1.9: “The Summary states that Exercise Health supports sharing data with third parties and that “we will obtain your </w:t>
            </w:r>
            <w:proofErr w:type="spellStart"/>
            <w:r>
              <w:rPr>
                <w:rFonts w:ascii="Arial" w:hAnsi="Arial"/>
                <w:sz w:val="12"/>
              </w:rPr>
              <w:t>authorisation</w:t>
            </w:r>
            <w:proofErr w:type="spellEnd"/>
            <w:r>
              <w:rPr>
                <w:rFonts w:ascii="Arial" w:hAnsi="Arial"/>
                <w:sz w:val="12"/>
              </w:rPr>
              <w:t xml:space="preserve"> again before sharing the data”.” The code assesses the documented </w:t>
            </w:r>
            <w:proofErr w:type="spellStart"/>
            <w:r>
              <w:rPr>
                <w:rFonts w:ascii="Arial" w:hAnsi="Arial"/>
                <w:sz w:val="12"/>
              </w:rPr>
              <w:t>authorisation</w:t>
            </w:r>
            <w:proofErr w:type="spellEnd"/>
            <w:r>
              <w:rPr>
                <w:rFonts w:ascii="Arial" w:hAnsi="Arial"/>
                <w:sz w:val="12"/>
              </w:rPr>
              <w:t xml:space="preserve"> mechanism for that interaction.</w:t>
            </w:r>
          </w:p>
        </w:tc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BEEB03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○</w:t>
            </w:r>
          </w:p>
        </w:tc>
      </w:tr>
      <w:tr w:rsidR="00A60C59" w14:paraId="5F50C9E5" w14:textId="77777777">
        <w:trPr>
          <w:jc w:val="center"/>
        </w:trPr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DEBE40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AG2</w:t>
            </w:r>
          </w:p>
        </w:tc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359390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Applicable to AG2: the case documents processing of heart rate, blood pressure, blood glucose, sleep, stress and blood oxygen saturation. D1 is triggered by the case-specific secondary-use passage at Relevant policy passage cited in evidence column: “The voice-</w:t>
            </w:r>
            <w:proofErr w:type="spellStart"/>
            <w:r>
              <w:rPr>
                <w:rFonts w:ascii="Arial" w:hAnsi="Arial"/>
                <w:sz w:val="12"/>
              </w:rPr>
              <w:t>optimisation</w:t>
            </w:r>
            <w:proofErr w:type="spellEnd"/>
            <w:r>
              <w:rPr>
                <w:rFonts w:ascii="Arial" w:hAnsi="Arial"/>
                <w:sz w:val="12"/>
              </w:rPr>
              <w:t xml:space="preserve"> section states that, to provide more accurate recognition by the </w:t>
            </w:r>
            <w:proofErr w:type="spellStart"/>
            <w:r>
              <w:rPr>
                <w:rFonts w:ascii="Arial" w:hAnsi="Arial"/>
                <w:sz w:val="12"/>
              </w:rPr>
              <w:t>XiaoAI</w:t>
            </w:r>
            <w:proofErr w:type="spellEnd"/>
            <w:r>
              <w:rPr>
                <w:rFonts w:ascii="Arial" w:hAnsi="Arial"/>
                <w:sz w:val="12"/>
              </w:rPr>
              <w:t xml:space="preserve"> voice assistant, voice data must be used to train the speech model; when “Voice </w:t>
            </w:r>
            <w:proofErr w:type="spellStart"/>
            <w:r>
              <w:rPr>
                <w:rFonts w:ascii="Arial" w:hAnsi="Arial"/>
                <w:sz w:val="12"/>
              </w:rPr>
              <w:t>Optimisation</w:t>
            </w:r>
            <w:proofErr w:type="spellEnd"/>
            <w:r>
              <w:rPr>
                <w:rFonts w:ascii="Arial" w:hAnsi="Arial"/>
                <w:sz w:val="12"/>
              </w:rPr>
              <w:t>” …” The code assesses the disclosure/consent mechanism described for that scenario, not whether it occurs in practice.</w:t>
            </w:r>
          </w:p>
        </w:tc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6ACDF5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○</w:t>
            </w:r>
          </w:p>
        </w:tc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6C1742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Applicable to AG2: the case documents processing of heart rate, blood pressure, blood glucose, sleep, stress and blood oxygen saturation. D2 is triggered by the case-specific third-party interaction described at Relevant policy passage cited in evidence column: “The exercise and health information section states that users may share sleep reports with partner hospitals and may actively choose to share exercise data with third-party platforms such a…” The code assesses the documented </w:t>
            </w:r>
            <w:proofErr w:type="spellStart"/>
            <w:r>
              <w:rPr>
                <w:rFonts w:ascii="Arial" w:hAnsi="Arial"/>
                <w:sz w:val="12"/>
              </w:rPr>
              <w:t>authorisation</w:t>
            </w:r>
            <w:proofErr w:type="spellEnd"/>
            <w:r>
              <w:rPr>
                <w:rFonts w:ascii="Arial" w:hAnsi="Arial"/>
                <w:sz w:val="12"/>
              </w:rPr>
              <w:t xml:space="preserve"> mechanism for that interaction.</w:t>
            </w:r>
          </w:p>
        </w:tc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C4FDFE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✓</w:t>
            </w:r>
          </w:p>
        </w:tc>
      </w:tr>
      <w:tr w:rsidR="00A60C59" w14:paraId="3B9E4CF8" w14:textId="77777777">
        <w:trPr>
          <w:jc w:val="center"/>
        </w:trPr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5E411D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AG3</w:t>
            </w:r>
          </w:p>
        </w:tc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F4D717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Applicable to AG3: the case documents processing of heart rate, blood oxygen, sleep; some models include ECG. D1 tests disclosure and consent for any AI training, product-improvement or commercial-analysis reuse. The archived document does not affirmatively establish that every such use is absent; its failure to disclose a qualifying scenario is therefore a documentary x, not N/A (reviewed at Relevant policy passage cited in evidence column).</w:t>
            </w:r>
          </w:p>
        </w:tc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EC7A3B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x</w:t>
            </w:r>
          </w:p>
        </w:tc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19DA0F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Applicable to AG3: the case documents processing of heart rate, blood oxygen, sleep; some models include ECG. D2 is triggered by the case-specific third-party interaction described at Relevant policy passage cited in evidence column: “The third-party information-sharing list identifies an “exercise and health data sharing” scenario.” The code assesses the documented </w:t>
            </w:r>
            <w:proofErr w:type="spellStart"/>
            <w:r>
              <w:rPr>
                <w:rFonts w:ascii="Arial" w:hAnsi="Arial"/>
                <w:sz w:val="12"/>
              </w:rPr>
              <w:t>authorisation</w:t>
            </w:r>
            <w:proofErr w:type="spellEnd"/>
            <w:r>
              <w:rPr>
                <w:rFonts w:ascii="Arial" w:hAnsi="Arial"/>
                <w:sz w:val="12"/>
              </w:rPr>
              <w:t xml:space="preserve"> mechanism for that interaction.</w:t>
            </w:r>
          </w:p>
        </w:tc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CF6D3C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✓</w:t>
            </w:r>
          </w:p>
        </w:tc>
      </w:tr>
      <w:tr w:rsidR="00A60C59" w14:paraId="47EA2EA4" w14:textId="77777777">
        <w:trPr>
          <w:jc w:val="center"/>
        </w:trPr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FBAC72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AG4</w:t>
            </w:r>
          </w:p>
        </w:tc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136FE6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Applicable to AG4: the case documents processing of body data including height, weight and sex; heart rate, blood oxygen and sleep. D1 is triggered by the case-specific secondary-use passage at Relevant policy passage cited in evidence column: “The statistics-and-analysis section states that, with </w:t>
            </w:r>
            <w:proofErr w:type="spellStart"/>
            <w:r>
              <w:rPr>
                <w:rFonts w:ascii="Arial" w:hAnsi="Arial"/>
                <w:sz w:val="12"/>
              </w:rPr>
              <w:t>authorisation</w:t>
            </w:r>
            <w:proofErr w:type="spellEnd"/>
            <w:r>
              <w:rPr>
                <w:rFonts w:ascii="Arial" w:hAnsi="Arial"/>
                <w:sz w:val="12"/>
              </w:rPr>
              <w:t xml:space="preserve"> and consent, service and device usage must be </w:t>
            </w:r>
            <w:proofErr w:type="spellStart"/>
            <w:r>
              <w:rPr>
                <w:rFonts w:ascii="Arial" w:hAnsi="Arial"/>
                <w:sz w:val="12"/>
              </w:rPr>
              <w:t>analysed</w:t>
            </w:r>
            <w:proofErr w:type="spellEnd"/>
            <w:r>
              <w:rPr>
                <w:rFonts w:ascii="Arial" w:hAnsi="Arial"/>
                <w:sz w:val="12"/>
              </w:rPr>
              <w:t xml:space="preserve"> for internal audit summaries, external presentation of service cap…” The code assesses the disclosure/consent mechanism described for that scenario, not whether it occurs in practice.</w:t>
            </w:r>
          </w:p>
        </w:tc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B8A645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○</w:t>
            </w:r>
          </w:p>
        </w:tc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CF6521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Applicable to AG4: the case documents processing of body data including height, weight and sex; heart rate, blood oxygen and sleep. D2 is triggered by the case-specific third-party interaction described at Relevant policy passage cited in evidence column: “The Care component states that, after adding family members or friends, users may independently choose the data they wish to share with them, including steps, calories, exercise records, </w:t>
            </w:r>
            <w:proofErr w:type="spellStart"/>
            <w:r>
              <w:rPr>
                <w:rFonts w:ascii="Arial" w:hAnsi="Arial"/>
                <w:sz w:val="12"/>
              </w:rPr>
              <w:t>st</w:t>
            </w:r>
            <w:proofErr w:type="spellEnd"/>
            <w:r>
              <w:rPr>
                <w:rFonts w:ascii="Arial" w:hAnsi="Arial"/>
                <w:sz w:val="12"/>
              </w:rPr>
              <w:t xml:space="preserve">…” The code assesses the documented </w:t>
            </w:r>
            <w:proofErr w:type="spellStart"/>
            <w:r>
              <w:rPr>
                <w:rFonts w:ascii="Arial" w:hAnsi="Arial"/>
                <w:sz w:val="12"/>
              </w:rPr>
              <w:t>authorisation</w:t>
            </w:r>
            <w:proofErr w:type="spellEnd"/>
            <w:r>
              <w:rPr>
                <w:rFonts w:ascii="Arial" w:hAnsi="Arial"/>
                <w:sz w:val="12"/>
              </w:rPr>
              <w:t xml:space="preserve"> mechanism for that interaction.</w:t>
            </w:r>
          </w:p>
        </w:tc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678871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○</w:t>
            </w:r>
          </w:p>
        </w:tc>
      </w:tr>
      <w:tr w:rsidR="00A60C59" w14:paraId="26BCDA15" w14:textId="77777777">
        <w:trPr>
          <w:jc w:val="center"/>
        </w:trPr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0C3060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AG5</w:t>
            </w:r>
          </w:p>
        </w:tc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A8DB2C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Applicable to AG5: the case documents processing of heart rate, blood oxygen, sleep and exercise data. D1 is triggered by the case-specific secondary-use passage at Relevant policy passage cited in evidence column: “The document states that device information, service-use information and system logs are collected for fault analysis and to </w:t>
            </w:r>
            <w:proofErr w:type="spellStart"/>
            <w:r>
              <w:rPr>
                <w:rFonts w:ascii="Arial" w:hAnsi="Arial"/>
                <w:sz w:val="12"/>
              </w:rPr>
              <w:t>optimise</w:t>
            </w:r>
            <w:proofErr w:type="spellEnd"/>
            <w:r>
              <w:rPr>
                <w:rFonts w:ascii="Arial" w:hAnsi="Arial"/>
                <w:sz w:val="12"/>
              </w:rPr>
              <w:t xml:space="preserve"> smart-device and application design; surveys are used </w:t>
            </w:r>
            <w:proofErr w:type="spellStart"/>
            <w:r>
              <w:rPr>
                <w:rFonts w:ascii="Arial" w:hAnsi="Arial"/>
                <w:sz w:val="12"/>
              </w:rPr>
              <w:t>t</w:t>
            </w:r>
            <w:proofErr w:type="spellEnd"/>
            <w:r>
              <w:rPr>
                <w:rFonts w:ascii="Arial" w:hAnsi="Arial"/>
                <w:sz w:val="12"/>
              </w:rPr>
              <w:t xml:space="preserve">…” The code assesses the disclosure/consent mechanism described </w:t>
            </w:r>
            <w:r>
              <w:rPr>
                <w:rFonts w:ascii="Arial" w:hAnsi="Arial"/>
                <w:sz w:val="12"/>
              </w:rPr>
              <w:lastRenderedPageBreak/>
              <w:t>for that scenario, not whether it occurs in practice.</w:t>
            </w:r>
          </w:p>
        </w:tc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ECEA0B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lastRenderedPageBreak/>
              <w:t>○</w:t>
            </w:r>
          </w:p>
        </w:tc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DB97A4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Applicable to AG5: the case documents processing of heart rate, blood oxygen, sleep and exercise data. D2 is triggered by the case-specific third-party interaction described at Relevant policy passage cited in evidence column: “The introduction states that, if data-read </w:t>
            </w:r>
            <w:proofErr w:type="spellStart"/>
            <w:r>
              <w:rPr>
                <w:rFonts w:ascii="Arial" w:hAnsi="Arial"/>
                <w:sz w:val="12"/>
              </w:rPr>
              <w:t>authorisation</w:t>
            </w:r>
            <w:proofErr w:type="spellEnd"/>
            <w:r>
              <w:rPr>
                <w:rFonts w:ascii="Arial" w:hAnsi="Arial"/>
                <w:sz w:val="12"/>
              </w:rPr>
              <w:t xml:space="preserve"> for a third-party application is enabled under “Third-Party Data Sharing” &gt; “Applications </w:t>
            </w:r>
            <w:proofErr w:type="spellStart"/>
            <w:r>
              <w:rPr>
                <w:rFonts w:ascii="Arial" w:hAnsi="Arial"/>
                <w:sz w:val="12"/>
              </w:rPr>
              <w:t>Authorised</w:t>
            </w:r>
            <w:proofErr w:type="spellEnd"/>
            <w:r>
              <w:rPr>
                <w:rFonts w:ascii="Arial" w:hAnsi="Arial"/>
                <w:sz w:val="12"/>
              </w:rPr>
              <w:t xml:space="preserve"> through the Account”, fitness a…” The code assesses the documented </w:t>
            </w:r>
            <w:proofErr w:type="spellStart"/>
            <w:r>
              <w:rPr>
                <w:rFonts w:ascii="Arial" w:hAnsi="Arial"/>
                <w:sz w:val="12"/>
              </w:rPr>
              <w:t>authorisation</w:t>
            </w:r>
            <w:proofErr w:type="spellEnd"/>
            <w:r>
              <w:rPr>
                <w:rFonts w:ascii="Arial" w:hAnsi="Arial"/>
                <w:sz w:val="12"/>
              </w:rPr>
              <w:t xml:space="preserve"> mechanism for </w:t>
            </w:r>
            <w:r>
              <w:rPr>
                <w:rFonts w:ascii="Arial" w:hAnsi="Arial"/>
                <w:sz w:val="12"/>
              </w:rPr>
              <w:lastRenderedPageBreak/>
              <w:t>that interaction.</w:t>
            </w:r>
          </w:p>
        </w:tc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553AC7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lastRenderedPageBreak/>
              <w:t>✓</w:t>
            </w:r>
          </w:p>
        </w:tc>
      </w:tr>
      <w:tr w:rsidR="00A60C59" w14:paraId="03A3332F" w14:textId="77777777">
        <w:trPr>
          <w:jc w:val="center"/>
        </w:trPr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071FC9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AG6</w:t>
            </w:r>
          </w:p>
        </w:tc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5B38C9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Applicable to AG6: the case documents processing of activity information, sleep, heart rate and weight. D1 is triggered by the case-specific secondary-use passage at Relevant policy passage cited in evidence column: “The policy says personal information may be used to analyze and develop statistical information, optimize device performance, create non-identifiable information for research, internal anal…” The code assesses the disclosure/consent mechanism described for that scenario, not whether it occurs in practice.</w:t>
            </w:r>
          </w:p>
        </w:tc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9E5DE6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○</w:t>
            </w:r>
          </w:p>
        </w:tc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850317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Applicable to AG6: the case documents processing of activity information, sleep, heart rate and weight. D2 tests an independent </w:t>
            </w:r>
            <w:proofErr w:type="spellStart"/>
            <w:r>
              <w:rPr>
                <w:rFonts w:ascii="Arial" w:hAnsi="Arial"/>
                <w:sz w:val="12"/>
              </w:rPr>
              <w:t>authorisation</w:t>
            </w:r>
            <w:proofErr w:type="spellEnd"/>
            <w:r>
              <w:rPr>
                <w:rFonts w:ascii="Arial" w:hAnsi="Arial"/>
                <w:sz w:val="12"/>
              </w:rPr>
              <w:t xml:space="preserve"> mechanism for any health-data interaction with third-party apps/services. The archived document does not affirmatively establish that all such interactions are absent; no qualifying mechanism was identified at Relevant policy passage cited in evidence column, so the result is a documentary x, not N/A.</w:t>
            </w:r>
          </w:p>
        </w:tc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D46E96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x</w:t>
            </w:r>
          </w:p>
        </w:tc>
      </w:tr>
      <w:tr w:rsidR="00A60C59" w14:paraId="7D476AD1" w14:textId="77777777">
        <w:trPr>
          <w:jc w:val="center"/>
        </w:trPr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EF3884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AG7</w:t>
            </w:r>
          </w:p>
        </w:tc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57DA66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Applicable to AG7: the case documents processing of heart rate, body-fat percentage and weight. D1 is triggered by the case-specific secondary-use passage at Relevant policy passage cited in evidence column: “The AI coach service discloses the </w:t>
            </w:r>
            <w:proofErr w:type="spellStart"/>
            <w:r>
              <w:rPr>
                <w:rFonts w:ascii="Arial" w:hAnsi="Arial"/>
                <w:sz w:val="12"/>
              </w:rPr>
              <w:t>customisation</w:t>
            </w:r>
            <w:proofErr w:type="spellEnd"/>
            <w:r>
              <w:rPr>
                <w:rFonts w:ascii="Arial" w:hAnsi="Arial"/>
                <w:sz w:val="12"/>
              </w:rPr>
              <w:t>/generation of intelligent exercise plans, intelligent training guidance, multidimensional data analysis, intelligent conversations, and AI-m…” The code assesses the disclosure/consent mechanism described for that scenario, not whether it occurs in practice.</w:t>
            </w:r>
          </w:p>
        </w:tc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62489B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○</w:t>
            </w:r>
          </w:p>
        </w:tc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883C13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Applicable to AG7: the case documents processing of heart rate, body-fat percentage and weight. D2 is triggered by the case-specific third-party interaction described at Relevant policy passage cited in evidence column: “</w:t>
            </w:r>
            <w:proofErr w:type="spellStart"/>
            <w:r>
              <w:rPr>
                <w:rFonts w:ascii="Arial" w:hAnsi="Arial"/>
                <w:sz w:val="12"/>
              </w:rPr>
              <w:t>Synchronisation</w:t>
            </w:r>
            <w:proofErr w:type="spellEnd"/>
            <w:r>
              <w:rPr>
                <w:rFonts w:ascii="Arial" w:hAnsi="Arial"/>
                <w:sz w:val="12"/>
              </w:rPr>
              <w:t xml:space="preserve"> of fitness data with third-party applications and smart devices, including Apple Health, Huawei Health, Garmin, vivo Health and </w:t>
            </w:r>
            <w:proofErr w:type="spellStart"/>
            <w:r>
              <w:rPr>
                <w:rFonts w:ascii="Arial" w:hAnsi="Arial"/>
                <w:sz w:val="12"/>
              </w:rPr>
              <w:t>HeyTap</w:t>
            </w:r>
            <w:proofErr w:type="spellEnd"/>
            <w:r>
              <w:rPr>
                <w:rFonts w:ascii="Arial" w:hAnsi="Arial"/>
                <w:sz w:val="12"/>
              </w:rPr>
              <w:t xml:space="preserve"> Health, requires the user's Keep </w:t>
            </w:r>
            <w:proofErr w:type="spellStart"/>
            <w:r>
              <w:rPr>
                <w:rFonts w:ascii="Arial" w:hAnsi="Arial"/>
                <w:sz w:val="12"/>
              </w:rPr>
              <w:t>accou</w:t>
            </w:r>
            <w:proofErr w:type="spellEnd"/>
            <w:r>
              <w:rPr>
                <w:rFonts w:ascii="Arial" w:hAnsi="Arial"/>
                <w:sz w:val="12"/>
              </w:rPr>
              <w:t xml:space="preserve">…” The code assesses the documented </w:t>
            </w:r>
            <w:proofErr w:type="spellStart"/>
            <w:r>
              <w:rPr>
                <w:rFonts w:ascii="Arial" w:hAnsi="Arial"/>
                <w:sz w:val="12"/>
              </w:rPr>
              <w:t>authorisation</w:t>
            </w:r>
            <w:proofErr w:type="spellEnd"/>
            <w:r>
              <w:rPr>
                <w:rFonts w:ascii="Arial" w:hAnsi="Arial"/>
                <w:sz w:val="12"/>
              </w:rPr>
              <w:t xml:space="preserve"> mechanism for that interaction.</w:t>
            </w:r>
          </w:p>
        </w:tc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756F9B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✓</w:t>
            </w:r>
          </w:p>
        </w:tc>
      </w:tr>
      <w:tr w:rsidR="00A60C59" w14:paraId="5FF579C3" w14:textId="77777777">
        <w:trPr>
          <w:jc w:val="center"/>
        </w:trPr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D9C824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AG8</w:t>
            </w:r>
          </w:p>
        </w:tc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DFDC6E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Applicable to AG8: the case documents processing of heart rate, sleep, blood oxygen and body temperature. D1 is triggered by the case-specific secondary-use passage at Relevant policy passage cited in evidence column: “</w:t>
            </w:r>
            <w:proofErr w:type="spellStart"/>
            <w:r>
              <w:rPr>
                <w:rFonts w:ascii="Arial" w:hAnsi="Arial"/>
                <w:sz w:val="12"/>
              </w:rPr>
              <w:t>RingConn</w:t>
            </w:r>
            <w:proofErr w:type="spellEnd"/>
            <w:r>
              <w:rPr>
                <w:rFonts w:ascii="Arial" w:hAnsi="Arial"/>
                <w:sz w:val="12"/>
              </w:rPr>
              <w:t xml:space="preserve"> states it uses personal data, including via third-party SDKs, to improve product performance, enhance usability and develop new features, including crash diagnostics, push </w:t>
            </w:r>
            <w:proofErr w:type="spellStart"/>
            <w:r>
              <w:rPr>
                <w:rFonts w:ascii="Arial" w:hAnsi="Arial"/>
                <w:sz w:val="12"/>
              </w:rPr>
              <w:t>notifica</w:t>
            </w:r>
            <w:proofErr w:type="spellEnd"/>
            <w:r>
              <w:rPr>
                <w:rFonts w:ascii="Arial" w:hAnsi="Arial"/>
                <w:sz w:val="12"/>
              </w:rPr>
              <w:t>…” The code assesses the disclosure/consent mechanism described for that scenario, not whether it occurs in practice.</w:t>
            </w:r>
          </w:p>
        </w:tc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182925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○</w:t>
            </w:r>
          </w:p>
        </w:tc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EF71B1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Applicable to AG8: the case documents processing of heart rate, sleep, blood oxygen and body temperature. D2 is triggered by the case-specific third-party interaction described at Relevant policy passage cited in evidence column: “Users may choose to sync </w:t>
            </w:r>
            <w:proofErr w:type="spellStart"/>
            <w:r>
              <w:rPr>
                <w:rFonts w:ascii="Arial" w:hAnsi="Arial"/>
                <w:sz w:val="12"/>
              </w:rPr>
              <w:t>RingConn</w:t>
            </w:r>
            <w:proofErr w:type="spellEnd"/>
            <w:r>
              <w:rPr>
                <w:rFonts w:ascii="Arial" w:hAnsi="Arial"/>
                <w:sz w:val="12"/>
              </w:rPr>
              <w:t xml:space="preserve"> data with third-party health platforms such as Apple Health and Google Fit, and </w:t>
            </w:r>
            <w:proofErr w:type="spellStart"/>
            <w:r>
              <w:rPr>
                <w:rFonts w:ascii="Arial" w:hAnsi="Arial"/>
                <w:sz w:val="12"/>
              </w:rPr>
              <w:t>RingConn</w:t>
            </w:r>
            <w:proofErr w:type="spellEnd"/>
            <w:r>
              <w:rPr>
                <w:rFonts w:ascii="Arial" w:hAnsi="Arial"/>
                <w:sz w:val="12"/>
              </w:rPr>
              <w:t xml:space="preserve"> may receive or share health metrics according to user permissions …” The code assesses the documented </w:t>
            </w:r>
            <w:proofErr w:type="spellStart"/>
            <w:r>
              <w:rPr>
                <w:rFonts w:ascii="Arial" w:hAnsi="Arial"/>
                <w:sz w:val="12"/>
              </w:rPr>
              <w:t>authorisation</w:t>
            </w:r>
            <w:proofErr w:type="spellEnd"/>
            <w:r>
              <w:rPr>
                <w:rFonts w:ascii="Arial" w:hAnsi="Arial"/>
                <w:sz w:val="12"/>
              </w:rPr>
              <w:t xml:space="preserve"> mechanism for that interaction.</w:t>
            </w:r>
          </w:p>
        </w:tc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E979E0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✓</w:t>
            </w:r>
          </w:p>
        </w:tc>
      </w:tr>
      <w:tr w:rsidR="00A60C59" w14:paraId="2C2D124A" w14:textId="77777777">
        <w:trPr>
          <w:jc w:val="center"/>
        </w:trPr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4D238D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AG9</w:t>
            </w:r>
          </w:p>
        </w:tc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59BFC7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Applicable to AG9: the case documents processing of ECG, heart rate, blood oxygen and activity data indicated in product materials. D1 is triggered by the case-specific secondary-use passage at Relevant policy passage cited in evidence column: “The document states that it may collect statistical data that cannot identify a specific individual in order to improve services, and may aggregate such data to understand customers' views …” The code assesses the disclosure/consent mechanism described for that scenario, not whether it occurs in practice.</w:t>
            </w:r>
          </w:p>
        </w:tc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1EE9D2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○</w:t>
            </w:r>
          </w:p>
        </w:tc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FCDD6D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Applicable to AG9: the case documents processing of ECG, heart rate, blood oxygen and activity data indicated in product materials. D2 tests an independent </w:t>
            </w:r>
            <w:proofErr w:type="spellStart"/>
            <w:r>
              <w:rPr>
                <w:rFonts w:ascii="Arial" w:hAnsi="Arial"/>
                <w:sz w:val="12"/>
              </w:rPr>
              <w:t>authorisation</w:t>
            </w:r>
            <w:proofErr w:type="spellEnd"/>
            <w:r>
              <w:rPr>
                <w:rFonts w:ascii="Arial" w:hAnsi="Arial"/>
                <w:sz w:val="12"/>
              </w:rPr>
              <w:t xml:space="preserve"> mechanism for any health-data interaction with third-party apps/services. The archived document does not affirmatively establish that all such interactions are absent; no qualifying mechanism was identified at Relevant policy passage cited in evidence column, so the result is a documentary x, not N/A.</w:t>
            </w:r>
          </w:p>
        </w:tc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C78B05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x</w:t>
            </w:r>
          </w:p>
        </w:tc>
      </w:tr>
      <w:tr w:rsidR="00A60C59" w14:paraId="71A72385" w14:textId="77777777">
        <w:trPr>
          <w:jc w:val="center"/>
        </w:trPr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2361B2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AG10</w:t>
            </w:r>
          </w:p>
        </w:tc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67C812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Applicable to AG10: the case documents processing of blood oxygen, blood glucose and heart rate indicated in product materials. D1 is triggered by the case-specific secondary-use passage at Relevant policy passage cited in evidence column: “The policy discloses certain AI- or algorithm-related functions.” The code assesses the disclosure/consent mechanism described for that scenario, not whether it occurs in practice.</w:t>
            </w:r>
          </w:p>
        </w:tc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7355A6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○</w:t>
            </w:r>
          </w:p>
        </w:tc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A9857D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Applicable to AG10: the case documents processing of blood oxygen, blood glucose and heart rate indicated in product materials. D2 is triggered by the case-specific third-party interaction described at Relevant policy passage cited in evidence column: “Item 8 states that real-time exercise step counts may, with </w:t>
            </w:r>
            <w:proofErr w:type="spellStart"/>
            <w:r>
              <w:rPr>
                <w:rFonts w:ascii="Arial" w:hAnsi="Arial"/>
                <w:sz w:val="12"/>
              </w:rPr>
              <w:t>authorisation</w:t>
            </w:r>
            <w:proofErr w:type="spellEnd"/>
            <w:r>
              <w:rPr>
                <w:rFonts w:ascii="Arial" w:hAnsi="Arial"/>
                <w:sz w:val="12"/>
              </w:rPr>
              <w:t xml:space="preserve">, be collected indirectly from the phone’s pedometer, iOS Health permissions or Android exercise-and-health </w:t>
            </w:r>
            <w:proofErr w:type="spellStart"/>
            <w:r>
              <w:rPr>
                <w:rFonts w:ascii="Arial" w:hAnsi="Arial"/>
                <w:sz w:val="12"/>
              </w:rPr>
              <w:t>applicat</w:t>
            </w:r>
            <w:proofErr w:type="spellEnd"/>
            <w:r>
              <w:rPr>
                <w:rFonts w:ascii="Arial" w:hAnsi="Arial"/>
                <w:sz w:val="12"/>
              </w:rPr>
              <w:t xml:space="preserve">…” The code assesses the documented </w:t>
            </w:r>
            <w:proofErr w:type="spellStart"/>
            <w:r>
              <w:rPr>
                <w:rFonts w:ascii="Arial" w:hAnsi="Arial"/>
                <w:sz w:val="12"/>
              </w:rPr>
              <w:t>authorisation</w:t>
            </w:r>
            <w:proofErr w:type="spellEnd"/>
            <w:r>
              <w:rPr>
                <w:rFonts w:ascii="Arial" w:hAnsi="Arial"/>
                <w:sz w:val="12"/>
              </w:rPr>
              <w:t xml:space="preserve"> mechanism for that interaction.</w:t>
            </w:r>
          </w:p>
        </w:tc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72F17D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✓</w:t>
            </w:r>
          </w:p>
        </w:tc>
      </w:tr>
      <w:tr w:rsidR="00A60C59" w14:paraId="0F3AFA7E" w14:textId="77777777">
        <w:trPr>
          <w:jc w:val="center"/>
        </w:trPr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0AA0B9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AG11</w:t>
            </w:r>
          </w:p>
        </w:tc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C4B958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Applicable to AG11: the case documents processing of blood oxygen, blood glucose and heart rate indicated in product materials. D1 is triggered by the case-specific secondary-use passage at Relevant policy passage cited in evidence column: “The non-personal-information section states that statistical data, anonymous device-related information, daily activity, page visits, sessions, network monitoring and application-crash even…” The code assesses the disclosure/consent mechanism described for that scenario, not whether it occurs in practice.</w:t>
            </w:r>
          </w:p>
        </w:tc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071A2C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○</w:t>
            </w:r>
          </w:p>
        </w:tc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83BC1C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Applicable to AG11: the case documents processing of blood oxygen, blood glucose and heart rate indicated in product materials. D2 tests an independent </w:t>
            </w:r>
            <w:proofErr w:type="spellStart"/>
            <w:r>
              <w:rPr>
                <w:rFonts w:ascii="Arial" w:hAnsi="Arial"/>
                <w:sz w:val="12"/>
              </w:rPr>
              <w:t>authorisation</w:t>
            </w:r>
            <w:proofErr w:type="spellEnd"/>
            <w:r>
              <w:rPr>
                <w:rFonts w:ascii="Arial" w:hAnsi="Arial"/>
                <w:sz w:val="12"/>
              </w:rPr>
              <w:t xml:space="preserve"> mechanism for any health-data interaction with third-party apps/services. The archived document does not affirmatively establish that all such interactions are absent; no qualifying mechanism was identified at Relevant policy passage cited in evidence column, so the result is a documentary x, not N/A.</w:t>
            </w:r>
          </w:p>
        </w:tc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D46BDE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x</w:t>
            </w:r>
          </w:p>
        </w:tc>
      </w:tr>
      <w:tr w:rsidR="00A60C59" w14:paraId="29413326" w14:textId="77777777">
        <w:trPr>
          <w:jc w:val="center"/>
        </w:trPr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A87B41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lastRenderedPageBreak/>
              <w:t>AG12</w:t>
            </w:r>
          </w:p>
        </w:tc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8D5165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Applicable to AG12: the case documents processing of heart rate, blood oxygen and sleep monitoring. D1 is triggered by the case-specific secondary-use passage at Relevant policy passage cited in evidence column: “The AI section states that some Lenovo products, apps and services may use machine-learning and AI technologies and tools to provide and improve products and services ethically, and that le…” The code assesses the disclosure/consent mechanism described for that scenario, not whether it occurs in practice.</w:t>
            </w:r>
          </w:p>
        </w:tc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784EED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✓</w:t>
            </w:r>
          </w:p>
        </w:tc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78E5FD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Applicable to AG12: the case documents processing of heart rate, blood oxygen and sleep monitoring. D2 is triggered by the case-specific third-party interaction described at Relevant policy passage cited in evidence column: “Moto Widgets may request activity-recognition permission, obtain step counts from the user’s Google Fit account and display them after configuration; precise location may be shared with Acc…” The code assesses the documented </w:t>
            </w:r>
            <w:proofErr w:type="spellStart"/>
            <w:r>
              <w:rPr>
                <w:rFonts w:ascii="Arial" w:hAnsi="Arial"/>
                <w:sz w:val="12"/>
              </w:rPr>
              <w:t>authorisation</w:t>
            </w:r>
            <w:proofErr w:type="spellEnd"/>
            <w:r>
              <w:rPr>
                <w:rFonts w:ascii="Arial" w:hAnsi="Arial"/>
                <w:sz w:val="12"/>
              </w:rPr>
              <w:t xml:space="preserve"> mechanism for that interaction.</w:t>
            </w:r>
          </w:p>
        </w:tc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1BF98C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○</w:t>
            </w:r>
          </w:p>
        </w:tc>
      </w:tr>
      <w:tr w:rsidR="00A60C59" w14:paraId="30C5077A" w14:textId="77777777">
        <w:trPr>
          <w:jc w:val="center"/>
        </w:trPr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53F0A1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AG13</w:t>
            </w:r>
          </w:p>
        </w:tc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431BD4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Applicable to AG13: the case documents processing of heart rate, blood oxygen and sleep monitoring. D1 is triggered by the case-specific secondary-use passage at Relevant policy passage cited in evidence column: “Smart Voice expressly uses voice information for supervised machine-learning model training to improve speech recognition, semantic understanding, response speed and quality.” The code assesses the disclosure/consent mechanism described for that scenario, not whether it occurs in practice.</w:t>
            </w:r>
          </w:p>
        </w:tc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8F733F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✓</w:t>
            </w:r>
          </w:p>
        </w:tc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4532EB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Applicable to AG13: the case documents processing of heart rate, blood oxygen and sleep monitoring. D2 is triggered by the case-specific third-party interaction described at Relevant policy passage cited in evidence column: “The document describes sharing order numbers and transaction amounts with payment providers, interconnection among </w:t>
            </w:r>
            <w:proofErr w:type="spellStart"/>
            <w:r>
              <w:rPr>
                <w:rFonts w:ascii="Arial" w:hAnsi="Arial"/>
                <w:sz w:val="12"/>
              </w:rPr>
              <w:t>DuerOS</w:t>
            </w:r>
            <w:proofErr w:type="spellEnd"/>
            <w:r>
              <w:rPr>
                <w:rFonts w:ascii="Arial" w:hAnsi="Arial"/>
                <w:sz w:val="12"/>
              </w:rPr>
              <w:t xml:space="preserve"> devices on the same </w:t>
            </w:r>
            <w:proofErr w:type="spellStart"/>
            <w:r>
              <w:rPr>
                <w:rFonts w:ascii="Arial" w:hAnsi="Arial"/>
                <w:sz w:val="12"/>
              </w:rPr>
              <w:t>WiFi</w:t>
            </w:r>
            <w:proofErr w:type="spellEnd"/>
            <w:r>
              <w:rPr>
                <w:rFonts w:ascii="Arial" w:hAnsi="Arial"/>
                <w:sz w:val="12"/>
              </w:rPr>
              <w:t xml:space="preserve">, and </w:t>
            </w:r>
            <w:proofErr w:type="spellStart"/>
            <w:r>
              <w:rPr>
                <w:rFonts w:ascii="Arial" w:hAnsi="Arial"/>
                <w:sz w:val="12"/>
              </w:rPr>
              <w:t>personalised</w:t>
            </w:r>
            <w:proofErr w:type="spellEnd"/>
            <w:r>
              <w:rPr>
                <w:rFonts w:ascii="Arial" w:hAnsi="Arial"/>
                <w:sz w:val="12"/>
              </w:rPr>
              <w:t xml:space="preserve"> cross-device services.” The code assesses the documented </w:t>
            </w:r>
            <w:proofErr w:type="spellStart"/>
            <w:r>
              <w:rPr>
                <w:rFonts w:ascii="Arial" w:hAnsi="Arial"/>
                <w:sz w:val="12"/>
              </w:rPr>
              <w:t>authorisation</w:t>
            </w:r>
            <w:proofErr w:type="spellEnd"/>
            <w:r>
              <w:rPr>
                <w:rFonts w:ascii="Arial" w:hAnsi="Arial"/>
                <w:sz w:val="12"/>
              </w:rPr>
              <w:t xml:space="preserve"> mechanism for that interaction.</w:t>
            </w:r>
          </w:p>
        </w:tc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BF44F3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○</w:t>
            </w:r>
          </w:p>
        </w:tc>
      </w:tr>
      <w:tr w:rsidR="00A60C59" w14:paraId="57DB82D6" w14:textId="77777777">
        <w:trPr>
          <w:jc w:val="center"/>
        </w:trPr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BCAE10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AG14</w:t>
            </w:r>
          </w:p>
        </w:tc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6E4E05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Applicable to AG14: the case documents processing of </w:t>
            </w:r>
            <w:proofErr w:type="gramStart"/>
            <w:r>
              <w:rPr>
                <w:rFonts w:ascii="Arial" w:hAnsi="Arial"/>
                <w:sz w:val="12"/>
              </w:rPr>
              <w:t>heart-rate</w:t>
            </w:r>
            <w:proofErr w:type="gramEnd"/>
            <w:r>
              <w:rPr>
                <w:rFonts w:ascii="Arial" w:hAnsi="Arial"/>
                <w:sz w:val="12"/>
              </w:rPr>
              <w:t xml:space="preserve"> sensing and body-temperature monitoring in applicable Huawei earbud models. D1 is triggered by the case-specific secondary-use passage at Relevant policy passage cited in evidence column: “Analysis and Improvement collects device/app usage data and page clicks/dwell time to improve product quality and user experience, stating that only aggregate analysis is performed; </w:t>
            </w:r>
            <w:proofErr w:type="spellStart"/>
            <w:r>
              <w:rPr>
                <w:rFonts w:ascii="Arial" w:hAnsi="Arial"/>
                <w:sz w:val="12"/>
              </w:rPr>
              <w:t>feedbac</w:t>
            </w:r>
            <w:proofErr w:type="spellEnd"/>
            <w:r>
              <w:rPr>
                <w:rFonts w:ascii="Arial" w:hAnsi="Arial"/>
                <w:sz w:val="12"/>
              </w:rPr>
              <w:t>…” The code assesses the disclosure/consent mechanism described for that scenario, not whether it occurs in practice.</w:t>
            </w:r>
          </w:p>
        </w:tc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B3BDC1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○</w:t>
            </w:r>
          </w:p>
        </w:tc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8367D5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Applicable to AG14: the case documents processing of </w:t>
            </w:r>
            <w:proofErr w:type="gramStart"/>
            <w:r>
              <w:rPr>
                <w:rFonts w:ascii="Arial" w:hAnsi="Arial"/>
                <w:sz w:val="12"/>
              </w:rPr>
              <w:t>heart-rate</w:t>
            </w:r>
            <w:proofErr w:type="gramEnd"/>
            <w:r>
              <w:rPr>
                <w:rFonts w:ascii="Arial" w:hAnsi="Arial"/>
                <w:sz w:val="12"/>
              </w:rPr>
              <w:t xml:space="preserve"> sensing and body-temperature monitoring in applicable Huawei earbud models. D2 tests an independent </w:t>
            </w:r>
            <w:proofErr w:type="spellStart"/>
            <w:r>
              <w:rPr>
                <w:rFonts w:ascii="Arial" w:hAnsi="Arial"/>
                <w:sz w:val="12"/>
              </w:rPr>
              <w:t>authorisation</w:t>
            </w:r>
            <w:proofErr w:type="spellEnd"/>
            <w:r>
              <w:rPr>
                <w:rFonts w:ascii="Arial" w:hAnsi="Arial"/>
                <w:sz w:val="12"/>
              </w:rPr>
              <w:t xml:space="preserve"> mechanism for any health-data interaction with third-party apps/services. The archived document does not affirmatively establish that all such interactions are absent; no qualifying mechanism was identified at Relevant policy passage cited in evidence column, so the result is a documentary x, not N/A.</w:t>
            </w:r>
          </w:p>
        </w:tc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334499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x</w:t>
            </w:r>
          </w:p>
        </w:tc>
      </w:tr>
      <w:tr w:rsidR="00A60C59" w14:paraId="5CAC2528" w14:textId="77777777">
        <w:trPr>
          <w:jc w:val="center"/>
        </w:trPr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37431B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AG15</w:t>
            </w:r>
          </w:p>
        </w:tc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1623D9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Applicable to AG15: the case documents processing of heart rate and blood oxygen. D1 is triggered by the case-specific secondary-use passage at Relevant policy passage cited in evidence column: “Baidu Analytics analyses APP </w:t>
            </w:r>
            <w:proofErr w:type="spellStart"/>
            <w:r>
              <w:rPr>
                <w:rFonts w:ascii="Arial" w:hAnsi="Arial"/>
                <w:sz w:val="12"/>
              </w:rPr>
              <w:t>behavioural</w:t>
            </w:r>
            <w:proofErr w:type="spellEnd"/>
            <w:r>
              <w:rPr>
                <w:rFonts w:ascii="Arial" w:hAnsi="Arial"/>
                <w:sz w:val="12"/>
              </w:rPr>
              <w:t xml:space="preserve"> patterns and geographical distribution to improve services; Cookie records product skin codes, preferred language, and information required for </w:t>
            </w:r>
            <w:proofErr w:type="spellStart"/>
            <w:r>
              <w:rPr>
                <w:rFonts w:ascii="Arial" w:hAnsi="Arial"/>
                <w:sz w:val="12"/>
              </w:rPr>
              <w:t>stor</w:t>
            </w:r>
            <w:proofErr w:type="spellEnd"/>
            <w:r>
              <w:rPr>
                <w:rFonts w:ascii="Arial" w:hAnsi="Arial"/>
                <w:sz w:val="12"/>
              </w:rPr>
              <w:t>…” The code assesses the disclosure/consent mechanism described for that scenario, not whether it occurs in practice.</w:t>
            </w:r>
          </w:p>
        </w:tc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6A08C9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○</w:t>
            </w:r>
          </w:p>
        </w:tc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DFCF66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Applicable to AG15: the case documents processing of heart rate and blood oxygen. D2 tests an independent </w:t>
            </w:r>
            <w:proofErr w:type="spellStart"/>
            <w:r>
              <w:rPr>
                <w:rFonts w:ascii="Arial" w:hAnsi="Arial"/>
                <w:sz w:val="12"/>
              </w:rPr>
              <w:t>authorisation</w:t>
            </w:r>
            <w:proofErr w:type="spellEnd"/>
            <w:r>
              <w:rPr>
                <w:rFonts w:ascii="Arial" w:hAnsi="Arial"/>
                <w:sz w:val="12"/>
              </w:rPr>
              <w:t xml:space="preserve"> mechanism for any health-data interaction with third-party apps/services. The archived document does not affirmatively establish that all such interactions are absent; no qualifying mechanism was identified at Relevant policy passage cited in evidence column, so the result is a documentary x, not N/A.</w:t>
            </w:r>
          </w:p>
        </w:tc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2467BA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x</w:t>
            </w:r>
          </w:p>
        </w:tc>
      </w:tr>
      <w:tr w:rsidR="00A60C59" w14:paraId="7B94680A" w14:textId="77777777">
        <w:trPr>
          <w:jc w:val="center"/>
        </w:trPr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1A6086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AG16</w:t>
            </w:r>
          </w:p>
        </w:tc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F5CB39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Applicable to AG16: the case documents processing of heart rate. D1 is triggered by the case-specific secondary-use passage at Relevant policy passage cited in evidence column: “Swimming-activity data are used for activity monitoring, data analysis, and exercise-performance display.” The code assesses the disclosure/consent mechanism described for that scenario, not whether it occurs in practice.</w:t>
            </w:r>
          </w:p>
        </w:tc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821BAE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○</w:t>
            </w:r>
          </w:p>
        </w:tc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6CB11C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Applicable to AG16: the case documents processing of heart rate. D2 tests an independent </w:t>
            </w:r>
            <w:proofErr w:type="spellStart"/>
            <w:r>
              <w:rPr>
                <w:rFonts w:ascii="Arial" w:hAnsi="Arial"/>
                <w:sz w:val="12"/>
              </w:rPr>
              <w:t>authorisation</w:t>
            </w:r>
            <w:proofErr w:type="spellEnd"/>
            <w:r>
              <w:rPr>
                <w:rFonts w:ascii="Arial" w:hAnsi="Arial"/>
                <w:sz w:val="12"/>
              </w:rPr>
              <w:t xml:space="preserve"> mechanism for any health-data interaction with third-party apps/services. The archived document does not affirmatively establish that all such interactions are absent; no qualifying mechanism was identified at Relevant policy passage cited in evidence column, so the result is a documentary x, not N/A.</w:t>
            </w:r>
          </w:p>
        </w:tc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D36347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x</w:t>
            </w:r>
          </w:p>
        </w:tc>
      </w:tr>
      <w:tr w:rsidR="00A60C59" w14:paraId="46A1F21E" w14:textId="77777777">
        <w:trPr>
          <w:jc w:val="center"/>
        </w:trPr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685241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AG17</w:t>
            </w:r>
          </w:p>
        </w:tc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283C70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Applicable to AG17: the case documents processing of heart rate, blood oxygen and stress. D1 is triggered by the case-specific secondary-use passage at Relevant policy passage cited in evidence column: “The smart assistant supports face-to-face conversation, live recording, translation, and AI question answering, and collects the earphone MAC, name, and audio data.” The code assesses the disclosure/consent mechanism described for that scenario, not whether it occurs in practice.</w:t>
            </w:r>
          </w:p>
        </w:tc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A370B3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✓</w:t>
            </w:r>
          </w:p>
        </w:tc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275EF6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Applicable to AG17: the case documents processing of heart rate, blood oxygen and stress. D2 is triggered by the case-specific third-party interaction described at Relevant policy passage cited in evidence column: “The document describes identifying the source of exercise and health data exchanged between smart devices and the APP, sharing with affiliates, and third-party SDK processing for location, …” The code assesses the documented </w:t>
            </w:r>
            <w:proofErr w:type="spellStart"/>
            <w:r>
              <w:rPr>
                <w:rFonts w:ascii="Arial" w:hAnsi="Arial"/>
                <w:sz w:val="12"/>
              </w:rPr>
              <w:t>authorisation</w:t>
            </w:r>
            <w:proofErr w:type="spellEnd"/>
            <w:r>
              <w:rPr>
                <w:rFonts w:ascii="Arial" w:hAnsi="Arial"/>
                <w:sz w:val="12"/>
              </w:rPr>
              <w:t xml:space="preserve"> mechanism for that interaction.</w:t>
            </w:r>
          </w:p>
        </w:tc>
        <w:tc>
          <w:tcPr>
            <w:tcW w:w="311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72FEB3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○</w:t>
            </w:r>
          </w:p>
        </w:tc>
      </w:tr>
      <w:tr w:rsidR="00A60C59" w14:paraId="6D7E9E61" w14:textId="77777777">
        <w:trPr>
          <w:jc w:val="center"/>
        </w:trPr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D2419D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>AG18</w:t>
            </w:r>
          </w:p>
        </w:tc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2C0046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Applicable to AG18: the case documents processing of heart rate, blood oxygen monitoring and related health data. D1 is triggered by the case-specific secondary-use passage at Relevant policy passage cited in evidence column: “The service may recommend products and services, </w:t>
            </w:r>
            <w:proofErr w:type="spellStart"/>
            <w:r>
              <w:rPr>
                <w:rFonts w:ascii="Arial" w:hAnsi="Arial"/>
                <w:sz w:val="12"/>
              </w:rPr>
              <w:t>analyse</w:t>
            </w:r>
            <w:proofErr w:type="spellEnd"/>
            <w:r>
              <w:rPr>
                <w:rFonts w:ascii="Arial" w:hAnsi="Arial"/>
                <w:sz w:val="12"/>
              </w:rPr>
              <w:t xml:space="preserve"> service-use trends, and generate </w:t>
            </w:r>
            <w:proofErr w:type="spellStart"/>
            <w:r>
              <w:rPr>
                <w:rFonts w:ascii="Arial" w:hAnsi="Arial"/>
                <w:sz w:val="12"/>
              </w:rPr>
              <w:t>personalised</w:t>
            </w:r>
            <w:proofErr w:type="spellEnd"/>
            <w:r>
              <w:rPr>
                <w:rFonts w:ascii="Arial" w:hAnsi="Arial"/>
                <w:sz w:val="12"/>
              </w:rPr>
              <w:t xml:space="preserve"> health-assessment reports and </w:t>
            </w:r>
            <w:r>
              <w:rPr>
                <w:rFonts w:ascii="Arial" w:hAnsi="Arial"/>
                <w:sz w:val="12"/>
              </w:rPr>
              <w:lastRenderedPageBreak/>
              <w:t>audio compensation, but it does not disclose details of …” The code assesses the disclosure/consent mechanism described for that scenario, not whether it occurs in practice.</w:t>
            </w:r>
          </w:p>
        </w:tc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1347E9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lastRenderedPageBreak/>
              <w:t>○</w:t>
            </w:r>
          </w:p>
        </w:tc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A7E40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t xml:space="preserve">Applicable to AG18: the case documents processing of heart rate, blood oxygen monitoring and related health data. D2 tests an independent </w:t>
            </w:r>
            <w:proofErr w:type="spellStart"/>
            <w:r>
              <w:rPr>
                <w:rFonts w:ascii="Arial" w:hAnsi="Arial"/>
                <w:sz w:val="12"/>
              </w:rPr>
              <w:t>authorisation</w:t>
            </w:r>
            <w:proofErr w:type="spellEnd"/>
            <w:r>
              <w:rPr>
                <w:rFonts w:ascii="Arial" w:hAnsi="Arial"/>
                <w:sz w:val="12"/>
              </w:rPr>
              <w:t xml:space="preserve"> mechanism for any health-data interaction with third-party apps/services. The archived document does not affirmatively establish that all such interactions are absent; no qualifying mechanism was identified at </w:t>
            </w:r>
            <w:r>
              <w:rPr>
                <w:rFonts w:ascii="Arial" w:hAnsi="Arial"/>
                <w:sz w:val="12"/>
              </w:rPr>
              <w:lastRenderedPageBreak/>
              <w:t>Relevant policy passage cited in evidence column, so the result is a documentary x, not N/A.</w:t>
            </w:r>
          </w:p>
        </w:tc>
        <w:tc>
          <w:tcPr>
            <w:tcW w:w="3110" w:type="dxa"/>
            <w:shd w:val="clear" w:color="auto" w:fill="EEF4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8A3777" w14:textId="77777777" w:rsidR="00A60C59" w:rsidRDefault="00000000">
            <w:pPr>
              <w:spacing w:after="0"/>
            </w:pPr>
            <w:r>
              <w:rPr>
                <w:rFonts w:ascii="Arial" w:hAnsi="Arial"/>
                <w:sz w:val="12"/>
              </w:rPr>
              <w:lastRenderedPageBreak/>
              <w:t>x</w:t>
            </w:r>
          </w:p>
        </w:tc>
      </w:tr>
    </w:tbl>
    <w:p w14:paraId="2D8EDA63" w14:textId="77777777" w:rsidR="00A60C59" w:rsidRDefault="00000000">
      <w:pPr>
        <w:pStyle w:val="1"/>
      </w:pPr>
      <w:r>
        <w:t>5 Denominators and score preservation</w:t>
      </w:r>
    </w:p>
    <w:p w14:paraId="5C5CD810" w14:textId="77777777" w:rsidR="00A60C59" w:rsidRDefault="00000000">
      <w:r>
        <w:t>Every indicator retains a denominator of 18. The final matrix remains 158 ✓, 62 ○, and 32 x across 252 cells. D1 remains 3 ✓, 14 ○, and 1 x; D2 remains 6 ✓, 5 ○, and 7 x. No score or reliability result was changed in this revision.</w:t>
      </w:r>
    </w:p>
    <w:sectPr w:rsidR="00A60C59">
      <w:footnotePr>
        <w:numRestart w:val="eachSect"/>
      </w:footnotePr>
      <w:pgSz w:w="16848" w:h="11952" w:orient="landscape"/>
      <w:pgMar w:top="720" w:right="648" w:bottom="720" w:left="64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B02CAB" w14:textId="77777777" w:rsidR="000F68D1" w:rsidRDefault="000F68D1">
      <w:pPr>
        <w:spacing w:after="0"/>
      </w:pPr>
      <w:r>
        <w:separator/>
      </w:r>
    </w:p>
  </w:endnote>
  <w:endnote w:type="continuationSeparator" w:id="0">
    <w:p w14:paraId="6DE27EB9" w14:textId="77777777" w:rsidR="000F68D1" w:rsidRDefault="000F68D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Segoe U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Segoe UI Variable Display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35DF9F" w14:textId="77777777" w:rsidR="000F68D1" w:rsidRDefault="000F68D1">
      <w:pPr>
        <w:spacing w:after="0"/>
      </w:pPr>
      <w:r>
        <w:separator/>
      </w:r>
    </w:p>
  </w:footnote>
  <w:footnote w:type="continuationSeparator" w:id="0">
    <w:p w14:paraId="659FD5CE" w14:textId="77777777" w:rsidR="000F68D1" w:rsidRDefault="000F68D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869049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7"/>
  <w:embedSystemFonts/>
  <w:bordersDoNotSurroundHeader/>
  <w:bordersDoNotSurroundFooter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C59"/>
    <w:rsid w:val="000F68D1"/>
    <w:rsid w:val="008102ED"/>
    <w:rsid w:val="00993E98"/>
    <w:rsid w:val="00A60C59"/>
    <w:rsid w:val="3FF0019A"/>
    <w:rsid w:val="4E1662CE"/>
    <w:rsid w:val="6E453474"/>
    <w:rsid w:val="6F59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778B00"/>
  <w15:docId w15:val="{699E1D03-F4ED-2742-91FC-08153FDCB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caption" w:qFormat="1"/>
    <w:lsdException w:name="footnote reference" w:qFormat="1"/>
    <w:lsdException w:name="Title" w:uiPriority="10" w:qFormat="1"/>
    <w:lsdException w:name="Default Paragraph Font" w:semiHidden="1" w:unhideWhenUsed="1" w:qFormat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  <w:rPr>
      <w:sz w:val="24"/>
      <w:szCs w:val="24"/>
    </w:rPr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qFormat/>
    <w:pPr>
      <w:spacing w:after="120"/>
    </w:pPr>
    <w:rPr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7">
    <w:name w:val="Date"/>
    <w:basedOn w:val="a8"/>
    <w:next w:val="a0"/>
    <w:qFormat/>
    <w:pPr>
      <w:keepNext/>
      <w:keepLines/>
    </w:pPr>
    <w:rPr>
      <w:sz w:val="24"/>
      <w:szCs w:val="24"/>
    </w:rPr>
  </w:style>
  <w:style w:type="paragraph" w:styleId="a8">
    <w:name w:val="Title"/>
    <w:basedOn w:val="a"/>
    <w:next w:val="a0"/>
    <w:link w:val="a9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paragraph" w:styleId="aa">
    <w:name w:val="Subtitle"/>
    <w:basedOn w:val="a8"/>
    <w:next w:val="a0"/>
    <w:link w:val="ab"/>
    <w:uiPriority w:val="11"/>
    <w:qFormat/>
    <w:rPr>
      <w:spacing w:val="15"/>
      <w:sz w:val="28"/>
      <w:szCs w:val="28"/>
    </w:rPr>
  </w:style>
  <w:style w:type="paragraph" w:styleId="ac">
    <w:name w:val="footnote text"/>
    <w:basedOn w:val="a"/>
    <w:uiPriority w:val="9"/>
    <w:unhideWhenUsed/>
    <w:qFormat/>
  </w:style>
  <w:style w:type="character" w:styleId="ad">
    <w:name w:val="Hyperlink"/>
    <w:basedOn w:val="a4"/>
    <w:qFormat/>
    <w:rPr>
      <w:color w:val="156082" w:themeColor="accent1"/>
    </w:rPr>
  </w:style>
  <w:style w:type="character" w:customStyle="1" w:styleId="a4">
    <w:name w:val="正文文本 字符"/>
    <w:basedOn w:val="a1"/>
    <w:link w:val="a0"/>
    <w:qFormat/>
  </w:style>
  <w:style w:type="character" w:styleId="ae">
    <w:name w:val="footnote reference"/>
    <w:basedOn w:val="a4"/>
    <w:qFormat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character" w:customStyle="1" w:styleId="a9">
    <w:name w:val="标题 字符"/>
    <w:basedOn w:val="a1"/>
    <w:link w:val="a8"/>
    <w:uiPriority w:val="10"/>
    <w:qFormat/>
    <w:rPr>
      <w:rFonts w:asciiTheme="majorHAnsi" w:eastAsiaTheme="majorEastAsia" w:hAnsiTheme="majorHAnsi" w:cstheme="majorBidi"/>
      <w:sz w:val="56"/>
      <w:szCs w:val="56"/>
    </w:rPr>
  </w:style>
  <w:style w:type="character" w:customStyle="1" w:styleId="ab">
    <w:name w:val="副标题 字符"/>
    <w:basedOn w:val="a1"/>
    <w:link w:val="aa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8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1">
    <w:name w:val="书目1"/>
    <w:basedOn w:val="a"/>
    <w:qFormat/>
  </w:style>
  <w:style w:type="character" w:customStyle="1" w:styleId="10">
    <w:name w:val="标题 1 字符"/>
    <w:basedOn w:val="a1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qFormat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4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character" w:customStyle="1" w:styleId="SectionNumber">
    <w:name w:val="Section Number"/>
    <w:basedOn w:val="a4"/>
    <w:qFormat/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4717</Words>
  <Characters>26892</Characters>
  <Application>Microsoft Office Word</Application>
  <DocSecurity>0</DocSecurity>
  <Lines>224</Lines>
  <Paragraphs>63</Paragraphs>
  <ScaleCrop>false</ScaleCrop>
  <Company/>
  <LinksUpToDate>false</LinksUpToDate>
  <CharactersWithSpaces>31546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邵滨0837</dc:creator>
  <cp:lastModifiedBy>a67079</cp:lastModifiedBy>
  <cp:revision>2</cp:revision>
  <dcterms:created xsi:type="dcterms:W3CDTF">2026-09-10T02:04:00Z</dcterms:created>
  <dcterms:modified xsi:type="dcterms:W3CDTF">2026-09-10T02:04:00Z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eyJoZGlkIjoiMmE2NWJjMWQxZTY5MTBlZWNlODQ2ZGE0NjJlYTdlMjUiLCJ1c2VySWQiOiIxODIyNDE0NzIwIn0=</vt:lpwstr>
  </property>
  <property fmtid="{D5CDD505-2E9C-101B-9397-08002B2CF9AE}" pid="3" name="KSOProductBuildVer">
    <vt:lpwstr>2052-12.1.0.28043</vt:lpwstr>
  </property>
  <property fmtid="{D5CDD505-2E9C-101B-9397-08002B2CF9AE}" pid="4" name="ICV">
    <vt:lpwstr>EB18313714014684BBEE644B8A60BF00_12</vt:lpwstr>
  </property>
</Properties>
</file>