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11" w:rsidRDefault="0035645F" w:rsidP="00DB09B0">
      <w:pPr>
        <w:contextualSpacing/>
        <w:jc w:val="right"/>
      </w:pPr>
      <w:r>
        <w:t>James Lee</w:t>
      </w:r>
    </w:p>
    <w:p w:rsidR="0035645F" w:rsidRDefault="0035645F" w:rsidP="00DB09B0">
      <w:pPr>
        <w:contextualSpacing/>
        <w:jc w:val="right"/>
      </w:pPr>
      <w:r>
        <w:t>Jet.com Case Analysis</w:t>
      </w:r>
    </w:p>
    <w:p w:rsidR="0060583B" w:rsidRDefault="0060583B" w:rsidP="00DB09B0">
      <w:pPr>
        <w:contextualSpacing/>
        <w:jc w:val="right"/>
      </w:pPr>
      <w:r>
        <w:t>JL985@Cornell.edu</w:t>
      </w:r>
    </w:p>
    <w:p w:rsidR="0035645F" w:rsidRDefault="0035645F" w:rsidP="00DB09B0">
      <w:pPr>
        <w:contextualSpacing/>
        <w:jc w:val="right"/>
      </w:pPr>
      <w:r>
        <w:t>5/12/17</w:t>
      </w:r>
    </w:p>
    <w:p w:rsidR="0035645F" w:rsidRDefault="0060583B" w:rsidP="00DB09B0">
      <w:pPr>
        <w:pStyle w:val="Heading1"/>
        <w:contextualSpacing/>
      </w:pPr>
      <w:r>
        <w:t xml:space="preserve">USING </w:t>
      </w:r>
      <w:r w:rsidR="0035645F">
        <w:t xml:space="preserve">K-MEANS Clustering Algorithm </w:t>
      </w:r>
      <w:r>
        <w:t>TO analyzE</w:t>
      </w:r>
      <w:r w:rsidR="0035645F">
        <w:t xml:space="preserve"> </w:t>
      </w:r>
      <w:r>
        <w:t>PRICING COMPETITIVENESS OF VENDORS ON A SUBCATEGORICAL LEVEL</w:t>
      </w:r>
    </w:p>
    <w:p w:rsidR="0035645F" w:rsidRDefault="0035645F" w:rsidP="00DB09B0">
      <w:pPr>
        <w:contextualSpacing/>
      </w:pPr>
    </w:p>
    <w:p w:rsidR="0035645F" w:rsidRPr="0060583B" w:rsidRDefault="0035645F" w:rsidP="00DB09B0">
      <w:pPr>
        <w:contextualSpacing/>
        <w:rPr>
          <w:sz w:val="22"/>
          <w:szCs w:val="22"/>
        </w:rPr>
      </w:pPr>
      <w:r w:rsidRPr="0060583B">
        <w:rPr>
          <w:sz w:val="22"/>
          <w:szCs w:val="22"/>
        </w:rPr>
        <w:t>Abstract: Case study presents three different vendors, each with its own uni</w:t>
      </w:r>
      <w:r w:rsidR="00E85F24" w:rsidRPr="0060583B">
        <w:rPr>
          <w:sz w:val="22"/>
          <w:szCs w:val="22"/>
        </w:rPr>
        <w:t>que prices for various pr</w:t>
      </w:r>
      <w:r w:rsidR="00377DFB">
        <w:rPr>
          <w:sz w:val="22"/>
          <w:szCs w:val="22"/>
        </w:rPr>
        <w:t>oducts</w:t>
      </w:r>
      <w:r w:rsidR="00E85F24" w:rsidRPr="0060583B">
        <w:rPr>
          <w:sz w:val="22"/>
          <w:szCs w:val="22"/>
        </w:rPr>
        <w:t>. Initial analysis reveals that different vendors have competitive advantages in different categories</w:t>
      </w:r>
      <w:r w:rsidR="00377DFB">
        <w:rPr>
          <w:sz w:val="22"/>
          <w:szCs w:val="22"/>
        </w:rPr>
        <w:t xml:space="preserve"> of products</w:t>
      </w:r>
      <w:r w:rsidR="00E85F24" w:rsidRPr="0060583B">
        <w:rPr>
          <w:sz w:val="22"/>
          <w:szCs w:val="22"/>
        </w:rPr>
        <w:t>. Further</w:t>
      </w:r>
      <w:r w:rsidRPr="0060583B">
        <w:rPr>
          <w:sz w:val="22"/>
          <w:szCs w:val="22"/>
        </w:rPr>
        <w:t xml:space="preserve"> </w:t>
      </w:r>
      <w:r w:rsidR="00377DFB">
        <w:rPr>
          <w:sz w:val="22"/>
          <w:szCs w:val="22"/>
        </w:rPr>
        <w:t>Investigation reveals the</w:t>
      </w:r>
      <w:r w:rsidR="00E85F24" w:rsidRPr="0060583B">
        <w:rPr>
          <w:sz w:val="22"/>
          <w:szCs w:val="22"/>
        </w:rPr>
        <w:t xml:space="preserve"> presence of sub-clusters</w:t>
      </w:r>
      <w:r w:rsidR="00377DFB">
        <w:rPr>
          <w:sz w:val="22"/>
          <w:szCs w:val="22"/>
        </w:rPr>
        <w:t xml:space="preserve"> of products</w:t>
      </w:r>
      <w:r w:rsidR="00E85F24" w:rsidRPr="0060583B">
        <w:rPr>
          <w:sz w:val="22"/>
          <w:szCs w:val="22"/>
        </w:rPr>
        <w:t xml:space="preserve"> within each category. I investigate the</w:t>
      </w:r>
      <w:r w:rsidR="00E56420" w:rsidRPr="0060583B">
        <w:rPr>
          <w:sz w:val="22"/>
          <w:szCs w:val="22"/>
        </w:rPr>
        <w:t xml:space="preserve"> use case of K-M</w:t>
      </w:r>
      <w:r w:rsidR="00E85F24" w:rsidRPr="0060583B">
        <w:rPr>
          <w:sz w:val="22"/>
          <w:szCs w:val="22"/>
        </w:rPr>
        <w:t>eans clustering algorithm</w:t>
      </w:r>
      <w:r w:rsidR="00744188" w:rsidRPr="0060583B">
        <w:rPr>
          <w:sz w:val="22"/>
          <w:szCs w:val="22"/>
        </w:rPr>
        <w:t xml:space="preserve"> using R</w:t>
      </w:r>
      <w:r w:rsidR="00E85F24" w:rsidRPr="0060583B">
        <w:rPr>
          <w:sz w:val="22"/>
          <w:szCs w:val="22"/>
        </w:rPr>
        <w:t xml:space="preserve"> to further group the data into subcategories.</w:t>
      </w:r>
      <w:r w:rsidR="00377DFB">
        <w:rPr>
          <w:sz w:val="22"/>
          <w:szCs w:val="22"/>
        </w:rPr>
        <w:t xml:space="preserve"> Result shows that Jet can further optimize cost savings by choosing vendors based on the algorithm’s assignment.</w:t>
      </w: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DB09B0" w:rsidRDefault="00DB09B0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E85F24" w:rsidRDefault="00E85F24" w:rsidP="00DB09B0">
      <w:pPr>
        <w:contextualSpacing/>
      </w:pPr>
    </w:p>
    <w:p w:rsidR="00F54251" w:rsidRDefault="005869AA" w:rsidP="00DB09B0">
      <w:pPr>
        <w:contextualSpacing/>
      </w:pPr>
      <w:r w:rsidRPr="00AB5137">
        <w:rPr>
          <w:rStyle w:val="IntenseQuoteChar"/>
        </w:rPr>
        <w:lastRenderedPageBreak/>
        <w:t>Data format:</w:t>
      </w:r>
      <w:r w:rsidR="00E85F24">
        <w:br/>
        <w:t xml:space="preserve">Case presents </w:t>
      </w:r>
      <w:r w:rsidR="00F54251">
        <w:t xml:space="preserve">price data of roughly 500 products. </w:t>
      </w:r>
      <w:r>
        <w:t xml:space="preserve"> Some examples of the data are shown below. </w:t>
      </w:r>
    </w:p>
    <w:tbl>
      <w:tblPr>
        <w:tblStyle w:val="GridTable1Light-Accent3"/>
        <w:tblW w:w="9745" w:type="dxa"/>
        <w:tblLook w:val="04A0" w:firstRow="1" w:lastRow="0" w:firstColumn="1" w:lastColumn="0" w:noHBand="0" w:noVBand="1"/>
      </w:tblPr>
      <w:tblGrid>
        <w:gridCol w:w="2007"/>
        <w:gridCol w:w="1844"/>
        <w:gridCol w:w="1904"/>
        <w:gridCol w:w="2034"/>
        <w:gridCol w:w="1956"/>
      </w:tblGrid>
      <w:tr w:rsidR="00F54251" w:rsidTr="0058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F54251" w:rsidRDefault="00F54251" w:rsidP="00DB09B0">
            <w:pPr>
              <w:contextualSpacing/>
            </w:pPr>
            <w:r>
              <w:t>Merchant</w:t>
            </w:r>
          </w:p>
        </w:tc>
        <w:tc>
          <w:tcPr>
            <w:tcW w:w="1844" w:type="dxa"/>
          </w:tcPr>
          <w:p w:rsidR="00F54251" w:rsidRDefault="00F54251" w:rsidP="00DB09B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SKU ID</w:t>
            </w:r>
          </w:p>
        </w:tc>
        <w:tc>
          <w:tcPr>
            <w:tcW w:w="1904" w:type="dxa"/>
          </w:tcPr>
          <w:p w:rsidR="00F54251" w:rsidRDefault="00F54251" w:rsidP="00DB09B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2034" w:type="dxa"/>
          </w:tcPr>
          <w:p w:rsidR="00F54251" w:rsidRDefault="00F54251" w:rsidP="00DB09B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956" w:type="dxa"/>
          </w:tcPr>
          <w:p w:rsidR="00F54251" w:rsidRDefault="00F54251" w:rsidP="00DB09B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Jet Sales</w:t>
            </w:r>
          </w:p>
        </w:tc>
      </w:tr>
      <w:tr w:rsidR="00F54251" w:rsidTr="005869AA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F54251" w:rsidRDefault="00F54251" w:rsidP="00DB09B0">
            <w:pPr>
              <w:contextualSpacing/>
            </w:pPr>
            <w:r>
              <w:t>Jasmine’s</w:t>
            </w:r>
          </w:p>
        </w:tc>
        <w:tc>
          <w:tcPr>
            <w:tcW w:w="184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J0001</w:t>
            </w:r>
          </w:p>
        </w:tc>
        <w:tc>
          <w:tcPr>
            <w:tcW w:w="190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03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4.46</w:t>
            </w:r>
          </w:p>
        </w:tc>
        <w:tc>
          <w:tcPr>
            <w:tcW w:w="1956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157</w:t>
            </w:r>
          </w:p>
        </w:tc>
      </w:tr>
      <w:tr w:rsidR="00F54251" w:rsidTr="005869AA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F54251" w:rsidRDefault="00F54251" w:rsidP="00DB09B0">
            <w:pPr>
              <w:contextualSpacing/>
            </w:pPr>
            <w:r>
              <w:t>Alex’s</w:t>
            </w:r>
          </w:p>
        </w:tc>
        <w:tc>
          <w:tcPr>
            <w:tcW w:w="184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J0001</w:t>
            </w:r>
          </w:p>
        </w:tc>
        <w:tc>
          <w:tcPr>
            <w:tcW w:w="190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03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3.79</w:t>
            </w:r>
          </w:p>
        </w:tc>
        <w:tc>
          <w:tcPr>
            <w:tcW w:w="1956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157</w:t>
            </w:r>
          </w:p>
        </w:tc>
      </w:tr>
      <w:tr w:rsidR="00F54251" w:rsidTr="005869AA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F54251" w:rsidRDefault="00F54251" w:rsidP="00DB09B0">
            <w:pPr>
              <w:contextualSpacing/>
            </w:pPr>
            <w:r>
              <w:t>Leo’s</w:t>
            </w:r>
          </w:p>
        </w:tc>
        <w:tc>
          <w:tcPr>
            <w:tcW w:w="184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J0001</w:t>
            </w:r>
          </w:p>
        </w:tc>
        <w:tc>
          <w:tcPr>
            <w:tcW w:w="190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Electronics</w:t>
            </w:r>
          </w:p>
        </w:tc>
        <w:tc>
          <w:tcPr>
            <w:tcW w:w="2034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3.65</w:t>
            </w:r>
          </w:p>
        </w:tc>
        <w:tc>
          <w:tcPr>
            <w:tcW w:w="1956" w:type="dxa"/>
          </w:tcPr>
          <w:p w:rsidR="00F54251" w:rsidRDefault="00F54251" w:rsidP="00DB09B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157</w:t>
            </w:r>
          </w:p>
        </w:tc>
      </w:tr>
    </w:tbl>
    <w:p w:rsidR="005869AA" w:rsidRPr="00AB5137" w:rsidRDefault="00377DFB" w:rsidP="00DB09B0">
      <w:pPr>
        <w:pStyle w:val="IntenseQuote"/>
        <w:ind w:left="0"/>
        <w:contextualSpacing/>
        <w:jc w:val="both"/>
      </w:pPr>
      <w:r>
        <w:t>Measuring</w:t>
      </w:r>
      <w:r w:rsidR="005869AA" w:rsidRPr="00AB5137">
        <w:t xml:space="preserve"> Vendor Competitiveness:</w:t>
      </w:r>
    </w:p>
    <w:p w:rsidR="005869AA" w:rsidRDefault="005869AA" w:rsidP="00DB09B0">
      <w:pPr>
        <w:contextualSpacing/>
      </w:pPr>
      <w:r>
        <w:t>For each vendor</w:t>
      </w:r>
      <w:r w:rsidR="00377DFB">
        <w:t xml:space="preserve"> and product</w:t>
      </w:r>
      <w:r>
        <w:t xml:space="preserve">, we </w:t>
      </w:r>
      <w:r w:rsidR="00377DFB">
        <w:t>measure</w:t>
      </w:r>
      <w:r>
        <w:t xml:space="preserve"> </w:t>
      </w:r>
      <w:r w:rsidR="00377DFB">
        <w:t xml:space="preserve">its </w:t>
      </w:r>
      <w:r>
        <w:t>percentage price de</w:t>
      </w:r>
      <w:r w:rsidR="00377DFB">
        <w:t>viation</w:t>
      </w:r>
      <w:r>
        <w:t xml:space="preserve"> from </w:t>
      </w:r>
      <w:r w:rsidR="00DB09B0">
        <w:t xml:space="preserve">the </w:t>
      </w:r>
      <w:r>
        <w:t xml:space="preserve">average price.  Essentially, </w:t>
      </w:r>
      <w:r w:rsidR="00AC7952">
        <w:t>this tells</w:t>
      </w:r>
      <w:r>
        <w:t xml:space="preserve"> us</w:t>
      </w:r>
      <w:r w:rsidR="00AC7952">
        <w:t>,</w:t>
      </w:r>
      <w:r>
        <w:t xml:space="preserve"> on average</w:t>
      </w:r>
      <w:r w:rsidR="00AC7952">
        <w:t xml:space="preserve">, </w:t>
      </w:r>
      <w:r>
        <w:t xml:space="preserve">how much </w:t>
      </w:r>
      <w:r w:rsidR="00E56420">
        <w:t xml:space="preserve">% cheaper or more expensive vendor’s prices are </w:t>
      </w:r>
      <w:r w:rsidR="00AC7952">
        <w:t>from its peers’ prices.</w:t>
      </w:r>
      <w:r>
        <w:t xml:space="preserve">  </w:t>
      </w:r>
    </w:p>
    <w:p w:rsidR="00DB09B0" w:rsidRDefault="00DB09B0" w:rsidP="00DB09B0">
      <w:pPr>
        <w:contextualSpacing/>
      </w:pPr>
    </w:p>
    <w:p w:rsidR="005869AA" w:rsidRPr="00DB09B0" w:rsidRDefault="005869AA" w:rsidP="00DB09B0">
      <w:pPr>
        <w:shd w:val="clear" w:color="auto" w:fill="FFFFFF"/>
        <w:spacing w:beforeAutospacing="1" w:after="100" w:afterAutospacing="1" w:line="240" w:lineRule="auto"/>
        <w:contextualSpacing/>
        <w:rPr>
          <w:rFonts w:ascii="Arial" w:eastAsia="Times New Roman" w:hAnsi="Arial" w:cs="Arial"/>
          <w:color w:val="222222"/>
          <w:sz w:val="19"/>
          <w:szCs w:val="19"/>
        </w:rPr>
      </w:pPr>
      <m:oMathPara>
        <m:oMath>
          <m:r>
            <w:rPr>
              <w:rFonts w:ascii="Cambria Math" w:eastAsia="Times New Roman" w:hAnsi="Cambria Math" w:cs="Cambria Math"/>
              <w:color w:val="222222"/>
              <w:sz w:val="19"/>
              <w:szCs w:val="19"/>
            </w:rPr>
            <m:t>F</m:t>
          </m:r>
          <m:r>
            <w:rPr>
              <w:rFonts w:ascii="Cambria Math" w:eastAsia="Times New Roman" w:hAnsi="Cambria Math" w:cs="Arial"/>
              <w:color w:val="222222"/>
              <w:sz w:val="19"/>
              <w:szCs w:val="19"/>
            </w:rPr>
            <m:t xml:space="preserve">or each Merchant,  </m:t>
          </m:r>
          <m:f>
            <m:fPr>
              <m:ctrlPr>
                <w:rPr>
                  <w:rFonts w:ascii="Cambria Math" w:eastAsia="Times New Roman" w:hAnsi="Cambria Math" w:cs="Arial"/>
                  <w:color w:val="222222"/>
                  <w:sz w:val="19"/>
                  <w:szCs w:val="1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22222"/>
                  <w:sz w:val="19"/>
                  <w:szCs w:val="19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222222"/>
                  <w:sz w:val="19"/>
                  <w:szCs w:val="19"/>
                </w:rPr>
                <m:t># of Products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color w:val="222222"/>
                  <w:sz w:val="19"/>
                  <w:szCs w:val="19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sz w:val="19"/>
                  <w:szCs w:val="19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sz w:val="19"/>
                  <w:szCs w:val="19"/>
                </w:rPr>
                <m:t># of Products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sz w:val="19"/>
                      <w:szCs w:val="19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sz w:val="19"/>
                      <w:szCs w:val="19"/>
                    </w:rPr>
                    <m:t>Merchan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sz w:val="19"/>
                          <w:szCs w:val="19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222222"/>
                          <w:sz w:val="19"/>
                          <w:szCs w:val="19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color w:val="222222"/>
                      <w:sz w:val="19"/>
                      <w:szCs w:val="19"/>
                    </w:rPr>
                    <m:t>s Price for Product i-Average of All Merchant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sz w:val="19"/>
                          <w:szCs w:val="19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222222"/>
                          <w:sz w:val="19"/>
                          <w:szCs w:val="19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color w:val="222222"/>
                      <w:sz w:val="19"/>
                      <w:szCs w:val="19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222222"/>
                      <w:sz w:val="19"/>
                      <w:szCs w:val="19"/>
                    </w:rPr>
                    <m:t>Prices for Product i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222222"/>
                      <w:sz w:val="19"/>
                      <w:szCs w:val="19"/>
                    </w:rPr>
                    <m:t>Average ofAll Merchan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sz w:val="19"/>
                          <w:szCs w:val="19"/>
                        </w:rPr>
                        <m:t>ts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222222"/>
                          <w:sz w:val="19"/>
                          <w:szCs w:val="19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color w:val="222222"/>
                      <w:sz w:val="19"/>
                      <w:szCs w:val="19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222222"/>
                      <w:sz w:val="19"/>
                      <w:szCs w:val="19"/>
                    </w:rPr>
                    <m:t>Prices for Product i</m:t>
                  </m:r>
                </m:den>
              </m:f>
            </m:e>
          </m:nary>
        </m:oMath>
      </m:oMathPara>
    </w:p>
    <w:p w:rsidR="00DB09B0" w:rsidRDefault="00DB09B0" w:rsidP="00DB09B0">
      <w:pPr>
        <w:shd w:val="clear" w:color="auto" w:fill="FFFFFF"/>
        <w:spacing w:beforeAutospacing="1" w:after="100" w:afterAutospacing="1" w:line="240" w:lineRule="auto"/>
        <w:contextualSpacing/>
        <w:rPr>
          <w:rFonts w:ascii="Arial" w:eastAsia="Times New Roman" w:hAnsi="Arial" w:cs="Arial"/>
          <w:color w:val="222222"/>
          <w:sz w:val="19"/>
          <w:szCs w:val="19"/>
        </w:rPr>
      </w:pPr>
    </w:p>
    <w:p w:rsidR="00E85F24" w:rsidRDefault="005869AA" w:rsidP="00DB09B0">
      <w:pPr>
        <w:contextualSpacing/>
      </w:pPr>
      <w:r>
        <w:t>We then scale these measures using sales * price to</w:t>
      </w:r>
      <w:r w:rsidR="00377DFB">
        <w:t xml:space="preserve"> essentially</w:t>
      </w:r>
      <w:r>
        <w:t xml:space="preserve"> credit the vendor if it offers cheap prices in products that are responsible for higher proportion of Jet’s </w:t>
      </w:r>
      <w:r w:rsidR="00AC7952">
        <w:t xml:space="preserve">costs. </w:t>
      </w:r>
      <w:r>
        <w:t xml:space="preserve">Weighted average calculation is done within R using </w:t>
      </w:r>
      <w:proofErr w:type="spellStart"/>
      <w:r>
        <w:t>ddply</w:t>
      </w:r>
      <w:proofErr w:type="spellEnd"/>
      <w:r>
        <w:t xml:space="preserve"> package.</w:t>
      </w:r>
    </w:p>
    <w:p w:rsidR="00377DFB" w:rsidRDefault="00377DFB" w:rsidP="00DB09B0">
      <w:pPr>
        <w:contextualSpacing/>
      </w:pPr>
    </w:p>
    <w:p w:rsidR="005869AA" w:rsidRDefault="00AB5137" w:rsidP="00DB09B0">
      <w:pPr>
        <w:contextualSpacing/>
      </w:pPr>
      <w:r>
        <w:t>Result</w:t>
      </w:r>
      <w:r w:rsidR="00E56420">
        <w:t>:</w:t>
      </w:r>
      <w:r>
        <w:t xml:space="preserve"> (</w:t>
      </w:r>
      <w:r w:rsidR="00E56420">
        <w:t>-</w:t>
      </w:r>
      <w:r w:rsidR="00377DFB">
        <w:t>x</w:t>
      </w:r>
      <w:r w:rsidR="00E56420">
        <w:t xml:space="preserve">% indicates that the </w:t>
      </w:r>
      <w:r>
        <w:t>vendor offers</w:t>
      </w:r>
      <w:r w:rsidR="00E56420">
        <w:t>,</w:t>
      </w:r>
      <w:r>
        <w:t xml:space="preserve"> on averag</w:t>
      </w:r>
      <w:r w:rsidR="00E56420">
        <w:t>e,</w:t>
      </w:r>
      <w:r>
        <w:t xml:space="preserve"> x% cheaper prices)</w:t>
      </w:r>
    </w:p>
    <w:p w:rsidR="00AC7952" w:rsidRDefault="00AC7952" w:rsidP="00DB09B0">
      <w:pPr>
        <w:contextualSpacing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9AA" w:rsidRPr="007073EB" w:rsidTr="00E56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Merchant</w:t>
            </w:r>
          </w:p>
        </w:tc>
        <w:tc>
          <w:tcPr>
            <w:tcW w:w="3117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Average Price Deviation</w:t>
            </w:r>
          </w:p>
        </w:tc>
        <w:tc>
          <w:tcPr>
            <w:tcW w:w="3117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Rank</w:t>
            </w:r>
          </w:p>
        </w:tc>
      </w:tr>
      <w:tr w:rsidR="005869AA" w:rsidRPr="007073EB" w:rsidTr="00E56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69AA" w:rsidRPr="007073EB" w:rsidRDefault="005869AA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Alex’s</w:t>
            </w:r>
            <w:r w:rsidRPr="007073EB">
              <w:rPr>
                <w:rFonts w:eastAsia="Times New Roman" w:cstheme="minorHAnsi"/>
                <w:color w:val="222222"/>
              </w:rPr>
              <w:t xml:space="preserve"> Store</w:t>
            </w:r>
          </w:p>
        </w:tc>
        <w:tc>
          <w:tcPr>
            <w:tcW w:w="3117" w:type="dxa"/>
          </w:tcPr>
          <w:p w:rsidR="005869AA" w:rsidRPr="007073EB" w:rsidRDefault="00AB5137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-2.4%</w:t>
            </w:r>
          </w:p>
        </w:tc>
        <w:tc>
          <w:tcPr>
            <w:tcW w:w="3117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2</w:t>
            </w:r>
          </w:p>
        </w:tc>
      </w:tr>
      <w:tr w:rsidR="005869AA" w:rsidRPr="007073EB" w:rsidTr="00E56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69AA" w:rsidRPr="007073EB" w:rsidRDefault="005869AA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Jasmine’s</w:t>
            </w:r>
            <w:r w:rsidRPr="007073EB">
              <w:rPr>
                <w:rFonts w:eastAsia="Times New Roman" w:cstheme="minorHAnsi"/>
                <w:color w:val="222222"/>
              </w:rPr>
              <w:t xml:space="preserve"> Shop</w:t>
            </w:r>
          </w:p>
        </w:tc>
        <w:tc>
          <w:tcPr>
            <w:tcW w:w="3117" w:type="dxa"/>
          </w:tcPr>
          <w:p w:rsidR="005869AA" w:rsidRPr="007073EB" w:rsidRDefault="00AB5137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-4.4%</w:t>
            </w:r>
          </w:p>
        </w:tc>
        <w:tc>
          <w:tcPr>
            <w:tcW w:w="3117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1</w:t>
            </w:r>
          </w:p>
        </w:tc>
      </w:tr>
      <w:tr w:rsidR="005869AA" w:rsidRPr="007073EB" w:rsidTr="00E56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69AA" w:rsidRPr="007073EB" w:rsidRDefault="005869AA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Leo’s</w:t>
            </w:r>
            <w:r w:rsidRPr="007073EB">
              <w:rPr>
                <w:rFonts w:eastAsia="Times New Roman" w:cstheme="minorHAnsi"/>
                <w:color w:val="222222"/>
              </w:rPr>
              <w:t xml:space="preserve"> Bodega</w:t>
            </w:r>
          </w:p>
        </w:tc>
        <w:tc>
          <w:tcPr>
            <w:tcW w:w="3117" w:type="dxa"/>
          </w:tcPr>
          <w:p w:rsidR="005869AA" w:rsidRPr="007073EB" w:rsidRDefault="00AB5137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6.9%</w:t>
            </w:r>
          </w:p>
        </w:tc>
        <w:tc>
          <w:tcPr>
            <w:tcW w:w="3117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3</w:t>
            </w:r>
          </w:p>
        </w:tc>
      </w:tr>
    </w:tbl>
    <w:p w:rsidR="005869AA" w:rsidRDefault="005869AA" w:rsidP="00DB09B0">
      <w:pPr>
        <w:contextualSpacing/>
      </w:pPr>
    </w:p>
    <w:tbl>
      <w:tblPr>
        <w:tblStyle w:val="GridTable1Light-Accent3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5869AA" w:rsidRPr="007073EB" w:rsidTr="00AC7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Merchant</w:t>
            </w:r>
          </w:p>
        </w:tc>
        <w:tc>
          <w:tcPr>
            <w:tcW w:w="3060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Weighted Average Price Deviation</w:t>
            </w:r>
          </w:p>
        </w:tc>
        <w:tc>
          <w:tcPr>
            <w:tcW w:w="3150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Rank</w:t>
            </w:r>
          </w:p>
        </w:tc>
      </w:tr>
      <w:tr w:rsidR="005869AA" w:rsidRPr="007073EB" w:rsidTr="00E56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869AA" w:rsidRPr="007073EB" w:rsidRDefault="005869AA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Alex’s</w:t>
            </w:r>
            <w:r w:rsidRPr="007073EB">
              <w:rPr>
                <w:rFonts w:eastAsia="Times New Roman" w:cstheme="minorHAnsi"/>
                <w:color w:val="222222"/>
              </w:rPr>
              <w:t xml:space="preserve"> Store</w:t>
            </w:r>
          </w:p>
        </w:tc>
        <w:tc>
          <w:tcPr>
            <w:tcW w:w="3060" w:type="dxa"/>
          </w:tcPr>
          <w:p w:rsidR="005869AA" w:rsidRPr="007073EB" w:rsidRDefault="00AB5137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 .45%</w:t>
            </w:r>
          </w:p>
        </w:tc>
        <w:tc>
          <w:tcPr>
            <w:tcW w:w="3150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3</w:t>
            </w:r>
          </w:p>
        </w:tc>
      </w:tr>
      <w:tr w:rsidR="005869AA" w:rsidRPr="007073EB" w:rsidTr="00E5642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869AA" w:rsidRPr="007073EB" w:rsidRDefault="005869AA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Jasmine’s</w:t>
            </w:r>
            <w:r w:rsidRPr="007073EB">
              <w:rPr>
                <w:rFonts w:eastAsia="Times New Roman" w:cstheme="minorHAnsi"/>
                <w:color w:val="222222"/>
              </w:rPr>
              <w:t xml:space="preserve"> Shop</w:t>
            </w:r>
          </w:p>
        </w:tc>
        <w:tc>
          <w:tcPr>
            <w:tcW w:w="3060" w:type="dxa"/>
          </w:tcPr>
          <w:p w:rsidR="005869AA" w:rsidRPr="007073EB" w:rsidRDefault="00AB5137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 7.2%</w:t>
            </w:r>
          </w:p>
        </w:tc>
        <w:tc>
          <w:tcPr>
            <w:tcW w:w="3150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2</w:t>
            </w:r>
          </w:p>
        </w:tc>
      </w:tr>
      <w:tr w:rsidR="005869AA" w:rsidRPr="007073EB" w:rsidTr="00E56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5869AA" w:rsidRPr="007073EB" w:rsidRDefault="005869AA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Leo’s</w:t>
            </w:r>
            <w:r w:rsidRPr="007073EB">
              <w:rPr>
                <w:rFonts w:eastAsia="Times New Roman" w:cstheme="minorHAnsi"/>
                <w:color w:val="222222"/>
              </w:rPr>
              <w:t xml:space="preserve"> Bodega</w:t>
            </w:r>
          </w:p>
        </w:tc>
        <w:tc>
          <w:tcPr>
            <w:tcW w:w="3060" w:type="dxa"/>
          </w:tcPr>
          <w:p w:rsidR="005869AA" w:rsidRPr="007073EB" w:rsidRDefault="00AB5137" w:rsidP="00DB09B0">
            <w:pPr>
              <w:shd w:val="clear" w:color="auto" w:fill="FFFFFF"/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 -5.0%</w:t>
            </w:r>
          </w:p>
        </w:tc>
        <w:tc>
          <w:tcPr>
            <w:tcW w:w="3150" w:type="dxa"/>
          </w:tcPr>
          <w:p w:rsidR="005869AA" w:rsidRPr="007073EB" w:rsidRDefault="005869AA" w:rsidP="00DB09B0">
            <w:pPr>
              <w:spacing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22222"/>
              </w:rPr>
            </w:pPr>
            <w:r w:rsidRPr="007073EB">
              <w:rPr>
                <w:rFonts w:eastAsia="Times New Roman" w:cstheme="minorHAnsi"/>
                <w:color w:val="222222"/>
              </w:rPr>
              <w:t>1</w:t>
            </w:r>
          </w:p>
        </w:tc>
      </w:tr>
    </w:tbl>
    <w:p w:rsidR="005869AA" w:rsidRDefault="005869AA" w:rsidP="00DB09B0">
      <w:pPr>
        <w:contextualSpacing/>
      </w:pPr>
    </w:p>
    <w:p w:rsidR="005869AA" w:rsidRDefault="005869AA" w:rsidP="00DB09B0">
      <w:pPr>
        <w:contextualSpacing/>
      </w:pPr>
      <w:r>
        <w:t>Table</w:t>
      </w:r>
      <w:r w:rsidR="00E56420">
        <w:t xml:space="preserve">s show us that while </w:t>
      </w:r>
      <w:r>
        <w:t xml:space="preserve">Jasmine’s offers cheapest prices </w:t>
      </w:r>
      <w:r w:rsidR="00E56420">
        <w:t xml:space="preserve">on an </w:t>
      </w:r>
      <w:r>
        <w:t xml:space="preserve">arithmetic average basis, Leo’s offers the best prices on a weighted average basis. </w:t>
      </w:r>
      <w:r w:rsidR="00DB09B0">
        <w:t>In fact, their results are dramatically different</w:t>
      </w:r>
      <w:r w:rsidR="00AC7952">
        <w:t xml:space="preserve"> based on the approach.</w:t>
      </w:r>
      <w:r w:rsidR="00DB09B0">
        <w:t xml:space="preserve"> </w:t>
      </w:r>
    </w:p>
    <w:p w:rsidR="00AB5137" w:rsidRPr="00AB5137" w:rsidRDefault="00AB5137" w:rsidP="00DB09B0">
      <w:pPr>
        <w:pStyle w:val="IntenseQuote"/>
        <w:ind w:left="0"/>
        <w:contextualSpacing/>
        <w:jc w:val="left"/>
      </w:pPr>
      <w:r w:rsidRPr="00AB5137">
        <w:rPr>
          <w:rStyle w:val="SubtleReference"/>
          <w:b w:val="0"/>
          <w:bCs w:val="0"/>
        </w:rPr>
        <w:t>Assessing Vendors</w:t>
      </w:r>
      <w:r w:rsidR="00DB09B0">
        <w:rPr>
          <w:rStyle w:val="SubtleReference"/>
          <w:b w:val="0"/>
          <w:bCs w:val="0"/>
        </w:rPr>
        <w:t>’</w:t>
      </w:r>
      <w:r w:rsidRPr="00AB5137">
        <w:rPr>
          <w:rStyle w:val="SubtleReference"/>
          <w:b w:val="0"/>
          <w:bCs w:val="0"/>
        </w:rPr>
        <w:t xml:space="preserve"> </w:t>
      </w:r>
      <w:r w:rsidR="00DB09B0">
        <w:rPr>
          <w:rStyle w:val="SubtleReference"/>
          <w:b w:val="0"/>
          <w:bCs w:val="0"/>
        </w:rPr>
        <w:t>Categorical Competitive Advantages:</w:t>
      </w:r>
    </w:p>
    <w:p w:rsidR="00AB5137" w:rsidRDefault="00AC7952" w:rsidP="00DB09B0">
      <w:pPr>
        <w:contextualSpacing/>
      </w:pPr>
      <w:r>
        <w:t>We can segregate the data into different categories</w:t>
      </w:r>
      <w:r w:rsidR="00AB5137">
        <w:t xml:space="preserve"> and run the same analysis</w:t>
      </w:r>
      <w:r>
        <w:t xml:space="preserve"> to investigate categorical competitive advantages of the vendors.</w:t>
      </w:r>
    </w:p>
    <w:p w:rsidR="00AC7952" w:rsidRPr="00DB09B0" w:rsidRDefault="00AC7952" w:rsidP="00DB09B0">
      <w:pPr>
        <w:contextualSpacing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698"/>
        <w:gridCol w:w="1977"/>
        <w:gridCol w:w="2338"/>
      </w:tblGrid>
      <w:tr w:rsidR="00AB5137" w:rsidRPr="00DB09B0" w:rsidTr="00DB0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Category</w:t>
            </w:r>
          </w:p>
        </w:tc>
        <w:tc>
          <w:tcPr>
            <w:tcW w:w="2698" w:type="dxa"/>
          </w:tcPr>
          <w:p w:rsidR="00AB5137" w:rsidRPr="00DB09B0" w:rsidRDefault="00DB09B0" w:rsidP="00DB09B0">
            <w:pPr>
              <w:spacing w:before="100" w:beforeAutospacing="1" w:after="100" w:afterAutospacing="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 xml:space="preserve">Most Competitive </w:t>
            </w:r>
            <w:r w:rsidR="00AB5137" w:rsidRPr="00DB09B0">
              <w:rPr>
                <w:rFonts w:eastAsia="Times New Roman" w:cs="Arial"/>
                <w:color w:val="222222"/>
                <w:sz w:val="20"/>
                <w:szCs w:val="20"/>
              </w:rPr>
              <w:t>Merchant</w:t>
            </w:r>
          </w:p>
        </w:tc>
        <w:tc>
          <w:tcPr>
            <w:tcW w:w="1977" w:type="dxa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Mean</w:t>
            </w:r>
          </w:p>
        </w:tc>
        <w:tc>
          <w:tcPr>
            <w:tcW w:w="2338" w:type="dxa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Weighted Mean</w:t>
            </w:r>
          </w:p>
        </w:tc>
      </w:tr>
      <w:tr w:rsidR="00AB5137" w:rsidRPr="00DB09B0" w:rsidTr="00DB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color w:val="000000"/>
                <w:sz w:val="20"/>
                <w:szCs w:val="20"/>
              </w:rPr>
              <w:t>Consumables</w:t>
            </w:r>
          </w:p>
        </w:tc>
        <w:tc>
          <w:tcPr>
            <w:tcW w:w="2698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Leo’s Bodega</w:t>
            </w:r>
          </w:p>
        </w:tc>
        <w:tc>
          <w:tcPr>
            <w:tcW w:w="1977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6.3%</w:t>
            </w:r>
          </w:p>
        </w:tc>
        <w:tc>
          <w:tcPr>
            <w:tcW w:w="2338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-3.4%</w:t>
            </w:r>
          </w:p>
        </w:tc>
      </w:tr>
      <w:tr w:rsidR="00AB5137" w:rsidRPr="00DB09B0" w:rsidTr="00DB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:rsidR="00AB5137" w:rsidRPr="00DB09B0" w:rsidRDefault="00AB5137" w:rsidP="00DB09B0">
            <w:pPr>
              <w:contextualSpacing/>
              <w:jc w:val="center"/>
              <w:rPr>
                <w:sz w:val="20"/>
                <w:szCs w:val="20"/>
              </w:rPr>
            </w:pPr>
            <w:r w:rsidRPr="00DB09B0">
              <w:rPr>
                <w:color w:val="000000"/>
                <w:sz w:val="20"/>
                <w:szCs w:val="20"/>
              </w:rPr>
              <w:t>Electronic</w:t>
            </w:r>
          </w:p>
        </w:tc>
        <w:tc>
          <w:tcPr>
            <w:tcW w:w="2698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Jasmine’s Shop</w:t>
            </w:r>
          </w:p>
        </w:tc>
        <w:tc>
          <w:tcPr>
            <w:tcW w:w="1977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-19.0%</w:t>
            </w:r>
          </w:p>
        </w:tc>
        <w:tc>
          <w:tcPr>
            <w:tcW w:w="2338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-4.8%</w:t>
            </w:r>
          </w:p>
        </w:tc>
      </w:tr>
      <w:tr w:rsidR="00AB5137" w:rsidRPr="00DB09B0" w:rsidTr="00DB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:rsidR="00AB5137" w:rsidRPr="00DB09B0" w:rsidRDefault="00AB5137" w:rsidP="00DB09B0">
            <w:pPr>
              <w:contextualSpacing/>
              <w:jc w:val="center"/>
              <w:rPr>
                <w:sz w:val="20"/>
                <w:szCs w:val="20"/>
              </w:rPr>
            </w:pPr>
            <w:r w:rsidRPr="00DB09B0">
              <w:rPr>
                <w:color w:val="000000"/>
                <w:sz w:val="20"/>
                <w:szCs w:val="20"/>
              </w:rPr>
              <w:t>Home</w:t>
            </w:r>
          </w:p>
        </w:tc>
        <w:tc>
          <w:tcPr>
            <w:tcW w:w="2698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Leo’s Bodega</w:t>
            </w:r>
          </w:p>
        </w:tc>
        <w:tc>
          <w:tcPr>
            <w:tcW w:w="1977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-.73%</w:t>
            </w:r>
          </w:p>
        </w:tc>
        <w:tc>
          <w:tcPr>
            <w:tcW w:w="2338" w:type="dxa"/>
            <w:shd w:val="clear" w:color="auto" w:fill="auto"/>
          </w:tcPr>
          <w:p w:rsidR="00AB5137" w:rsidRPr="00DB09B0" w:rsidRDefault="00AB5137" w:rsidP="00DB09B0">
            <w:pPr>
              <w:spacing w:before="100" w:beforeAutospacing="1" w:after="100" w:afterAutospacing="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0"/>
                <w:szCs w:val="20"/>
              </w:rPr>
            </w:pPr>
            <w:r w:rsidRPr="00DB09B0">
              <w:rPr>
                <w:rFonts w:eastAsia="Times New Roman" w:cs="Arial"/>
                <w:color w:val="222222"/>
                <w:sz w:val="20"/>
                <w:szCs w:val="20"/>
              </w:rPr>
              <w:t>-11.6%</w:t>
            </w:r>
          </w:p>
        </w:tc>
      </w:tr>
    </w:tbl>
    <w:p w:rsidR="00AC7952" w:rsidRDefault="00AC7952" w:rsidP="00DB09B0">
      <w:pPr>
        <w:contextualSpacing/>
      </w:pPr>
    </w:p>
    <w:p w:rsidR="00DB09B0" w:rsidRPr="00AC7952" w:rsidRDefault="00AB5137" w:rsidP="00AC7952">
      <w:pPr>
        <w:contextualSpacing/>
        <w:rPr>
          <w:rStyle w:val="SubtleReference"/>
          <w:b w:val="0"/>
          <w:bCs w:val="0"/>
          <w:color w:val="auto"/>
        </w:rPr>
      </w:pPr>
      <w:r>
        <w:t xml:space="preserve">If Jet </w:t>
      </w:r>
      <w:r w:rsidR="00956C46">
        <w:t>can</w:t>
      </w:r>
      <w:r>
        <w:t xml:space="preserve"> choose vendors selectively based on category, using </w:t>
      </w:r>
      <w:r w:rsidR="00DB09B0">
        <w:t>the above output</w:t>
      </w:r>
      <w:r>
        <w:t xml:space="preserve"> would not be a bad idea. However, further analysis shows</w:t>
      </w:r>
      <w:r w:rsidR="00AC7952">
        <w:t xml:space="preserve"> that</w:t>
      </w:r>
      <w:r>
        <w:t xml:space="preserve"> we can </w:t>
      </w:r>
      <w:r w:rsidR="00AC7952">
        <w:t xml:space="preserve">do better. </w:t>
      </w:r>
      <w:r>
        <w:t xml:space="preserve"> </w:t>
      </w:r>
    </w:p>
    <w:p w:rsidR="00AB5137" w:rsidRDefault="00AB5137" w:rsidP="00DB09B0">
      <w:pPr>
        <w:pStyle w:val="IntenseQuote"/>
        <w:ind w:left="0"/>
        <w:contextualSpacing/>
        <w:jc w:val="left"/>
        <w:rPr>
          <w:rStyle w:val="SubtleReference"/>
          <w:b w:val="0"/>
          <w:bCs w:val="0"/>
        </w:rPr>
      </w:pPr>
      <w:r>
        <w:rPr>
          <w:rStyle w:val="SubtleReference"/>
          <w:b w:val="0"/>
          <w:bCs w:val="0"/>
        </w:rPr>
        <w:lastRenderedPageBreak/>
        <w:t>Applying K-Means Clustering Algorithm to Identify Subcategories</w:t>
      </w:r>
      <w:r w:rsidRPr="00AB5137">
        <w:rPr>
          <w:rStyle w:val="SubtleReference"/>
          <w:b w:val="0"/>
          <w:bCs w:val="0"/>
        </w:rPr>
        <w:t>:</w:t>
      </w:r>
    </w:p>
    <w:p w:rsidR="00AB5137" w:rsidRDefault="00DB09B0" w:rsidP="00DB09B0">
      <w:pPr>
        <w:contextualSpacing/>
        <w:rPr>
          <w:rStyle w:val="SubtleReference"/>
          <w:b w:val="0"/>
          <w:color w:val="auto"/>
        </w:rPr>
      </w:pPr>
      <w:r>
        <w:rPr>
          <w:rStyle w:val="SubtleReference"/>
          <w:b w:val="0"/>
          <w:color w:val="auto"/>
        </w:rPr>
        <w:t>Below scatterplot of price</w:t>
      </w:r>
      <w:r w:rsidR="00AC7952">
        <w:rPr>
          <w:rStyle w:val="SubtleReference"/>
          <w:b w:val="0"/>
          <w:color w:val="auto"/>
        </w:rPr>
        <w:t xml:space="preserve"> deviations </w:t>
      </w:r>
      <w:r w:rsidR="00AB5137" w:rsidRPr="00E56420">
        <w:rPr>
          <w:rStyle w:val="SubtleReference"/>
          <w:b w:val="0"/>
          <w:color w:val="auto"/>
        </w:rPr>
        <w:t>vs sales</w:t>
      </w:r>
      <w:r w:rsidR="00744188">
        <w:rPr>
          <w:rStyle w:val="SubtleReference"/>
          <w:b w:val="0"/>
          <w:color w:val="auto"/>
        </w:rPr>
        <w:t>,</w:t>
      </w:r>
      <w:r w:rsidR="00AB5137" w:rsidRPr="00E56420">
        <w:rPr>
          <w:rStyle w:val="SubtleReference"/>
          <w:b w:val="0"/>
          <w:color w:val="auto"/>
        </w:rPr>
        <w:t xml:space="preserve"> reveals that there </w:t>
      </w:r>
      <w:r>
        <w:rPr>
          <w:rStyle w:val="SubtleReference"/>
          <w:b w:val="0"/>
          <w:color w:val="auto"/>
        </w:rPr>
        <w:t>are</w:t>
      </w:r>
      <w:r w:rsidR="00AB5137" w:rsidRPr="00E56420">
        <w:rPr>
          <w:rStyle w:val="SubtleReference"/>
          <w:b w:val="0"/>
          <w:color w:val="auto"/>
        </w:rPr>
        <w:t xml:space="preserve"> </w:t>
      </w:r>
      <w:r>
        <w:rPr>
          <w:rStyle w:val="SubtleReference"/>
          <w:b w:val="0"/>
          <w:color w:val="auto"/>
        </w:rPr>
        <w:t xml:space="preserve">visually apparent clusters of products </w:t>
      </w:r>
      <w:r w:rsidR="00AB5137" w:rsidRPr="00E56420">
        <w:rPr>
          <w:rStyle w:val="SubtleReference"/>
          <w:b w:val="0"/>
          <w:color w:val="auto"/>
        </w:rPr>
        <w:t>within the categories.</w:t>
      </w:r>
    </w:p>
    <w:p w:rsidR="00AC7952" w:rsidRPr="00E56420" w:rsidRDefault="00AC7952" w:rsidP="00DB09B0">
      <w:pPr>
        <w:contextualSpacing/>
        <w:rPr>
          <w:rStyle w:val="SubtleReference"/>
          <w:b w:val="0"/>
          <w:color w:val="auto"/>
        </w:rPr>
      </w:pPr>
    </w:p>
    <w:p w:rsidR="00AB5137" w:rsidRPr="00E56420" w:rsidRDefault="00AB5137" w:rsidP="00DB09B0">
      <w:pPr>
        <w:contextualSpacing/>
        <w:rPr>
          <w:rStyle w:val="SubtleReference"/>
          <w:b w:val="0"/>
          <w:color w:val="auto"/>
        </w:rPr>
      </w:pPr>
      <w:r w:rsidRPr="00E56420">
        <w:rPr>
          <w:noProof/>
        </w:rPr>
        <w:drawing>
          <wp:inline distT="0" distB="0" distL="0" distR="0" wp14:anchorId="5B8DB5CC" wp14:editId="6684356A">
            <wp:extent cx="5972175" cy="311531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796" cy="31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37" w:rsidRDefault="00AC7952" w:rsidP="00DB09B0">
      <w:pPr>
        <w:contextualSpacing/>
        <w:rPr>
          <w:rStyle w:val="SubtleReference"/>
          <w:b w:val="0"/>
          <w:color w:val="auto"/>
        </w:rPr>
      </w:pPr>
      <w:r>
        <w:rPr>
          <w:rStyle w:val="SubtleReference"/>
          <w:b w:val="0"/>
          <w:color w:val="auto"/>
        </w:rPr>
        <w:t xml:space="preserve">We can </w:t>
      </w:r>
      <w:r w:rsidR="00956C46" w:rsidRPr="00E56420">
        <w:rPr>
          <w:rStyle w:val="SubtleReference"/>
          <w:b w:val="0"/>
          <w:color w:val="auto"/>
        </w:rPr>
        <w:t>assign</w:t>
      </w:r>
      <w:r>
        <w:rPr>
          <w:rStyle w:val="SubtleReference"/>
          <w:b w:val="0"/>
          <w:color w:val="auto"/>
        </w:rPr>
        <w:t xml:space="preserve"> these</w:t>
      </w:r>
      <w:r w:rsidR="00956C46" w:rsidRPr="00E56420">
        <w:rPr>
          <w:rStyle w:val="SubtleReference"/>
          <w:b w:val="0"/>
          <w:color w:val="auto"/>
        </w:rPr>
        <w:t xml:space="preserve"> observations into </w:t>
      </w:r>
      <w:r w:rsidR="00DB09B0">
        <w:rPr>
          <w:rStyle w:val="SubtleReference"/>
          <w:b w:val="0"/>
          <w:color w:val="auto"/>
        </w:rPr>
        <w:t xml:space="preserve">subsets </w:t>
      </w:r>
      <w:r>
        <w:rPr>
          <w:rStyle w:val="SubtleReference"/>
          <w:b w:val="0"/>
          <w:color w:val="auto"/>
        </w:rPr>
        <w:t>using K-Means algorithm,</w:t>
      </w:r>
      <w:r w:rsidR="00744188">
        <w:rPr>
          <w:rStyle w:val="SubtleReference"/>
          <w:b w:val="0"/>
          <w:color w:val="auto"/>
        </w:rPr>
        <w:t xml:space="preserve"> </w:t>
      </w:r>
      <w:r>
        <w:rPr>
          <w:rStyle w:val="SubtleReference"/>
          <w:b w:val="0"/>
          <w:color w:val="auto"/>
        </w:rPr>
        <w:t xml:space="preserve">which is a machine learning approach that attempts to assign observations based on some criterion. </w:t>
      </w:r>
      <w:r w:rsidR="00DB09B0">
        <w:rPr>
          <w:rStyle w:val="SubtleReference"/>
          <w:b w:val="0"/>
          <w:color w:val="auto"/>
        </w:rPr>
        <w:t>I</w:t>
      </w:r>
      <w:r w:rsidR="00956C46" w:rsidRPr="00E56420">
        <w:rPr>
          <w:rStyle w:val="SubtleReference"/>
          <w:b w:val="0"/>
          <w:color w:val="auto"/>
        </w:rPr>
        <w:t>n this case</w:t>
      </w:r>
      <w:r w:rsidR="00DB09B0">
        <w:rPr>
          <w:rStyle w:val="SubtleReference"/>
          <w:b w:val="0"/>
          <w:color w:val="auto"/>
        </w:rPr>
        <w:t>,</w:t>
      </w:r>
      <w:r w:rsidR="00956C46" w:rsidRPr="00E56420">
        <w:rPr>
          <w:rStyle w:val="SubtleReference"/>
          <w:b w:val="0"/>
          <w:color w:val="auto"/>
        </w:rPr>
        <w:t xml:space="preserve"> we will be using the level of Sales as a criterion. </w:t>
      </w:r>
      <w:r w:rsidR="00DB09B0">
        <w:rPr>
          <w:rStyle w:val="SubtleReference"/>
          <w:b w:val="0"/>
          <w:color w:val="auto"/>
        </w:rPr>
        <w:t xml:space="preserve"> </w:t>
      </w:r>
    </w:p>
    <w:p w:rsidR="00AC7952" w:rsidRDefault="00AC7952" w:rsidP="00DB09B0">
      <w:pPr>
        <w:contextualSpacing/>
        <w:rPr>
          <w:rStyle w:val="SubtleReference"/>
          <w:b w:val="0"/>
          <w:color w:val="auto"/>
        </w:rPr>
      </w:pPr>
    </w:p>
    <w:p w:rsidR="00956C46" w:rsidRPr="00E56420" w:rsidRDefault="00956C46" w:rsidP="00DB09B0">
      <w:pPr>
        <w:contextualSpacing/>
        <w:rPr>
          <w:rStyle w:val="SubtleReference"/>
          <w:b w:val="0"/>
          <w:color w:val="auto"/>
        </w:rPr>
      </w:pPr>
      <w:r w:rsidRPr="00E56420">
        <w:rPr>
          <w:rStyle w:val="SubtleReference"/>
          <w:b w:val="0"/>
          <w:color w:val="auto"/>
        </w:rPr>
        <w:t>For this paper, we will talk about the</w:t>
      </w:r>
      <w:r w:rsidR="00B643BC">
        <w:rPr>
          <w:rStyle w:val="SubtleReference"/>
          <w:b w:val="0"/>
          <w:color w:val="auto"/>
        </w:rPr>
        <w:t xml:space="preserve"> C</w:t>
      </w:r>
      <w:r w:rsidRPr="00E56420">
        <w:rPr>
          <w:rStyle w:val="SubtleReference"/>
          <w:b w:val="0"/>
          <w:color w:val="auto"/>
        </w:rPr>
        <w:t xml:space="preserve">onsumables </w:t>
      </w:r>
      <w:r w:rsidR="00AC7952">
        <w:rPr>
          <w:rStyle w:val="SubtleReference"/>
          <w:b w:val="0"/>
          <w:color w:val="auto"/>
        </w:rPr>
        <w:t xml:space="preserve">category </w:t>
      </w:r>
      <w:r w:rsidRPr="00E56420">
        <w:rPr>
          <w:rStyle w:val="SubtleReference"/>
          <w:b w:val="0"/>
          <w:color w:val="auto"/>
        </w:rPr>
        <w:t xml:space="preserve">(red dots) as it has the most interesting patterns. </w:t>
      </w:r>
    </w:p>
    <w:p w:rsidR="00B643BC" w:rsidRPr="00E56420" w:rsidRDefault="00744188" w:rsidP="00DB09B0">
      <w:pPr>
        <w:contextualSpacing/>
        <w:rPr>
          <w:rStyle w:val="SubtleReference"/>
          <w:b w:val="0"/>
          <w:color w:val="auto"/>
        </w:rPr>
      </w:pPr>
      <w:r w:rsidRPr="00E56420">
        <w:rPr>
          <w:rStyle w:val="SubtleReference"/>
          <w:b w:val="0"/>
          <w:color w:val="auto"/>
        </w:rPr>
        <w:t>First,</w:t>
      </w:r>
      <w:r w:rsidR="00956C46" w:rsidRPr="00E56420">
        <w:rPr>
          <w:rStyle w:val="SubtleReference"/>
          <w:b w:val="0"/>
          <w:color w:val="auto"/>
        </w:rPr>
        <w:t xml:space="preserve"> we determine the number of clusters to use by plotting the sum of squares</w:t>
      </w:r>
      <w:r w:rsidR="002D5D1A">
        <w:rPr>
          <w:rStyle w:val="SubtleReference"/>
          <w:b w:val="0"/>
          <w:color w:val="auto"/>
        </w:rPr>
        <w:t>, a measure of modeling error,</w:t>
      </w:r>
      <w:r w:rsidR="00956C46" w:rsidRPr="00E56420">
        <w:rPr>
          <w:rStyle w:val="SubtleReference"/>
          <w:b w:val="0"/>
          <w:color w:val="auto"/>
        </w:rPr>
        <w:t xml:space="preserve"> </w:t>
      </w:r>
      <w:bookmarkStart w:id="0" w:name="_GoBack"/>
      <w:bookmarkEnd w:id="0"/>
      <w:r w:rsidR="00956C46" w:rsidRPr="00E56420">
        <w:rPr>
          <w:rStyle w:val="SubtleReference"/>
          <w:b w:val="0"/>
          <w:color w:val="auto"/>
        </w:rPr>
        <w:t>vs different number</w:t>
      </w:r>
      <w:r>
        <w:rPr>
          <w:rStyle w:val="SubtleReference"/>
          <w:b w:val="0"/>
          <w:color w:val="auto"/>
        </w:rPr>
        <w:t>s</w:t>
      </w:r>
      <w:r w:rsidR="00956C46" w:rsidRPr="00E56420">
        <w:rPr>
          <w:rStyle w:val="SubtleReference"/>
          <w:b w:val="0"/>
          <w:color w:val="auto"/>
        </w:rPr>
        <w:t xml:space="preserve"> </w:t>
      </w:r>
      <w:r w:rsidR="00AC7952" w:rsidRPr="00E56420">
        <w:rPr>
          <w:rStyle w:val="SubtleReference"/>
          <w:b w:val="0"/>
          <w:color w:val="auto"/>
        </w:rPr>
        <w:t>of clusters</w:t>
      </w:r>
      <w:r w:rsidR="00DF52F9" w:rsidRPr="00E56420">
        <w:rPr>
          <w:rStyle w:val="SubtleReference"/>
          <w:b w:val="0"/>
          <w:color w:val="auto"/>
        </w:rPr>
        <w:t xml:space="preserve"> </w:t>
      </w:r>
      <w:r w:rsidR="00AC7952">
        <w:rPr>
          <w:rStyle w:val="SubtleReference"/>
          <w:b w:val="0"/>
          <w:color w:val="auto"/>
        </w:rPr>
        <w:t xml:space="preserve">as shown below. </w:t>
      </w:r>
      <w:r w:rsidR="00DF52F9" w:rsidRPr="00E56420">
        <w:rPr>
          <w:rStyle w:val="SubtleReference"/>
          <w:b w:val="0"/>
          <w:color w:val="auto"/>
        </w:rPr>
        <w:t>Tighter</w:t>
      </w:r>
      <w:r w:rsidR="00956C46" w:rsidRPr="00E56420">
        <w:rPr>
          <w:rStyle w:val="SubtleReference"/>
          <w:b w:val="0"/>
          <w:color w:val="auto"/>
        </w:rPr>
        <w:t xml:space="preserve"> the fit, lower the sum of squares</w:t>
      </w:r>
      <w:r w:rsidR="002D5D1A">
        <w:rPr>
          <w:rStyle w:val="SubtleReference"/>
          <w:b w:val="0"/>
          <w:color w:val="auto"/>
        </w:rPr>
        <w:t xml:space="preserve">, </w:t>
      </w:r>
      <w:r w:rsidR="00956C46" w:rsidRPr="00E56420">
        <w:rPr>
          <w:rStyle w:val="SubtleReference"/>
          <w:b w:val="0"/>
          <w:color w:val="auto"/>
        </w:rPr>
        <w:t xml:space="preserve">will be. </w:t>
      </w:r>
      <w:r w:rsidR="0063602D">
        <w:rPr>
          <w:rStyle w:val="SubtleReference"/>
          <w:b w:val="0"/>
          <w:color w:val="auto"/>
        </w:rPr>
        <w:t>However, simply fitting more</w:t>
      </w:r>
      <w:r w:rsidR="00956C46" w:rsidRPr="00E56420">
        <w:rPr>
          <w:rStyle w:val="SubtleReference"/>
          <w:b w:val="0"/>
          <w:color w:val="auto"/>
        </w:rPr>
        <w:t xml:space="preserve"> clusters will al</w:t>
      </w:r>
      <w:r w:rsidR="00DF52F9" w:rsidRPr="00E56420">
        <w:rPr>
          <w:rStyle w:val="SubtleReference"/>
          <w:b w:val="0"/>
          <w:color w:val="auto"/>
        </w:rPr>
        <w:t>most always create a better fit. Therefore,</w:t>
      </w:r>
      <w:r w:rsidR="00956C46" w:rsidRPr="00E56420">
        <w:rPr>
          <w:rStyle w:val="SubtleReference"/>
          <w:b w:val="0"/>
          <w:color w:val="auto"/>
        </w:rPr>
        <w:t xml:space="preserve"> we choose</w:t>
      </w:r>
      <w:r>
        <w:rPr>
          <w:rStyle w:val="SubtleReference"/>
          <w:b w:val="0"/>
          <w:color w:val="auto"/>
        </w:rPr>
        <w:t xml:space="preserve"> the</w:t>
      </w:r>
      <w:r w:rsidR="00956C46" w:rsidRPr="00E56420">
        <w:rPr>
          <w:rStyle w:val="SubtleReference"/>
          <w:b w:val="0"/>
          <w:color w:val="auto"/>
        </w:rPr>
        <w:t xml:space="preserve"> number of clusters where it is apparent that the</w:t>
      </w:r>
      <w:r w:rsidR="00DB09B0">
        <w:rPr>
          <w:rStyle w:val="SubtleReference"/>
          <w:b w:val="0"/>
          <w:color w:val="auto"/>
        </w:rPr>
        <w:t xml:space="preserve"> </w:t>
      </w:r>
      <w:r w:rsidR="00B643BC" w:rsidRPr="00E56420">
        <w:rPr>
          <w:rStyle w:val="SubtleReference"/>
          <w:b w:val="0"/>
          <w:color w:val="auto"/>
        </w:rPr>
        <w:t>marginal</w:t>
      </w:r>
      <w:r w:rsidR="00956C46" w:rsidRPr="00E56420">
        <w:rPr>
          <w:rStyle w:val="SubtleReference"/>
          <w:b w:val="0"/>
          <w:color w:val="auto"/>
        </w:rPr>
        <w:t xml:space="preserve"> </w:t>
      </w:r>
      <w:r w:rsidR="00B643BC" w:rsidRPr="00E56420">
        <w:rPr>
          <w:rStyle w:val="SubtleReference"/>
          <w:b w:val="0"/>
          <w:color w:val="auto"/>
        </w:rPr>
        <w:t>benefit</w:t>
      </w:r>
      <w:r w:rsidR="00DF52F9" w:rsidRPr="00E56420">
        <w:rPr>
          <w:rStyle w:val="SubtleReference"/>
          <w:b w:val="0"/>
          <w:color w:val="auto"/>
        </w:rPr>
        <w:t xml:space="preserve"> of increasing the cluster</w:t>
      </w:r>
      <w:r w:rsidR="00AC7952">
        <w:rPr>
          <w:rStyle w:val="SubtleReference"/>
          <w:b w:val="0"/>
          <w:color w:val="auto"/>
        </w:rPr>
        <w:t>s</w:t>
      </w:r>
      <w:r w:rsidR="00DF52F9" w:rsidRPr="00E56420">
        <w:rPr>
          <w:rStyle w:val="SubtleReference"/>
          <w:b w:val="0"/>
          <w:color w:val="auto"/>
        </w:rPr>
        <w:t xml:space="preserve"> doesn’t merit the risk of overfitting the data.</w:t>
      </w:r>
      <w:r w:rsidR="00C20DDE" w:rsidRPr="00E56420">
        <w:rPr>
          <w:noProof/>
        </w:rPr>
        <w:t xml:space="preserve"> </w:t>
      </w:r>
      <w:r w:rsidR="00C20DDE" w:rsidRPr="00E56420">
        <w:rPr>
          <w:noProof/>
        </w:rPr>
        <w:drawing>
          <wp:inline distT="0" distB="0" distL="0" distR="0" wp14:anchorId="0812069F" wp14:editId="3694B82A">
            <wp:extent cx="5895975" cy="2578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82" cy="26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2F9" w:rsidRPr="00E56420">
        <w:rPr>
          <w:rStyle w:val="SubtleReference"/>
          <w:b w:val="0"/>
          <w:color w:val="auto"/>
        </w:rPr>
        <w:t xml:space="preserve"> </w:t>
      </w:r>
    </w:p>
    <w:p w:rsidR="00744188" w:rsidRDefault="00744188" w:rsidP="00DB09B0">
      <w:pPr>
        <w:contextualSpacing/>
        <w:rPr>
          <w:rStyle w:val="SubtleReference"/>
          <w:b w:val="0"/>
          <w:color w:val="auto"/>
        </w:rPr>
      </w:pPr>
      <w:r>
        <w:rPr>
          <w:rStyle w:val="SubtleReference"/>
          <w:b w:val="0"/>
          <w:color w:val="auto"/>
        </w:rPr>
        <w:lastRenderedPageBreak/>
        <w:t xml:space="preserve">As shown, </w:t>
      </w:r>
      <w:r w:rsidR="00DF52F9" w:rsidRPr="00E56420">
        <w:rPr>
          <w:rStyle w:val="SubtleReference"/>
          <w:b w:val="0"/>
          <w:color w:val="auto"/>
        </w:rPr>
        <w:t>marginal bene</w:t>
      </w:r>
      <w:r>
        <w:rPr>
          <w:rStyle w:val="SubtleReference"/>
          <w:b w:val="0"/>
          <w:color w:val="auto"/>
        </w:rPr>
        <w:t>fit of adding clusters</w:t>
      </w:r>
      <w:r w:rsidR="00AC7952">
        <w:rPr>
          <w:rStyle w:val="SubtleReference"/>
          <w:b w:val="0"/>
          <w:color w:val="auto"/>
        </w:rPr>
        <w:t xml:space="preserve"> dramatically </w:t>
      </w:r>
      <w:r w:rsidR="00DF52F9" w:rsidRPr="00E56420">
        <w:rPr>
          <w:rStyle w:val="SubtleReference"/>
          <w:b w:val="0"/>
          <w:color w:val="auto"/>
        </w:rPr>
        <w:t>falls off</w:t>
      </w:r>
      <w:r w:rsidR="00AC7952">
        <w:rPr>
          <w:rStyle w:val="SubtleReference"/>
          <w:b w:val="0"/>
          <w:color w:val="auto"/>
        </w:rPr>
        <w:t xml:space="preserve"> after 5 clusters</w:t>
      </w:r>
      <w:r w:rsidR="00DF52F9" w:rsidRPr="00E56420">
        <w:rPr>
          <w:rStyle w:val="SubtleReference"/>
          <w:b w:val="0"/>
          <w:color w:val="auto"/>
        </w:rPr>
        <w:t xml:space="preserve">. </w:t>
      </w:r>
      <w:r>
        <w:rPr>
          <w:rStyle w:val="SubtleReference"/>
          <w:b w:val="0"/>
          <w:color w:val="auto"/>
        </w:rPr>
        <w:t>Therefore, we use 5 clusters.</w:t>
      </w:r>
    </w:p>
    <w:p w:rsidR="00744188" w:rsidRPr="00E56420" w:rsidRDefault="00744188" w:rsidP="00DB09B0">
      <w:pPr>
        <w:contextualSpacing/>
        <w:rPr>
          <w:rStyle w:val="SubtleReference"/>
          <w:b w:val="0"/>
          <w:color w:val="auto"/>
        </w:rPr>
      </w:pPr>
    </w:p>
    <w:p w:rsidR="00C20DDE" w:rsidRPr="00E56420" w:rsidRDefault="00C20DDE" w:rsidP="00DB09B0">
      <w:pPr>
        <w:contextualSpacing/>
        <w:rPr>
          <w:rStyle w:val="SubtleReference"/>
          <w:b w:val="0"/>
          <w:color w:val="auto"/>
        </w:rPr>
      </w:pPr>
      <w:r w:rsidRPr="00E56420">
        <w:rPr>
          <w:rStyle w:val="SubtleReference"/>
          <w:b w:val="0"/>
          <w:color w:val="auto"/>
        </w:rPr>
        <w:t>Consumables d</w:t>
      </w:r>
      <w:r w:rsidR="00744188">
        <w:rPr>
          <w:rStyle w:val="SubtleReference"/>
          <w:b w:val="0"/>
          <w:color w:val="auto"/>
        </w:rPr>
        <w:t xml:space="preserve">ata grouped into five clusters, </w:t>
      </w:r>
    </w:p>
    <w:p w:rsidR="00744188" w:rsidRPr="00E56420" w:rsidRDefault="00C20DDE" w:rsidP="00DB09B0">
      <w:pPr>
        <w:contextualSpacing/>
        <w:rPr>
          <w:rStyle w:val="SubtleReference"/>
          <w:b w:val="0"/>
          <w:color w:val="auto"/>
        </w:rPr>
      </w:pPr>
      <w:r w:rsidRPr="00E56420">
        <w:rPr>
          <w:noProof/>
        </w:rPr>
        <w:drawing>
          <wp:inline distT="0" distB="0" distL="0" distR="0" wp14:anchorId="040CECCD" wp14:editId="0084ADB2">
            <wp:extent cx="5953125" cy="367647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076" cy="36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F9" w:rsidRPr="00E56420" w:rsidRDefault="00744188" w:rsidP="00DB09B0">
      <w:pPr>
        <w:contextualSpacing/>
        <w:rPr>
          <w:rStyle w:val="SubtleReference"/>
          <w:b w:val="0"/>
          <w:color w:val="auto"/>
        </w:rPr>
      </w:pPr>
      <w:r>
        <w:rPr>
          <w:rStyle w:val="SubtleReference"/>
          <w:b w:val="0"/>
          <w:color w:val="auto"/>
        </w:rPr>
        <w:t xml:space="preserve">We segregate the data into clusters based on the algorithm assignments and run our original analysis again.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6420" w:rsidRPr="00E56420" w:rsidTr="000B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93413" w:rsidRPr="00E56420" w:rsidRDefault="00693413" w:rsidP="00744188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Category</w:t>
            </w:r>
          </w:p>
        </w:tc>
        <w:tc>
          <w:tcPr>
            <w:tcW w:w="2337" w:type="dxa"/>
          </w:tcPr>
          <w:p w:rsidR="00693413" w:rsidRPr="00E56420" w:rsidRDefault="00693413" w:rsidP="0074418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Cluster Center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Most Competitive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Least Competitive</w:t>
            </w:r>
          </w:p>
        </w:tc>
      </w:tr>
      <w:tr w:rsidR="00E56420" w:rsidRPr="00E56420" w:rsidTr="0074418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93413" w:rsidRPr="00E56420" w:rsidRDefault="00693413" w:rsidP="00744188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37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318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Alex’s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Jasmine’s</w:t>
            </w:r>
          </w:p>
        </w:tc>
      </w:tr>
      <w:tr w:rsidR="00E56420" w:rsidRPr="00E56420" w:rsidTr="000B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93413" w:rsidRPr="00E56420" w:rsidRDefault="00693413" w:rsidP="00744188">
            <w:pPr>
              <w:contextualSpacing/>
              <w:jc w:val="center"/>
              <w:rPr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37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514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Jasmine’s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Leo’s</w:t>
            </w:r>
          </w:p>
        </w:tc>
      </w:tr>
      <w:tr w:rsidR="00E56420" w:rsidRPr="00E56420" w:rsidTr="000B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93413" w:rsidRPr="00E56420" w:rsidRDefault="00693413" w:rsidP="00744188">
            <w:pPr>
              <w:contextualSpacing/>
              <w:jc w:val="center"/>
              <w:rPr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37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572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Jasmine’s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Leo’s</w:t>
            </w:r>
          </w:p>
        </w:tc>
      </w:tr>
      <w:tr w:rsidR="00E56420" w:rsidRPr="00E56420" w:rsidTr="000B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93413" w:rsidRPr="00E56420" w:rsidRDefault="00693413" w:rsidP="00744188">
            <w:pPr>
              <w:contextualSpacing/>
              <w:jc w:val="center"/>
              <w:rPr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37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1048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Alex’s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Jasmine’s</w:t>
            </w:r>
          </w:p>
        </w:tc>
      </w:tr>
      <w:tr w:rsidR="00E56420" w:rsidRPr="00E56420" w:rsidTr="000B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93413" w:rsidRPr="00E56420" w:rsidRDefault="00693413" w:rsidP="00744188">
            <w:pPr>
              <w:contextualSpacing/>
              <w:jc w:val="center"/>
              <w:rPr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37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1260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Leo’s</w:t>
            </w:r>
          </w:p>
        </w:tc>
        <w:tc>
          <w:tcPr>
            <w:tcW w:w="2338" w:type="dxa"/>
          </w:tcPr>
          <w:p w:rsidR="00693413" w:rsidRPr="00E56420" w:rsidRDefault="00693413" w:rsidP="0074418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Jasmine’s</w:t>
            </w:r>
          </w:p>
        </w:tc>
      </w:tr>
    </w:tbl>
    <w:p w:rsidR="00E56420" w:rsidRDefault="00693413" w:rsidP="00DB09B0">
      <w:pPr>
        <w:contextualSpacing/>
        <w:rPr>
          <w:rStyle w:val="SubtleReference"/>
          <w:b w:val="0"/>
          <w:color w:val="auto"/>
        </w:rPr>
      </w:pPr>
      <w:r w:rsidRPr="00E56420">
        <w:rPr>
          <w:rStyle w:val="SubtleReference"/>
          <w:b w:val="0"/>
          <w:color w:val="auto"/>
        </w:rPr>
        <w:br/>
        <w:t>Result</w:t>
      </w:r>
      <w:r w:rsidR="00744188">
        <w:rPr>
          <w:rStyle w:val="SubtleReference"/>
          <w:b w:val="0"/>
          <w:color w:val="auto"/>
        </w:rPr>
        <w:t xml:space="preserve"> is rather surprising. While it</w:t>
      </w:r>
      <w:r w:rsidR="00B643BC">
        <w:rPr>
          <w:rStyle w:val="SubtleReference"/>
          <w:b w:val="0"/>
          <w:color w:val="auto"/>
        </w:rPr>
        <w:t xml:space="preserve"> originally</w:t>
      </w:r>
      <w:r w:rsidR="00744188">
        <w:rPr>
          <w:rStyle w:val="SubtleReference"/>
          <w:b w:val="0"/>
          <w:color w:val="auto"/>
        </w:rPr>
        <w:t xml:space="preserve"> seemed that Leo’s offers superior prices in Consumables, it only excels </w:t>
      </w:r>
      <w:r w:rsidRPr="00E56420">
        <w:rPr>
          <w:rStyle w:val="SubtleReference"/>
          <w:b w:val="0"/>
          <w:color w:val="auto"/>
        </w:rPr>
        <w:t>in one of the five clusters within Consumables. W</w:t>
      </w:r>
      <w:r w:rsidR="00B643BC">
        <w:rPr>
          <w:rStyle w:val="SubtleReference"/>
          <w:b w:val="0"/>
          <w:color w:val="auto"/>
        </w:rPr>
        <w:t>e can see that Jet can</w:t>
      </w:r>
      <w:r w:rsidRPr="00E56420">
        <w:rPr>
          <w:rStyle w:val="SubtleReference"/>
          <w:b w:val="0"/>
          <w:color w:val="auto"/>
        </w:rPr>
        <w:t xml:space="preserve"> </w:t>
      </w:r>
      <w:r w:rsidR="00E56420" w:rsidRPr="00E56420">
        <w:rPr>
          <w:rStyle w:val="SubtleReference"/>
          <w:b w:val="0"/>
          <w:color w:val="auto"/>
        </w:rPr>
        <w:t>lose</w:t>
      </w:r>
      <w:r w:rsidRPr="00E56420">
        <w:rPr>
          <w:rStyle w:val="SubtleReference"/>
          <w:b w:val="0"/>
          <w:color w:val="auto"/>
        </w:rPr>
        <w:t xml:space="preserve"> out on </w:t>
      </w:r>
      <w:r w:rsidR="00E56420" w:rsidRPr="00E56420">
        <w:rPr>
          <w:rStyle w:val="SubtleReference"/>
          <w:b w:val="0"/>
          <w:color w:val="auto"/>
        </w:rPr>
        <w:t>a lot</w:t>
      </w:r>
      <w:r w:rsidR="0063602D">
        <w:rPr>
          <w:rStyle w:val="SubtleReference"/>
          <w:b w:val="0"/>
          <w:color w:val="auto"/>
        </w:rPr>
        <w:t xml:space="preserve"> of</w:t>
      </w:r>
      <w:r w:rsidR="00E56420" w:rsidRPr="00E56420">
        <w:rPr>
          <w:rStyle w:val="SubtleReference"/>
          <w:b w:val="0"/>
          <w:color w:val="auto"/>
        </w:rPr>
        <w:t xml:space="preserve"> cost savings</w:t>
      </w:r>
      <w:r w:rsidR="00B643BC">
        <w:rPr>
          <w:rStyle w:val="SubtleReference"/>
          <w:b w:val="0"/>
          <w:color w:val="auto"/>
        </w:rPr>
        <w:t xml:space="preserve"> if it merely choos</w:t>
      </w:r>
      <w:r w:rsidRPr="00E56420">
        <w:rPr>
          <w:rStyle w:val="SubtleReference"/>
          <w:b w:val="0"/>
          <w:color w:val="auto"/>
        </w:rPr>
        <w:t>e</w:t>
      </w:r>
      <w:r w:rsidR="00B643BC">
        <w:rPr>
          <w:rStyle w:val="SubtleReference"/>
          <w:b w:val="0"/>
          <w:color w:val="auto"/>
        </w:rPr>
        <w:t>s</w:t>
      </w:r>
      <w:r w:rsidRPr="00E56420">
        <w:rPr>
          <w:rStyle w:val="SubtleReference"/>
          <w:b w:val="0"/>
          <w:color w:val="auto"/>
        </w:rPr>
        <w:t xml:space="preserve"> vendors on a category basis. </w:t>
      </w:r>
      <w:r w:rsidR="00B643BC">
        <w:rPr>
          <w:rStyle w:val="SubtleReference"/>
          <w:b w:val="0"/>
          <w:color w:val="auto"/>
        </w:rPr>
        <w:t>Below is a</w:t>
      </w:r>
      <w:r w:rsidR="00E56420" w:rsidRPr="00E56420">
        <w:rPr>
          <w:rStyle w:val="SubtleReference"/>
          <w:b w:val="0"/>
          <w:color w:val="auto"/>
        </w:rPr>
        <w:t xml:space="preserve"> summary of </w:t>
      </w:r>
      <w:r w:rsidR="00744188">
        <w:rPr>
          <w:rStyle w:val="SubtleReference"/>
          <w:b w:val="0"/>
          <w:color w:val="auto"/>
        </w:rPr>
        <w:t xml:space="preserve">the </w:t>
      </w:r>
      <w:r w:rsidR="00E56420" w:rsidRPr="00E56420">
        <w:rPr>
          <w:rStyle w:val="SubtleReference"/>
          <w:b w:val="0"/>
          <w:color w:val="auto"/>
        </w:rPr>
        <w:t>results from the K-Mean</w:t>
      </w:r>
      <w:r w:rsidR="00B643BC">
        <w:rPr>
          <w:rStyle w:val="SubtleReference"/>
          <w:b w:val="0"/>
          <w:color w:val="auto"/>
        </w:rPr>
        <w:t>s C</w:t>
      </w:r>
      <w:r w:rsidR="00E56420" w:rsidRPr="00E56420">
        <w:rPr>
          <w:rStyle w:val="SubtleReference"/>
          <w:b w:val="0"/>
          <w:color w:val="auto"/>
        </w:rPr>
        <w:t xml:space="preserve">lustering analysis. My recommendation for this case </w:t>
      </w:r>
      <w:r w:rsidR="00E56420">
        <w:rPr>
          <w:rStyle w:val="SubtleReference"/>
          <w:b w:val="0"/>
          <w:color w:val="auto"/>
        </w:rPr>
        <w:t xml:space="preserve">is that Jet would choose the most competitive vendor in each of these clusters. </w:t>
      </w:r>
    </w:p>
    <w:p w:rsidR="00744188" w:rsidRPr="00E56420" w:rsidRDefault="00744188" w:rsidP="00DB09B0">
      <w:pPr>
        <w:contextualSpacing/>
        <w:rPr>
          <w:rStyle w:val="SubtleReference"/>
          <w:b w:val="0"/>
          <w:color w:val="auto"/>
        </w:rPr>
      </w:pPr>
    </w:p>
    <w:tbl>
      <w:tblPr>
        <w:tblStyle w:val="GridTable1Light"/>
        <w:tblW w:w="9416" w:type="dxa"/>
        <w:tblLook w:val="04A0" w:firstRow="1" w:lastRow="0" w:firstColumn="1" w:lastColumn="0" w:noHBand="0" w:noVBand="1"/>
      </w:tblPr>
      <w:tblGrid>
        <w:gridCol w:w="2308"/>
        <w:gridCol w:w="2308"/>
        <w:gridCol w:w="2399"/>
        <w:gridCol w:w="2401"/>
      </w:tblGrid>
      <w:tr w:rsidR="00E56420" w:rsidRPr="00E56420" w:rsidTr="0074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Category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Sales Cluster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Most Competitive Vendor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Least Competitive Vendor</w:t>
            </w:r>
          </w:p>
        </w:tc>
      </w:tr>
      <w:tr w:rsidR="00E56420" w:rsidRPr="00E56420" w:rsidTr="007441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Electronics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&lt;=200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Jasmine’s 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Leo’s </w:t>
            </w:r>
          </w:p>
        </w:tc>
      </w:tr>
      <w:tr w:rsidR="00E56420" w:rsidRPr="00E56420" w:rsidTr="007441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Electronics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&gt;200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Leo’s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Alex’s</w:t>
            </w:r>
          </w:p>
        </w:tc>
      </w:tr>
      <w:tr w:rsidR="00E56420" w:rsidRPr="00E56420" w:rsidTr="007441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Home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&lt;=350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Alex’s 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Jasmine’s </w:t>
            </w:r>
          </w:p>
        </w:tc>
      </w:tr>
      <w:tr w:rsidR="00E56420" w:rsidRPr="00E56420" w:rsidTr="007441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Home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&gt;350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Leo’s 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Jasmine’s </w:t>
            </w:r>
          </w:p>
        </w:tc>
      </w:tr>
      <w:tr w:rsidR="00E56420" w:rsidRPr="00E56420" w:rsidTr="007441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&lt;500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Alex’s 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Leo’s </w:t>
            </w:r>
          </w:p>
        </w:tc>
      </w:tr>
      <w:tr w:rsidR="00E56420" w:rsidRPr="00E56420" w:rsidTr="007441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500-600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Jasmine’s 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Leo’s </w:t>
            </w:r>
          </w:p>
        </w:tc>
      </w:tr>
      <w:tr w:rsidR="00E56420" w:rsidRPr="00E56420" w:rsidTr="007441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1000-1100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Alex’s 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Jasmine’s </w:t>
            </w:r>
          </w:p>
        </w:tc>
      </w:tr>
      <w:tr w:rsidR="00E56420" w:rsidRPr="00E56420" w:rsidTr="0074418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E56420" w:rsidRPr="00E56420" w:rsidRDefault="00E56420" w:rsidP="00DB09B0">
            <w:pPr>
              <w:contextualSpacing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Consumables</w:t>
            </w:r>
          </w:p>
        </w:tc>
        <w:tc>
          <w:tcPr>
            <w:tcW w:w="2308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>&gt;1100</w:t>
            </w:r>
          </w:p>
        </w:tc>
        <w:tc>
          <w:tcPr>
            <w:tcW w:w="2399" w:type="dxa"/>
            <w:shd w:val="clear" w:color="auto" w:fill="FFC000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Leo’s </w:t>
            </w:r>
          </w:p>
        </w:tc>
        <w:tc>
          <w:tcPr>
            <w:tcW w:w="2401" w:type="dxa"/>
          </w:tcPr>
          <w:p w:rsidR="00E56420" w:rsidRPr="00E56420" w:rsidRDefault="00E56420" w:rsidP="00DB09B0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E56420">
              <w:rPr>
                <w:rFonts w:eastAsia="Times New Roman" w:cstheme="minorHAnsi"/>
                <w:sz w:val="20"/>
                <w:szCs w:val="20"/>
              </w:rPr>
              <w:t xml:space="preserve">Jasmine’s </w:t>
            </w:r>
          </w:p>
        </w:tc>
      </w:tr>
    </w:tbl>
    <w:p w:rsidR="00DF52F9" w:rsidRPr="00AB5137" w:rsidRDefault="00DF52F9" w:rsidP="00744188">
      <w:pPr>
        <w:contextualSpacing/>
        <w:rPr>
          <w:rStyle w:val="SubtleReference"/>
          <w:b w:val="0"/>
        </w:rPr>
      </w:pPr>
    </w:p>
    <w:sectPr w:rsidR="00DF52F9" w:rsidRPr="00AB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5F"/>
    <w:rsid w:val="002D5D1A"/>
    <w:rsid w:val="0035645F"/>
    <w:rsid w:val="00377DFB"/>
    <w:rsid w:val="005869AA"/>
    <w:rsid w:val="0060583B"/>
    <w:rsid w:val="0063602D"/>
    <w:rsid w:val="00693413"/>
    <w:rsid w:val="00744188"/>
    <w:rsid w:val="00956C46"/>
    <w:rsid w:val="00AB5137"/>
    <w:rsid w:val="00AC7952"/>
    <w:rsid w:val="00B643BC"/>
    <w:rsid w:val="00C20DDE"/>
    <w:rsid w:val="00DB09B0"/>
    <w:rsid w:val="00DF52F9"/>
    <w:rsid w:val="00E56420"/>
    <w:rsid w:val="00E85F24"/>
    <w:rsid w:val="00F46E11"/>
    <w:rsid w:val="00F5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37CB"/>
  <w15:chartTrackingRefBased/>
  <w15:docId w15:val="{15064E76-3612-4DB3-8271-B867BA20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645F"/>
  </w:style>
  <w:style w:type="paragraph" w:styleId="Heading1">
    <w:name w:val="heading 1"/>
    <w:basedOn w:val="Normal"/>
    <w:next w:val="Normal"/>
    <w:link w:val="Heading1Char"/>
    <w:uiPriority w:val="9"/>
    <w:qFormat/>
    <w:rsid w:val="0035645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5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5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5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5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5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5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645F"/>
  </w:style>
  <w:style w:type="character" w:customStyle="1" w:styleId="DateChar">
    <w:name w:val="Date Char"/>
    <w:basedOn w:val="DefaultParagraphFont"/>
    <w:link w:val="Date"/>
    <w:uiPriority w:val="99"/>
    <w:semiHidden/>
    <w:rsid w:val="0035645F"/>
  </w:style>
  <w:style w:type="character" w:customStyle="1" w:styleId="Heading1Char">
    <w:name w:val="Heading 1 Char"/>
    <w:basedOn w:val="DefaultParagraphFont"/>
    <w:link w:val="Heading1"/>
    <w:uiPriority w:val="9"/>
    <w:rsid w:val="0035645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5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5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5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5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5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5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5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5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45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645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45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645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645F"/>
    <w:rPr>
      <w:b/>
      <w:bCs/>
    </w:rPr>
  </w:style>
  <w:style w:type="character" w:styleId="Emphasis">
    <w:name w:val="Emphasis"/>
    <w:uiPriority w:val="20"/>
    <w:qFormat/>
    <w:rsid w:val="0035645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564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645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645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5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5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5645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5645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5645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5645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5645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45F"/>
    <w:pPr>
      <w:outlineLvl w:val="9"/>
    </w:pPr>
  </w:style>
  <w:style w:type="table" w:styleId="TableGrid">
    <w:name w:val="Table Grid"/>
    <w:basedOn w:val="TableNormal"/>
    <w:uiPriority w:val="39"/>
    <w:rsid w:val="00F5425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869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869A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Suk Lee</dc:creator>
  <cp:keywords/>
  <dc:description/>
  <cp:lastModifiedBy>Jung Suk Lee</cp:lastModifiedBy>
  <cp:revision>4</cp:revision>
  <cp:lastPrinted>2017-05-11T02:09:00Z</cp:lastPrinted>
  <dcterms:created xsi:type="dcterms:W3CDTF">2017-05-10T02:35:00Z</dcterms:created>
  <dcterms:modified xsi:type="dcterms:W3CDTF">2017-05-11T02:11:00Z</dcterms:modified>
</cp:coreProperties>
</file>