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pPr>
      <w:r>
        <w:rPr>
          <w:rFonts w:ascii="맑은 고딕" w:cs="맑은 고딕" w:eastAsia="맑은 고딕" w:hAnsi="맑은 고딕"/>
          <w:b/>
          <w:bCs/>
          <w:color w:val="1E2761"/>
          <w:sz w:val="44"/>
          <w:szCs w:val="44"/>
        </w:rPr>
        <w:t xml:space="preserve">전처리·모델링 재현성 검증 보고서</w:t>
      </w:r>
    </w:p>
    <w:p>
      <w:pPr>
        <w:spacing w:after="240"/>
      </w:pPr>
      <w:r>
        <w:rPr>
          <w:rFonts w:ascii="맑은 고딕" w:cs="맑은 고딕" w:eastAsia="맑은 고딕" w:hAnsi="맑은 고딕"/>
          <w:color w:val="44546A"/>
          <w:sz w:val="22"/>
          <w:szCs w:val="22"/>
        </w:rPr>
        <w:t xml:space="preserve">논문 기술 내용 vs 참고문헌(21,22) vs 실제 구현 — 전처리·하이퍼파라미터·실험결과 비교</w:t>
      </w:r>
    </w:p>
    <w:p>
      <w:pPr>
        <w:spacing w:after="60"/>
      </w:pPr>
      <w:r>
        <w:rPr>
          <w:rFonts w:ascii="맑은 고딕" w:cs="맑은 고딕" w:eastAsia="맑은 고딕" w:hAnsi="맑은 고딕"/>
          <w:b/>
          <w:bCs/>
          <w:color w:val="222222"/>
          <w:sz w:val="20"/>
          <w:szCs w:val="20"/>
        </w:rPr>
        <w:t xml:space="preserve">주논문: </w:t>
      </w:r>
      <w:r>
        <w:rPr>
          <w:rFonts w:ascii="맑은 고딕" w:cs="맑은 고딕" w:eastAsia="맑은 고딕" w:hAnsi="맑은 고딕"/>
          <w:color w:val="222222"/>
          <w:sz w:val="20"/>
          <w:szCs w:val="20"/>
        </w:rPr>
        <w:t xml:space="preserve">Priyadharshini et al., Scientific Reports (2024) 14:23394</w:t>
      </w:r>
    </w:p>
    <w:p>
      <w:pPr>
        <w:spacing w:after="60"/>
      </w:pPr>
      <w:r>
        <w:rPr>
          <w:rFonts w:ascii="맑은 고딕" w:cs="맑은 고딕" w:eastAsia="맑은 고딕" w:hAnsi="맑은 고딕"/>
          <w:b/>
          <w:bCs/>
          <w:color w:val="222222"/>
          <w:sz w:val="18"/>
          <w:szCs w:val="18"/>
        </w:rPr>
        <w:t xml:space="preserve">참고문헌 21: </w:t>
      </w:r>
      <w:r>
        <w:rPr>
          <w:rFonts w:ascii="맑은 고딕" w:cs="맑은 고딕" w:eastAsia="맑은 고딕" w:hAnsi="맑은 고딕"/>
          <w:color w:val="222222"/>
          <w:sz w:val="18"/>
          <w:szCs w:val="18"/>
        </w:rPr>
        <w:t xml:space="preserve">Priyadharshini et al., Alexandria Eng. J. 107 (2024) 568-582 (동일 저자 선행연구)</w:t>
      </w:r>
    </w:p>
    <w:p>
      <w:pPr>
        <w:spacing w:after="240"/>
      </w:pPr>
      <w:r>
        <w:rPr>
          <w:rFonts w:ascii="맑은 고딕" w:cs="맑은 고딕" w:eastAsia="맑은 고딕" w:hAnsi="맑은 고딕"/>
          <w:b/>
          <w:bCs/>
          <w:color w:val="222222"/>
          <w:sz w:val="18"/>
          <w:szCs w:val="18"/>
        </w:rPr>
        <w:t xml:space="preserve">참고문헌 22: </w:t>
      </w:r>
      <w:r>
        <w:rPr>
          <w:rFonts w:ascii="맑은 고딕" w:cs="맑은 고딕" w:eastAsia="맑은 고딕" w:hAnsi="맑은 고딕"/>
          <w:color w:val="222222"/>
          <w:sz w:val="18"/>
          <w:szCs w:val="18"/>
        </w:rPr>
        <w:t xml:space="preserve">Ullah et al., IEEE Access 11 (2023) — Evolutionary Model for Brain Cancer-Grading and Classification</w:t>
      </w:r>
    </w:p>
    <w:p>
      <w:pPr>
        <w:spacing w:after="120"/>
      </w:pPr>
      <w:r>
        <w:rPr>
          <w:rFonts w:ascii="맑은 고딕" w:cs="맑은 고딕" w:eastAsia="맑은 고딕" w:hAnsi="맑은 고딕"/>
          <w:color w:val="44546A"/>
          <w:sz w:val="18"/>
          <w:szCs w:val="18"/>
        </w:rPr>
        <w:t xml:space="preserve">작성일: 2026-07-02 · 브레인텐서 프로젝트</w:t>
      </w:r>
    </w:p>
    <w:p>
      <w:pPr>
        <w:pStyle w:val="Heading1"/>
        <w:spacing w:after="160" w:before="360"/>
      </w:pPr>
      <w:r>
        <w:rPr>
          <w:rFonts w:ascii="맑은 고딕" w:cs="맑은 고딕" w:eastAsia="맑은 고딕" w:hAnsi="맑은 고딕"/>
          <w:b/>
          <w:bCs/>
          <w:color w:val="1E2761"/>
          <w:sz w:val="32"/>
          <w:szCs w:val="32"/>
        </w:rPr>
        <w:t xml:space="preserve">0. 핵심 요약 (Executive Summary)</w:t>
      </w:r>
    </w:p>
    <w:tbl>
      <w:tblPr>
        <w:tblW w:type="dxa" w:w="15398"/>
        <w:tblBorders>
          <w:top w:val="single" w:color="E5C6C2" w:sz="4"/>
          <w:left w:val="single" w:color="E5C6C2" w:sz="4"/>
          <w:bottom w:val="single" w:color="E5C6C2" w:sz="4"/>
          <w:right w:val="single" w:color="E5C6C2" w:sz="4"/>
          <w:insideH w:val="none"/>
          <w:insideV w:val="none"/>
        </w:tblBorders>
      </w:tblPr>
      <w:tblGrid>
        <w:gridCol w:w="15398"/>
      </w:tblGrid>
      <w:tr>
        <w:tc>
          <w:tcPr>
            <w:tcW w:type="dxa" w:w="15398"/>
            <w:shd w:fill="FDECEA" w:val="clear"/>
            <w:tcMar>
              <w:top w:type="dxa" w:w="120"/>
              <w:left w:type="dxa" w:w="160"/>
              <w:bottom w:type="dxa" w:w="120"/>
              <w:right w:type="dxa" w:w="160"/>
            </w:tcMar>
          </w:tcPr>
          <w:p>
            <w:pPr>
              <w:spacing w:after="60"/>
            </w:pPr>
            <w:r>
              <w:rPr>
                <w:rFonts w:ascii="맑은 고딕" w:cs="맑은 고딕" w:eastAsia="맑은 고딕" w:hAnsi="맑은 고딕"/>
                <w:b/>
                <w:bCs/>
                <w:color w:val="8C2F26"/>
                <w:sz w:val="20"/>
                <w:szCs w:val="20"/>
              </w:rPr>
              <w:t xml:space="preserve">① 현재 사용 가능한 학습 결과는 '최종 확정 전처리 데이터셋' 기준이 아닙니다</w:t>
            </w:r>
          </w:p>
          <w:p>
            <w:r>
              <w:rPr>
                <w:rFonts w:ascii="맑은 고딕" w:cs="맑은 고딕" w:eastAsia="맑은 고딕" w:hAnsi="맑은 고딕"/>
                <w:color w:val="8C2F26"/>
                <w:sz w:val="18"/>
                <w:szCs w:val="18"/>
              </w:rPr>
              <w:t xml:space="preserve">본 프로젝트가 이번 세션에서 QC까지 완료한 최종 303명 전처리 데이터셋(BET+N4+FLIRT+MNI152, 06_resized/)에 대한 학습은 아직 1회도 수행되지 않았습니다. 현재 존재하는 학습 로그 4건(2026-06-25~06-29)은 모두 그 이전에 시도된 서로 다른 전처리 변형(Clinica 표준 파이프라인, ROBEX+PD25 SyN 비선형, ROBEX+PD25 Affine 선형)을 사용한 예비 실험입니다.</w:t>
            </w:r>
          </w:p>
        </w:tc>
      </w:tr>
    </w:tbl>
    <w:p>
      <w:pPr>
        <w:spacing w:after="120"/>
      </w:pPr>
    </w:p>
    <w:tbl>
      <w:tblPr>
        <w:tblW w:type="dxa" w:w="15398"/>
        <w:tblBorders>
          <w:top w:val="single" w:color="E5C6C2" w:sz="4"/>
          <w:left w:val="single" w:color="E5C6C2" w:sz="4"/>
          <w:bottom w:val="single" w:color="E5C6C2" w:sz="4"/>
          <w:right w:val="single" w:color="E5C6C2" w:sz="4"/>
          <w:insideH w:val="none"/>
          <w:insideV w:val="none"/>
        </w:tblBorders>
      </w:tblPr>
      <w:tblGrid>
        <w:gridCol w:w="15398"/>
      </w:tblGrid>
      <w:tr>
        <w:tc>
          <w:tcPr>
            <w:tcW w:type="dxa" w:w="15398"/>
            <w:shd w:fill="FDECEA" w:val="clear"/>
            <w:tcMar>
              <w:top w:type="dxa" w:w="120"/>
              <w:left w:type="dxa" w:w="160"/>
              <w:bottom w:type="dxa" w:w="120"/>
              <w:right w:type="dxa" w:w="160"/>
            </w:tcMar>
          </w:tcPr>
          <w:p>
            <w:pPr>
              <w:spacing w:after="60"/>
            </w:pPr>
            <w:r>
              <w:rPr>
                <w:rFonts w:ascii="맑은 고딕" w:cs="맑은 고딕" w:eastAsia="맑은 고딕" w:hAnsi="맑은 고딕"/>
                <w:b/>
                <w:bCs/>
                <w:color w:val="8C2F26"/>
                <w:sz w:val="20"/>
                <w:szCs w:val="20"/>
              </w:rPr>
              <w:t xml:space="preserve">② 기존 예비 결과는 모두 '단일 클래스 수렴' 현상을 보입니다</w:t>
            </w:r>
          </w:p>
          <w:p>
            <w:r>
              <w:rPr>
                <w:rFonts w:ascii="맑은 고딕" w:cs="맑은 고딕" w:eastAsia="맑은 고딕" w:hAnsi="맑은 고딕"/>
                <w:color w:val="8C2F26"/>
                <w:sz w:val="18"/>
                <w:szCs w:val="18"/>
              </w:rPr>
              <w:t xml:space="preserve">4건의 학습 로그 모두 혼동행렬상 모델이 특정 한 클래스(PD 또는 SWEDD)로만 예측을 수렴시키는 패턴을 보이며, 테스트 정확도는 44.65%~56.52% 수준으로 논문의 93%대와 큰 차이를 보입니다. 이는 전처리 차이만으로 설명하기 어려운 수준이며, 아래 4절에서 확인된 아키텍처 구현상의 편차(Flatten 방식, 채널 폭)가 더 유력한 원인으로 추정됩니다.</w:t>
            </w:r>
          </w:p>
        </w:tc>
      </w:tr>
    </w:tbl>
    <w:p>
      <w:pPr>
        <w:spacing w:after="120"/>
      </w:pPr>
    </w:p>
    <w:tbl>
      <w:tblPr>
        <w:tblW w:type="dxa" w:w="15398"/>
        <w:tblBorders>
          <w:top w:val="single" w:color="E5C6C2" w:sz="4"/>
          <w:left w:val="single" w:color="E5C6C2" w:sz="4"/>
          <w:bottom w:val="single" w:color="E5C6C2" w:sz="4"/>
          <w:right w:val="single" w:color="E5C6C2" w:sz="4"/>
          <w:insideH w:val="none"/>
          <w:insideV w:val="none"/>
        </w:tblBorders>
      </w:tblPr>
      <w:tblGrid>
        <w:gridCol w:w="15398"/>
      </w:tblGrid>
      <w:tr>
        <w:tc>
          <w:tcPr>
            <w:tcW w:type="dxa" w:w="15398"/>
            <w:shd w:fill="FDECEA" w:val="clear"/>
            <w:tcMar>
              <w:top w:type="dxa" w:w="120"/>
              <w:left w:type="dxa" w:w="160"/>
              <w:bottom w:type="dxa" w:w="120"/>
              <w:right w:type="dxa" w:w="160"/>
            </w:tcMar>
          </w:tcPr>
          <w:p>
            <w:pPr>
              <w:spacing w:after="60"/>
            </w:pPr>
            <w:r>
              <w:rPr>
                <w:rFonts w:ascii="맑은 고딕" w:cs="맑은 고딕" w:eastAsia="맑은 고딕" w:hAnsi="맑은 고딕"/>
                <w:b/>
                <w:bCs/>
                <w:color w:val="8C2F26"/>
                <w:sz w:val="20"/>
                <w:szCs w:val="20"/>
              </w:rPr>
              <w:t xml:space="preserve">③ 전처리 절차는 참고문헌 21과 비교했을 때 3가지 명확한 편차가 확인됩니다</w:t>
            </w:r>
          </w:p>
          <w:p>
            <w:r>
              <w:rPr>
                <w:rFonts w:ascii="맑은 고딕" w:cs="맑은 고딕" w:eastAsia="맑은 고딕" w:hAnsi="맑은 고딕"/>
                <w:color w:val="8C2F26"/>
                <w:sz w:val="18"/>
                <w:szCs w:val="18"/>
              </w:rPr>
              <w:t xml:space="preserve">(1) 정합 대상 템플릿: 구현=범용 MNI152 / 참고문헌21=PD 특화 MNIPD25-T1MPRAGE-1 아틀라스. (2) 정합 도구·방식: 구현=FSL FLIRT 12-DOF 아핀 단독 / 참고문헌21=ANTsPy 아핀+비선형(non-linear) 복합. (3) 정규화 공식: 구현=z-score(±5 clip) / 참고문헌21=min-max([0,1]). 반면 뇌 추출 도구(BET)와 CrossEntropy 손실 등은 주논문·참고문헌22와 일치합니다. 상세 근거는 1절 표 참조.</w:t>
            </w:r>
          </w:p>
        </w:tc>
      </w:tr>
    </w:tbl>
    <w:p>
      <w:r>
        <w:br w:type="page"/>
      </w:r>
    </w:p>
    <w:p>
      <w:pPr>
        <w:pStyle w:val="Heading1"/>
        <w:spacing w:after="160" w:before="360"/>
      </w:pPr>
      <w:r>
        <w:rPr>
          <w:rFonts w:ascii="맑은 고딕" w:cs="맑은 고딕" w:eastAsia="맑은 고딕" w:hAnsi="맑은 고딕"/>
          <w:b/>
          <w:bCs/>
          <w:color w:val="1E2761"/>
          <w:sz w:val="32"/>
          <w:szCs w:val="32"/>
        </w:rPr>
        <w:t xml:space="preserve">1. 전처리 파이프라인 비교</w:t>
      </w:r>
    </w:p>
    <w:p>
      <w:pPr>
        <w:spacing w:after="120"/>
      </w:pPr>
      <w:r>
        <w:rPr>
          <w:rFonts w:ascii="맑은 고딕" w:cs="맑은 고딕" w:eastAsia="맑은 고딕" w:hAnsi="맑은 고딕"/>
          <w:color w:val="222222"/>
          <w:sz w:val="19"/>
          <w:szCs w:val="19"/>
        </w:rPr>
        <w:t xml:space="preserve">주논문은 전처리 절차를 두 곳에서 서로 다르게 요약합니다: (A) Methods(p.4) "brain extraction, registration, normalization and data augmentation as described in the reference 21,22", (B) Results(p.9) "skull stripping and field correction [ref.31]... resize to 56x56x56". 주논문 본문에는 'MNI', 'FLIRT', 'N4', 'template' 등의 단어가 전혀 등장하지 않으며, 실제 도구·아틀라스명은 참고문헌 21·22에서만 확인됩니다.</w:t>
      </w:r>
    </w:p>
    <w:p>
      <w:pPr>
        <w:spacing w:after="120"/>
      </w:pPr>
    </w:p>
    <w:tbl>
      <w:tblPr>
        <w:tblW w:type="dxa" w:w="15398"/>
        <w:tblBorders>
          <w:top w:val="single" w:color="C7CEE5" w:sz="4"/>
          <w:left w:val="single" w:color="C7CEE5" w:sz="4"/>
          <w:bottom w:val="single" w:color="C7CEE5" w:sz="4"/>
          <w:right w:val="single" w:color="C7CEE5" w:sz="4"/>
          <w:insideH w:val="single" w:color="C7CEE5" w:sz="4"/>
          <w:insideV w:val="single" w:color="C7CEE5" w:sz="4"/>
        </w:tblBorders>
      </w:tblPr>
      <w:tblGrid>
        <w:gridCol w:w="1300"/>
        <w:gridCol w:w="2300"/>
        <w:gridCol w:w="2100"/>
        <w:gridCol w:w="2600"/>
        <w:gridCol w:w="2200"/>
        <w:gridCol w:w="2600"/>
        <w:gridCol w:w="2298"/>
      </w:tblGrid>
      <w:tr>
        <w:trPr>
          <w:tblHeader/>
        </w:trPr>
        <w:tc>
          <w:tcPr>
            <w:tcW w:type="dxa" w:w="13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단계</w:t>
            </w:r>
          </w:p>
        </w:tc>
        <w:tc>
          <w:tcPr>
            <w:tcW w:type="dxa" w:w="23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주논문 Methods(p.4)</w:t>
            </w:r>
          </w:p>
        </w:tc>
        <w:tc>
          <w:tcPr>
            <w:tcW w:type="dxa" w:w="21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주논문 Results(p.9)</w:t>
            </w:r>
          </w:p>
        </w:tc>
        <w:tc>
          <w:tcPr>
            <w:tcW w:type="dxa" w:w="26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참고문헌 21
(Priyadharshini, AEJ)</w:t>
            </w:r>
          </w:p>
        </w:tc>
        <w:tc>
          <w:tcPr>
            <w:tcW w:type="dxa" w:w="22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참고문헌 22
(Ullah, IEEE Access)</w:t>
            </w:r>
          </w:p>
        </w:tc>
        <w:tc>
          <w:tcPr>
            <w:tcW w:type="dxa" w:w="26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현재 구현
(preparing.py)</w:t>
            </w:r>
          </w:p>
        </w:tc>
        <w:tc>
          <w:tcPr>
            <w:tcW w:type="dxa" w:w="2298"/>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판정</w:t>
            </w:r>
          </w:p>
        </w:tc>
      </w:tr>
      <w:tr>
        <w:tc>
          <w:tcPr>
            <w:tcW w:type="dxa" w:w="13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DICOM→NIfTI</w:t>
            </w:r>
          </w:p>
        </w:tc>
        <w:tc>
          <w:tcPr>
            <w:tcW w:type="dxa" w:w="23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명시 없음</w:t>
            </w:r>
          </w:p>
        </w:tc>
        <w:tc>
          <w:tcPr>
            <w:tcW w:type="dxa" w:w="21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"converted to single 3D NIfTI"</w:t>
            </w:r>
          </w:p>
        </w:tc>
        <w:tc>
          <w:tcPr>
            <w:tcW w:type="dxa" w:w="26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명시 (Step1)</w:t>
            </w:r>
          </w:p>
        </w:tc>
        <w:tc>
          <w:tcPr>
            <w:tcW w:type="dxa" w:w="2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명시</w:t>
            </w:r>
          </w:p>
        </w:tc>
        <w:tc>
          <w:tcPr>
            <w:tcW w:type="dxa" w:w="26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dicom2nifti 사용</w:t>
            </w:r>
          </w:p>
        </w:tc>
        <w:tc>
          <w:tcPr>
            <w:tcW w:type="dxa" w:w="22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일치</w:t>
            </w:r>
          </w:p>
        </w:tc>
      </w:tr>
      <w:tr>
        <w:tc>
          <w:tcPr>
            <w:tcW w:type="dxa" w:w="13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뇌 추출
(Brain extraction)</w:t>
            </w:r>
          </w:p>
        </w:tc>
        <w:tc>
          <w:tcPr>
            <w:tcW w:type="dxa" w:w="23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"brain extraction" (1번째 단계)</w:t>
            </w:r>
          </w:p>
        </w:tc>
        <w:tc>
          <w:tcPr>
            <w:tcW w:type="dxa" w:w="21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"skull stripping" [ref.31=Smith 2002 BET]</w:t>
            </w:r>
          </w:p>
        </w:tc>
        <w:tc>
          <w:tcPr>
            <w:tcW w:type="dxa" w:w="26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ROBEX 알고리즘
(Step2)</w:t>
            </w:r>
          </w:p>
        </w:tc>
        <w:tc>
          <w:tcPr>
            <w:tcW w:type="dxa" w:w="2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BET 사용
(Brain Extraction Tool)</w:t>
            </w:r>
          </w:p>
        </w:tc>
        <w:tc>
          <w:tcPr>
            <w:tcW w:type="dxa" w:w="26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FSL BET
(-R -f 0.5 -g 0)</w:t>
            </w:r>
          </w:p>
        </w:tc>
        <w:tc>
          <w:tcPr>
            <w:tcW w:type="dxa" w:w="2298"/>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주논문 Results 인용(ref.31=BET)·참고문헌22와 일치. 참고문헌21(ROBEX)과는 도구 상이</w:t>
            </w:r>
          </w:p>
        </w:tc>
      </w:tr>
      <w:tr>
        <w:tc>
          <w:tcPr>
            <w:tcW w:type="dxa" w:w="13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Bias/Field
correction</w:t>
            </w:r>
          </w:p>
        </w:tc>
        <w:tc>
          <w:tcPr>
            <w:tcW w:type="dxa" w:w="23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언급 없음</w:t>
            </w:r>
          </w:p>
        </w:tc>
        <w:tc>
          <w:tcPr>
            <w:tcW w:type="dxa" w:w="21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"field correction" [ref.31과 동일 인용]</w:t>
            </w:r>
          </w:p>
        </w:tc>
        <w:tc>
          <w:tcPr>
            <w:tcW w:type="dxa" w:w="26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N4 Bias correction
(Step5, 정규화 이후 마지막 단계)</w:t>
            </w:r>
          </w:p>
        </w:tc>
        <w:tc>
          <w:tcPr>
            <w:tcW w:type="dxa" w:w="2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명시적 언급 없음</w:t>
            </w:r>
          </w:p>
        </w:tc>
        <w:tc>
          <w:tcPr>
            <w:tcW w:type="dxa" w:w="26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ANTs N4BiasField
Correction
(추출 직후 적용)</w:t>
            </w:r>
          </w:p>
        </w:tc>
        <w:tc>
          <w:tcPr>
            <w:tcW w:type="dxa" w:w="22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도구(N4)는 참고문헌21과 일치하나 순서가 다름(구현=추출 직후 / 참고문헌21=정규화 이후 최종 단계)</w:t>
            </w:r>
          </w:p>
        </w:tc>
      </w:tr>
      <w:tr>
        <w:tc>
          <w:tcPr>
            <w:tcW w:type="dxa" w:w="13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정합
(Registration)</w:t>
            </w:r>
          </w:p>
        </w:tc>
        <w:tc>
          <w:tcPr>
            <w:tcW w:type="dxa" w:w="23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"registration" (2번째 단계)</w:t>
            </w:r>
          </w:p>
        </w:tc>
        <w:tc>
          <w:tcPr>
            <w:tcW w:type="dxa" w:w="21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언급 없음</w:t>
            </w:r>
          </w:p>
        </w:tc>
        <w:tc>
          <w:tcPr>
            <w:tcW w:type="dxa" w:w="26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MNIPD25-T1MPRAGE-1
아틀라스, Antspyx,
아핀+비선형(Step3)</w:t>
            </w:r>
          </w:p>
        </w:tc>
        <w:tc>
          <w:tcPr>
            <w:tcW w:type="dxa" w:w="2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일반적 서술만
("aligning... common
coordinate space"), 도구·아틀라스 미지정</w:t>
            </w:r>
          </w:p>
        </w:tc>
        <w:tc>
          <w:tcPr>
            <w:tcW w:type="dxa" w:w="26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FSL FLIRT,
MNI152 표준 템플릿,
12-DOF 아핀 단독</w:t>
            </w:r>
          </w:p>
        </w:tc>
        <w:tc>
          <w:tcPr>
            <w:tcW w:type="dxa" w:w="2298"/>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편차: 아틀라스(PD 특화 vs 범용) 및 비선형 성분 누락</w:t>
            </w:r>
          </w:p>
        </w:tc>
      </w:tr>
      <w:tr>
        <w:tc>
          <w:tcPr>
            <w:tcW w:type="dxa" w:w="13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정규화
(Normalization)</w:t>
            </w:r>
          </w:p>
        </w:tc>
        <w:tc>
          <w:tcPr>
            <w:tcW w:type="dxa" w:w="23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"normalization" (3번째 단계)</w:t>
            </w:r>
          </w:p>
        </w:tc>
        <w:tc>
          <w:tcPr>
            <w:tcW w:type="dxa" w:w="21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언급 없음
(field correction에 포함 서술 가능성)</w:t>
            </w:r>
          </w:p>
        </w:tc>
        <w:tc>
          <w:tcPr>
            <w:tcW w:type="dxa" w:w="26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min-max:
(I-Min)/(Max-Min),
[0,1] 범위 (Step4)</w:t>
            </w:r>
          </w:p>
        </w:tc>
        <w:tc>
          <w:tcPr>
            <w:tcW w:type="dxa" w:w="2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z-score:
평균0·표준편차1
(clip 언급 없음)</w:t>
            </w:r>
          </w:p>
        </w:tc>
        <w:tc>
          <w:tcPr>
            <w:tcW w:type="dxa" w:w="26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z-score,
[-5, 5] clip 적용</w:t>
            </w:r>
          </w:p>
        </w:tc>
        <w:tc>
          <w:tcPr>
            <w:tcW w:type="dxa" w:w="22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구현은 참고문헌22의 z-score 방식과 개념적으로 일치. 참고문헌21의 min-max와는 공식 자체가 상이. ±5 clip은 두 참고문헌 어디에도 없는 구현 자체 추가 규칙</w:t>
            </w:r>
          </w:p>
        </w:tc>
      </w:tr>
      <w:tr>
        <w:tc>
          <w:tcPr>
            <w:tcW w:type="dxa" w:w="13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데이터 증강
(Augmentation)</w:t>
            </w:r>
          </w:p>
        </w:tc>
        <w:tc>
          <w:tcPr>
            <w:tcW w:type="dxa" w:w="23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"data augmentation" (4번째 단계)</w:t>
            </w:r>
          </w:p>
        </w:tc>
        <w:tc>
          <w:tcPr>
            <w:tcW w:type="dxa" w:w="21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언급 없음</w:t>
            </w:r>
          </w:p>
        </w:tc>
        <w:tc>
          <w:tcPr>
            <w:tcW w:type="dxa" w:w="26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언급 없음
(0회 등장)</w:t>
            </w:r>
          </w:p>
        </w:tc>
        <w:tc>
          <w:tcPr>
            <w:tcW w:type="dxa" w:w="2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언급 없음
(0회 등장)</w:t>
            </w:r>
          </w:p>
        </w:tc>
        <w:tc>
          <w:tcPr>
            <w:tcW w:type="dxa" w:w="26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회전(±8°)/flip/
scale(±5%)/noise,
분할 후 train만 적용</w:t>
            </w:r>
          </w:p>
        </w:tc>
        <w:tc>
          <w:tcPr>
            <w:tcW w:type="dxa" w:w="2298"/>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두 참고문헌 모두 세부 기법 미기재 → 구현 파라미터는 자체 설정(논문 미기재 항목). 분할 후 적용 원칙은 데이터 누출 방지를 위한 합리적 설계</w:t>
            </w:r>
          </w:p>
        </w:tc>
      </w:tr>
      <w:tr>
        <w:tc>
          <w:tcPr>
            <w:tcW w:type="dxa" w:w="13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리사이즈
(Resize)</w:t>
            </w:r>
          </w:p>
        </w:tc>
        <w:tc>
          <w:tcPr>
            <w:tcW w:type="dxa" w:w="23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언급 없음</w:t>
            </w:r>
          </w:p>
        </w:tc>
        <w:tc>
          <w:tcPr>
            <w:tcW w:type="dxa" w:w="21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"input size is converted
to 56x56x56"</w:t>
            </w:r>
          </w:p>
        </w:tc>
        <w:tc>
          <w:tcPr>
            <w:tcW w:type="dxa" w:w="26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언급 없음</w:t>
            </w:r>
          </w:p>
        </w:tc>
        <w:tc>
          <w:tcPr>
            <w:tcW w:type="dxa" w:w="2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240×240(2D, 다른 과제)</w:t>
            </w:r>
          </w:p>
        </w:tc>
        <w:tc>
          <w:tcPr>
            <w:tcW w:type="dxa" w:w="26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56×56×56
(trilinear zoom)</w:t>
            </w:r>
          </w:p>
        </w:tc>
        <w:tc>
          <w:tcPr>
            <w:tcW w:type="dxa" w:w="22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최종 크기는 주논문과 일치</w:t>
            </w:r>
          </w:p>
        </w:tc>
      </w:tr>
    </w:tbl>
    <w:p>
      <w:pPr>
        <w:spacing w:after="200"/>
      </w:pPr>
    </w:p>
    <w:p>
      <w:pPr>
        <w:pStyle w:val="Heading2"/>
        <w:spacing w:after="120" w:before="240"/>
      </w:pPr>
      <w:r>
        <w:rPr>
          <w:rFonts w:ascii="맑은 고딕" w:cs="맑은 고딕" w:eastAsia="맑은 고딕" w:hAnsi="맑은 고딕"/>
          <w:b/>
          <w:bCs/>
          <w:color w:val="1E2761"/>
          <w:sz w:val="26"/>
          <w:szCs w:val="26"/>
        </w:rPr>
        <w:t xml:space="preserve">실행 순서 비교</w:t>
      </w:r>
    </w:p>
    <w:tbl>
      <w:tblPr>
        <w:tblW w:type="dxa" w:w="15398"/>
        <w:tblBorders>
          <w:top w:val="single" w:color="C7CEE5" w:sz="4"/>
          <w:left w:val="single" w:color="C7CEE5" w:sz="4"/>
          <w:bottom w:val="single" w:color="C7CEE5" w:sz="4"/>
          <w:right w:val="single" w:color="C7CEE5" w:sz="4"/>
          <w:insideH w:val="single" w:color="C7CEE5" w:sz="4"/>
          <w:insideV w:val="single" w:color="C7CEE5" w:sz="4"/>
        </w:tblBorders>
      </w:tblPr>
      <w:tblGrid>
        <w:gridCol w:w="3200"/>
        <w:gridCol w:w="12198"/>
      </w:tblGrid>
      <w:tr>
        <w:trPr>
          <w:tblHeader/>
        </w:trPr>
        <w:tc>
          <w:tcPr>
            <w:tcW w:type="dxa" w:w="32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출처</w:t>
            </w:r>
          </w:p>
        </w:tc>
        <w:tc>
          <w:tcPr>
            <w:tcW w:type="dxa" w:w="12198"/>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순서</w:t>
            </w:r>
          </w:p>
        </w:tc>
      </w:tr>
      <w:tr>
        <w:tc>
          <w:tcPr>
            <w:tcW w:type="dxa" w:w="3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주논문 Methods(p.4)</w:t>
            </w:r>
          </w:p>
        </w:tc>
        <w:tc>
          <w:tcPr>
            <w:tcW w:type="dxa" w:w="121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추출 → 정합 → 정규화 → 증강 (Bias correction 위치는 이 문장에 없음)</w:t>
            </w:r>
          </w:p>
        </w:tc>
      </w:tr>
      <w:tr>
        <w:tc>
          <w:tcPr>
            <w:tcW w:type="dxa" w:w="3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주논문 Results(p.9)</w:t>
            </w:r>
          </w:p>
        </w:tc>
        <w:tc>
          <w:tcPr>
            <w:tcW w:type="dxa" w:w="12198"/>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(DICOM→NIfTI) → 추출+Field correction(같은 문장, 초기 단계) → 리사이즈 (정합·정규화·증강의 위치는 이 문장에 없음)</w:t>
            </w:r>
          </w:p>
        </w:tc>
      </w:tr>
      <w:tr>
        <w:tc>
          <w:tcPr>
            <w:tcW w:type="dxa" w:w="3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참고문헌 21 Table3 pseudocode</w:t>
            </w:r>
          </w:p>
        </w:tc>
        <w:tc>
          <w:tcPr>
            <w:tcW w:type="dxa" w:w="121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추출(ROBEX) → 정합(MNIPD25, Antspyx) → 정규화(min-max) → Bias correction(N4) → 피질하 분할 → ... (Bias correction이 정규화 이후, 맨 마지막 전처리 단계)</w:t>
            </w:r>
          </w:p>
        </w:tc>
      </w:tr>
      <w:tr>
        <w:tc>
          <w:tcPr>
            <w:tcW w:type="dxa" w:w="3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현재 구현 (run_staged_preprocessing.py)</w:t>
            </w:r>
          </w:p>
        </w:tc>
        <w:tc>
          <w:tcPr>
            <w:tcW w:type="dxa" w:w="12198"/>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DICOM→NIfTI → BET(추출) → N4(Bias correction) → FLIRT(정합, MNI152) → z-score 정규화 → 리사이즈 → (증강은 분할 후 train에만 적용, 미리 생성하지 않음)</w:t>
            </w:r>
          </w:p>
        </w:tc>
      </w:tr>
    </w:tbl>
    <w:p>
      <w:pPr>
        <w:spacing w:after="150"/>
      </w:pPr>
    </w:p>
    <w:p>
      <w:pPr>
        <w:spacing w:after="200" w:before="60"/>
      </w:pPr>
      <w:r>
        <w:rPr>
          <w:rFonts w:ascii="맑은 고딕" w:cs="맑은 고딕" w:eastAsia="맑은 고딕" w:hAnsi="맑은 고딕"/>
          <w:i/>
          <w:iCs/>
          <w:color w:val="44546A"/>
          <w:sz w:val="18"/>
          <w:szCs w:val="18"/>
        </w:rPr>
        <w:t xml:space="preserve">판정: 프로젝트 지침상 "전처리 실행 순서는 주논문(Method)에 기술된 순서를 우선 적용"하도록 되어 있습니다. 주논문 Methods 문장의 순서(추출→정합→정규화→증강)는 현재 구현의 순서(추출→Bias correction→정합→정규화)와 부분적으로만 일치합니다 — 정합이 정규화보다 먼저라는 점은 일치하지만, 주논문 문장에는 없는 Bias correction 단계가 구현에서는 추출 직후에 삽입되어 있습니다. 다만 주논문 Results 문장은 "skull stripping and field correction"을 하나의 초기 단계로 묶어 서술하고 있어, 구현의 배치(추출 직후 Bias correction)가 이 문장과는 오히려 부합합니다. 즉 주논문 자체의 두 서술이 서로 다른 순서를 암시하는 내적 모순이 있어, 완전히 명확한 '정답 순서'는 논문에 존재하지 않습니다.</w:t>
      </w:r>
    </w:p>
    <w:p>
      <w:r>
        <w:br w:type="page"/>
      </w:r>
    </w:p>
    <w:p>
      <w:pPr>
        <w:pStyle w:val="Heading1"/>
        <w:spacing w:after="160" w:before="360"/>
      </w:pPr>
      <w:r>
        <w:rPr>
          <w:rFonts w:ascii="맑은 고딕" w:cs="맑은 고딕" w:eastAsia="맑은 고딕" w:hAnsi="맑은 고딕"/>
          <w:b/>
          <w:bCs/>
          <w:color w:val="1E2761"/>
          <w:sz w:val="32"/>
          <w:szCs w:val="32"/>
        </w:rPr>
        <w:t xml:space="preserve">2. 실험 결과 비교</w:t>
      </w:r>
    </w:p>
    <w:tbl>
      <w:tblPr>
        <w:tblW w:type="dxa" w:w="15398"/>
        <w:tblBorders>
          <w:top w:val="single" w:color="E5C6C2" w:sz="4"/>
          <w:left w:val="single" w:color="E5C6C2" w:sz="4"/>
          <w:bottom w:val="single" w:color="E5C6C2" w:sz="4"/>
          <w:right w:val="single" w:color="E5C6C2" w:sz="4"/>
          <w:insideH w:val="none"/>
          <w:insideV w:val="none"/>
        </w:tblBorders>
      </w:tblPr>
      <w:tblGrid>
        <w:gridCol w:w="15398"/>
      </w:tblGrid>
      <w:tr>
        <w:tc>
          <w:tcPr>
            <w:tcW w:type="dxa" w:w="15398"/>
            <w:shd w:fill="FDECEA" w:val="clear"/>
            <w:tcMar>
              <w:top w:type="dxa" w:w="120"/>
              <w:left w:type="dxa" w:w="160"/>
              <w:bottom w:type="dxa" w:w="120"/>
              <w:right w:type="dxa" w:w="160"/>
            </w:tcMar>
          </w:tcPr>
          <w:p>
            <w:pPr>
              <w:spacing w:after="60"/>
            </w:pPr>
            <w:r>
              <w:rPr>
                <w:rFonts w:ascii="맑은 고딕" w:cs="맑은 고딕" w:eastAsia="맑은 고딕" w:hAnsi="맑은 고딕"/>
                <w:b/>
                <w:bCs/>
                <w:color w:val="8C2F26"/>
                <w:sz w:val="20"/>
                <w:szCs w:val="20"/>
              </w:rPr>
              <w:t xml:space="preserve">전제 조건</w:t>
            </w:r>
          </w:p>
          <w:p>
            <w:r>
              <w:rPr>
                <w:rFonts w:ascii="맑은 고딕" w:cs="맑은 고딕" w:eastAsia="맑은 고딕" w:hAnsi="맑은 고딕"/>
                <w:color w:val="8C2F26"/>
                <w:sz w:val="18"/>
                <w:szCs w:val="18"/>
              </w:rPr>
              <w:t xml:space="preserve">아래 비교는 3D-CNN(Model-1) 아키텍처에 대해서만 가능합니다. 3D-ResNet(Model-2), CCA 융합(Model-3), WOA 최적화(Model-4)는 아직 학습·구현되지 않았습니다(fusion_optimization.py 미착수). 또한 아래 '재현' 열의 3개 결과는 모두 최종 확정 전처리 데이터셋이 아닌 예비 전처리 변형에서 얻은 것입니다.</w:t>
            </w:r>
          </w:p>
        </w:tc>
      </w:tr>
    </w:tbl>
    <w:p>
      <w:pPr>
        <w:spacing w:after="150"/>
      </w:pPr>
    </w:p>
    <w:tbl>
      <w:tblPr>
        <w:tblW w:type="dxa" w:w="14398"/>
        <w:tblBorders>
          <w:top w:val="single" w:color="C7CEE5" w:sz="4"/>
          <w:left w:val="single" w:color="C7CEE5" w:sz="4"/>
          <w:bottom w:val="single" w:color="C7CEE5" w:sz="4"/>
          <w:right w:val="single" w:color="C7CEE5" w:sz="4"/>
          <w:insideH w:val="single" w:color="C7CEE5" w:sz="4"/>
          <w:insideV w:val="single" w:color="C7CEE5" w:sz="4"/>
        </w:tblBorders>
      </w:tblPr>
      <w:tblGrid>
        <w:gridCol w:w="1600"/>
        <w:gridCol w:w="2400"/>
        <w:gridCol w:w="2100"/>
        <w:gridCol w:w="2200"/>
        <w:gridCol w:w="2100"/>
        <w:gridCol w:w="1900"/>
        <w:gridCol w:w="2098"/>
      </w:tblGrid>
      <w:tr>
        <w:trPr>
          <w:tblHeader/>
        </w:trPr>
        <w:tc>
          <w:tcPr>
            <w:tcW w:type="dxa" w:w="16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지표</w:t>
            </w:r>
          </w:p>
        </w:tc>
        <w:tc>
          <w:tcPr>
            <w:tcW w:type="dxa" w:w="24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논문 목표치
(Model-1, Table3
Variant3 튜닝후)</w:t>
            </w:r>
          </w:p>
        </w:tc>
        <w:tc>
          <w:tcPr>
            <w:tcW w:type="dxa" w:w="21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재현 A
Clinica 표준선형</w:t>
            </w:r>
          </w:p>
        </w:tc>
        <w:tc>
          <w:tcPr>
            <w:tcW w:type="dxa" w:w="22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재현 B
ROBEX+PD25
+SyN 비선형</w:t>
            </w:r>
          </w:p>
        </w:tc>
        <w:tc>
          <w:tcPr>
            <w:tcW w:type="dxa" w:w="21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재현 C
ROBEX+PD25
+Affine 선형</w:t>
            </w:r>
          </w:p>
        </w:tc>
        <w:tc>
          <w:tcPr>
            <w:tcW w:type="dxa" w:w="19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절대차
(재현A 기준)</w:t>
            </w:r>
          </w:p>
        </w:tc>
        <w:tc>
          <w:tcPr>
            <w:tcW w:type="dxa" w:w="2098"/>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상대차
(재현A 기준)</w:t>
            </w:r>
          </w:p>
        </w:tc>
      </w:tr>
      <w:tr>
        <w:tc>
          <w:tcPr>
            <w:tcW w:type="dxa" w:w="16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Accuracy (%)</w:t>
            </w:r>
          </w:p>
        </w:tc>
        <w:tc>
          <w:tcPr>
            <w:tcW w:type="dxa" w:w="24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93.41</w:t>
            </w:r>
          </w:p>
        </w:tc>
        <w:tc>
          <w:tcPr>
            <w:tcW w:type="dxa" w:w="21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56.52</w:t>
            </w:r>
          </w:p>
        </w:tc>
        <w:tc>
          <w:tcPr>
            <w:tcW w:type="dxa" w:w="2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45.65</w:t>
            </w:r>
          </w:p>
        </w:tc>
        <w:tc>
          <w:tcPr>
            <w:tcW w:type="dxa" w:w="21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45.65</w:t>
            </w:r>
          </w:p>
        </w:tc>
        <w:tc>
          <w:tcPr>
            <w:tcW w:type="dxa" w:w="19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-36.89 %p</w:t>
            </w:r>
          </w:p>
        </w:tc>
        <w:tc>
          <w:tcPr>
            <w:tcW w:type="dxa" w:w="20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-39.5%</w:t>
            </w:r>
          </w:p>
        </w:tc>
      </w:tr>
      <w:tr>
        <w:tc>
          <w:tcPr>
            <w:tcW w:type="dxa" w:w="16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Precision (%)</w:t>
            </w:r>
          </w:p>
        </w:tc>
        <w:tc>
          <w:tcPr>
            <w:tcW w:type="dxa" w:w="24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95.76</w:t>
            </w:r>
          </w:p>
        </w:tc>
        <w:tc>
          <w:tcPr>
            <w:tcW w:type="dxa" w:w="21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48.20</w:t>
            </w:r>
          </w:p>
        </w:tc>
        <w:tc>
          <w:tcPr>
            <w:tcW w:type="dxa" w:w="2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20.84</w:t>
            </w:r>
          </w:p>
        </w:tc>
        <w:tc>
          <w:tcPr>
            <w:tcW w:type="dxa" w:w="21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20.84</w:t>
            </w:r>
          </w:p>
        </w:tc>
        <w:tc>
          <w:tcPr>
            <w:tcW w:type="dxa" w:w="19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-47.56 %p</w:t>
            </w:r>
          </w:p>
        </w:tc>
        <w:tc>
          <w:tcPr>
            <w:tcW w:type="dxa" w:w="2098"/>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-49.7%</w:t>
            </w:r>
          </w:p>
        </w:tc>
      </w:tr>
      <w:tr>
        <w:tc>
          <w:tcPr>
            <w:tcW w:type="dxa" w:w="16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Recall (%)</w:t>
            </w:r>
          </w:p>
        </w:tc>
        <w:tc>
          <w:tcPr>
            <w:tcW w:type="dxa" w:w="24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88.98</w:t>
            </w:r>
          </w:p>
        </w:tc>
        <w:tc>
          <w:tcPr>
            <w:tcW w:type="dxa" w:w="21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56.52</w:t>
            </w:r>
          </w:p>
        </w:tc>
        <w:tc>
          <w:tcPr>
            <w:tcW w:type="dxa" w:w="2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45.65</w:t>
            </w:r>
          </w:p>
        </w:tc>
        <w:tc>
          <w:tcPr>
            <w:tcW w:type="dxa" w:w="21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45.65</w:t>
            </w:r>
          </w:p>
        </w:tc>
        <w:tc>
          <w:tcPr>
            <w:tcW w:type="dxa" w:w="19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-32.46 %p</w:t>
            </w:r>
          </w:p>
        </w:tc>
        <w:tc>
          <w:tcPr>
            <w:tcW w:type="dxa" w:w="20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-36.5%</w:t>
            </w:r>
          </w:p>
        </w:tc>
      </w:tr>
      <w:tr>
        <w:tc>
          <w:tcPr>
            <w:tcW w:type="dxa" w:w="16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F1-score (%)</w:t>
            </w:r>
          </w:p>
        </w:tc>
        <w:tc>
          <w:tcPr>
            <w:tcW w:type="dxa" w:w="24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91.68</w:t>
            </w:r>
          </w:p>
        </w:tc>
        <w:tc>
          <w:tcPr>
            <w:tcW w:type="dxa" w:w="21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51.19</w:t>
            </w:r>
          </w:p>
        </w:tc>
        <w:tc>
          <w:tcPr>
            <w:tcW w:type="dxa" w:w="2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28.62</w:t>
            </w:r>
          </w:p>
        </w:tc>
        <w:tc>
          <w:tcPr>
            <w:tcW w:type="dxa" w:w="21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28.62</w:t>
            </w:r>
          </w:p>
        </w:tc>
        <w:tc>
          <w:tcPr>
            <w:tcW w:type="dxa" w:w="19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-40.49 %p</w:t>
            </w:r>
          </w:p>
        </w:tc>
        <w:tc>
          <w:tcPr>
            <w:tcW w:type="dxa" w:w="2098"/>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-44.2%</w:t>
            </w:r>
          </w:p>
        </w:tc>
      </w:tr>
    </w:tbl>
    <w:p>
      <w:pPr>
        <w:spacing w:after="150"/>
      </w:pPr>
    </w:p>
    <w:p>
      <w:pPr>
        <w:spacing w:after="200" w:before="60"/>
      </w:pPr>
      <w:r>
        <w:rPr>
          <w:rFonts w:ascii="맑은 고딕" w:cs="맑은 고딕" w:eastAsia="맑은 고딕" w:hAnsi="맑은 고딕"/>
          <w:i/>
          <w:iCs/>
          <w:color w:val="44546A"/>
          <w:sz w:val="18"/>
          <w:szCs w:val="18"/>
        </w:rPr>
        <w:t xml:space="preserve">재현 B·C의 Precision/F1은 혼동행렬이 사실상 단일 클래스(PD)로만 예측되어 sklearn classification_report의 macro 평균이 아닌 weighted 평균 기준(0으로 수렴하는 클래스 포함)으로 계산된 값입니다. 재현 A(Clinica)가 그나마 3개 클래스에 걸쳐 일부 분산된 예측을 보여 3건 중 가장 '학습이 진행된' 결과이나, 그럼에도 논문 대비 35%p 이상 낮습니다.</w:t>
      </w:r>
    </w:p>
    <w:p>
      <w:pPr>
        <w:spacing w:after="100"/>
      </w:pPr>
    </w:p>
    <w:p>
      <w:pPr>
        <w:spacing w:after="200"/>
        <w:jc w:val="center"/>
      </w:pPr>
      <w:r>
        <w:drawing>
          <wp:inline distT="0" distB="0" distL="0" distR="0">
            <wp:extent cx="82296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229600" cy="4762500"/>
                    </a:xfrm>
                    <a:prstGeom prst="rect">
                      <a:avLst/>
                    </a:prstGeom>
                  </pic:spPr>
                </pic:pic>
              </a:graphicData>
            </a:graphic>
          </wp:inline>
        </w:drawing>
      </w:r>
    </w:p>
    <w:p>
      <w:pPr>
        <w:spacing w:after="200"/>
        <w:jc w:val="center"/>
      </w:pPr>
      <w:r>
        <w:drawing>
          <wp:inline distT="0" distB="0" distL="0" distR="0">
            <wp:extent cx="45720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857750"/>
                    </a:xfrm>
                    <a:prstGeom prst="rect">
                      <a:avLst/>
                    </a:prstGeom>
                  </pic:spPr>
                </pic:pic>
              </a:graphicData>
            </a:graphic>
          </wp:inline>
        </w:drawing>
      </w:r>
    </w:p>
    <w:p>
      <w:r>
        <w:br w:type="page"/>
      </w:r>
    </w:p>
    <w:p>
      <w:pPr>
        <w:pStyle w:val="Heading1"/>
        <w:spacing w:after="160" w:before="360"/>
      </w:pPr>
      <w:r>
        <w:rPr>
          <w:rFonts w:ascii="맑은 고딕" w:cs="맑은 고딕" w:eastAsia="맑은 고딕" w:hAnsi="맑은 고딕"/>
          <w:b/>
          <w:bCs/>
          <w:color w:val="1E2761"/>
          <w:sz w:val="32"/>
          <w:szCs w:val="32"/>
        </w:rPr>
        <w:t xml:space="preserve">3. 모델별 주요 하이퍼파라미터 비교</w:t>
      </w:r>
    </w:p>
    <w:tbl>
      <w:tblPr>
        <w:tblW w:type="dxa" w:w="15398"/>
        <w:tblBorders>
          <w:top w:val="single" w:color="C7CEE5" w:sz="4"/>
          <w:left w:val="single" w:color="C7CEE5" w:sz="4"/>
          <w:bottom w:val="single" w:color="C7CEE5" w:sz="4"/>
          <w:right w:val="single" w:color="C7CEE5" w:sz="4"/>
          <w:insideH w:val="single" w:color="C7CEE5" w:sz="4"/>
          <w:insideV w:val="single" w:color="C7CEE5" w:sz="4"/>
        </w:tblBorders>
      </w:tblPr>
      <w:tblGrid>
        <w:gridCol w:w="2000"/>
        <w:gridCol w:w="4200"/>
        <w:gridCol w:w="5200"/>
        <w:gridCol w:w="3998"/>
      </w:tblGrid>
      <w:tr>
        <w:trPr>
          <w:tblHeader/>
        </w:trPr>
        <w:tc>
          <w:tcPr>
            <w:tcW w:type="dxa" w:w="20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항목</w:t>
            </w:r>
          </w:p>
        </w:tc>
        <w:tc>
          <w:tcPr>
            <w:tcW w:type="dxa" w:w="42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논문 (Table 5 / Table 3 Study2)</w:t>
            </w:r>
          </w:p>
        </w:tc>
        <w:tc>
          <w:tcPr>
            <w:tcW w:type="dxa" w:w="52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실제 구현
(train_variant3_pd25_affine.py)</w:t>
            </w:r>
          </w:p>
        </w:tc>
        <w:tc>
          <w:tcPr>
            <w:tcW w:type="dxa" w:w="3998"/>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일치 여부</w:t>
            </w:r>
          </w:p>
        </w:tc>
      </w:tr>
      <w:tr>
        <w:tc>
          <w:tcPr>
            <w:tcW w:type="dxa" w:w="20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Learning Rate</w:t>
            </w:r>
          </w:p>
        </w:tc>
        <w:tc>
          <w:tcPr>
            <w:tcW w:type="dxa" w:w="4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3D CNN = 0.001 (Table 5)</w:t>
            </w:r>
          </w:p>
        </w:tc>
        <w:tc>
          <w:tcPr>
            <w:tcW w:type="dxa" w:w="5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0.001 (Adam lr=0.001)</w:t>
            </w:r>
          </w:p>
        </w:tc>
        <w:tc>
          <w:tcPr>
            <w:tcW w:type="dxa" w:w="39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일치</w:t>
            </w:r>
          </w:p>
        </w:tc>
      </w:tr>
      <w:tr>
        <w:tc>
          <w:tcPr>
            <w:tcW w:type="dxa" w:w="20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Batch Size</w:t>
            </w:r>
          </w:p>
        </w:tc>
        <w:tc>
          <w:tcPr>
            <w:tcW w:type="dxa" w:w="4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Table 3 Study2 그리드 옵션: 32 또는 64
(최종 채택값은 본문에 명시 안 됨)</w:t>
            </w:r>
          </w:p>
        </w:tc>
        <w:tc>
          <w:tcPr>
            <w:tcW w:type="dxa" w:w="5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8 (DataLoader) × 8 (Gradient Accumulation)
= 유효 배치 64</w:t>
            </w:r>
          </w:p>
        </w:tc>
        <w:tc>
          <w:tcPr>
            <w:tcW w:type="dxa" w:w="3998"/>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그리드 옵션 중 64를 채택 — 논문이 이 값을 최종 채택했다는 명시적 확인은 불가(가정)</w:t>
            </w:r>
          </w:p>
        </w:tc>
      </w:tr>
      <w:tr>
        <w:tc>
          <w:tcPr>
            <w:tcW w:type="dxa" w:w="20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Optimizer</w:t>
            </w:r>
          </w:p>
        </w:tc>
        <w:tc>
          <w:tcPr>
            <w:tcW w:type="dxa" w:w="4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Table 5: "Grid search"(방법론적 표현, 특정 옵티마이저명 아님)
Table 3 Study2 그리드: Adam 또는 SGD</w:t>
            </w:r>
          </w:p>
        </w:tc>
        <w:tc>
          <w:tcPr>
            <w:tcW w:type="dxa" w:w="5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Adam</w:t>
            </w:r>
          </w:p>
        </w:tc>
        <w:tc>
          <w:tcPr>
            <w:tcW w:type="dxa" w:w="39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그리드 옵션 중 Adam 채택 — 논문이 이 값을 최종 채택했다는 명시적 확인은 불가(가정)</w:t>
            </w:r>
          </w:p>
        </w:tc>
      </w:tr>
      <w:tr>
        <w:tc>
          <w:tcPr>
            <w:tcW w:type="dxa" w:w="20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Scheduler</w:t>
            </w:r>
          </w:p>
        </w:tc>
        <w:tc>
          <w:tcPr>
            <w:tcW w:type="dxa" w:w="4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논문에 기재되지 않음</w:t>
            </w:r>
          </w:p>
        </w:tc>
        <w:tc>
          <w:tcPr>
            <w:tcW w:type="dxa" w:w="5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미사용 (constant LR)</w:t>
            </w:r>
          </w:p>
        </w:tc>
        <w:tc>
          <w:tcPr>
            <w:tcW w:type="dxa" w:w="3998"/>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논문 미기재 항목이므로 판정 불가</w:t>
            </w:r>
          </w:p>
        </w:tc>
      </w:tr>
      <w:tr>
        <w:tc>
          <w:tcPr>
            <w:tcW w:type="dxa" w:w="20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Epoch</w:t>
            </w:r>
          </w:p>
        </w:tc>
        <w:tc>
          <w:tcPr>
            <w:tcW w:type="dxa" w:w="4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30 (Table 5, Table 3 Study2 고정값)</w:t>
            </w:r>
          </w:p>
        </w:tc>
        <w:tc>
          <w:tcPr>
            <w:tcW w:type="dxa" w:w="5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30</w:t>
            </w:r>
          </w:p>
        </w:tc>
        <w:tc>
          <w:tcPr>
            <w:tcW w:type="dxa" w:w="39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일치</w:t>
            </w:r>
          </w:p>
        </w:tc>
      </w:tr>
      <w:tr>
        <w:tc>
          <w:tcPr>
            <w:tcW w:type="dxa" w:w="20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Weight Decay</w:t>
            </w:r>
          </w:p>
        </w:tc>
        <w:tc>
          <w:tcPr>
            <w:tcW w:type="dxa" w:w="4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L2 Regularization (0.0001) (Table 5)</w:t>
            </w:r>
          </w:p>
        </w:tc>
        <w:tc>
          <w:tcPr>
            <w:tcW w:type="dxa" w:w="5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0.0001 (Adam weight_decay)</w:t>
            </w:r>
          </w:p>
        </w:tc>
        <w:tc>
          <w:tcPr>
            <w:tcW w:type="dxa" w:w="3998"/>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일치</w:t>
            </w:r>
          </w:p>
        </w:tc>
      </w:tr>
      <w:tr>
        <w:tc>
          <w:tcPr>
            <w:tcW w:type="dxa" w:w="20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Loss Function</w:t>
            </w:r>
          </w:p>
        </w:tc>
        <w:tc>
          <w:tcPr>
            <w:tcW w:type="dxa" w:w="4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"categorical cross-entropy loss" (본문 3D-ResNet 절 서술, 3D-CNN에도 통상 동일 적용 가정)</w:t>
            </w:r>
          </w:p>
        </w:tc>
        <w:tc>
          <w:tcPr>
            <w:tcW w:type="dxa" w:w="5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CrossEntropyLoss (PyTorch)</w:t>
            </w:r>
          </w:p>
        </w:tc>
        <w:tc>
          <w:tcPr>
            <w:tcW w:type="dxa" w:w="39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일치(개념적으로 categorical cross-entropy와 동일)</w:t>
            </w:r>
          </w:p>
        </w:tc>
      </w:tr>
      <w:tr>
        <w:tc>
          <w:tcPr>
            <w:tcW w:type="dxa" w:w="20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Random Seed</w:t>
            </w:r>
          </w:p>
        </w:tc>
        <w:tc>
          <w:tcPr>
            <w:tcW w:type="dxa" w:w="4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논문에 기재되지 않음</w:t>
            </w:r>
          </w:p>
        </w:tc>
        <w:tc>
          <w:tcPr>
            <w:tcW w:type="dxa" w:w="5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데이터 분할: seed=42 (dataset.py)
모델 가중치 초기화: 고정 seed 미설정
(torch.manual_seed 호출 없음)</w:t>
            </w:r>
          </w:p>
        </w:tc>
        <w:tc>
          <w:tcPr>
            <w:tcW w:type="dxa" w:w="3998"/>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논문 미기재 항목. 다만 가중치 초기화 시드가 고정되지 않아 실행마다 결과가 달라질 수 있음 — 재현성 관점의 구현 리스크로 별도 기록</w:t>
            </w:r>
          </w:p>
        </w:tc>
      </w:tr>
      <w:tr>
        <w:tc>
          <w:tcPr>
            <w:tcW w:type="dxa" w:w="20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Input Resolution</w:t>
            </w:r>
          </w:p>
        </w:tc>
        <w:tc>
          <w:tcPr>
            <w:tcW w:type="dxa" w:w="4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56×56×56 (본문 p.9)</w:t>
            </w:r>
          </w:p>
        </w:tc>
        <w:tc>
          <w:tcPr>
            <w:tcW w:type="dxa" w:w="5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56×56×56</w:t>
            </w:r>
          </w:p>
        </w:tc>
        <w:tc>
          <w:tcPr>
            <w:tcW w:type="dxa" w:w="39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일치</w:t>
            </w:r>
          </w:p>
        </w:tc>
      </w:tr>
      <w:tr>
        <w:tc>
          <w:tcPr>
            <w:tcW w:type="dxa" w:w="20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Data Split</w:t>
            </w:r>
          </w:p>
        </w:tc>
        <w:tc>
          <w:tcPr>
            <w:tcW w:type="dxa" w:w="4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70% Train / 15% Test / 15% Validation (Table 5)</w:t>
            </w:r>
          </w:p>
        </w:tc>
        <w:tc>
          <w:tcPr>
            <w:tcW w:type="dxa" w:w="5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70/15/15, Subject 단위 stratified split, seed=42</w:t>
            </w:r>
          </w:p>
        </w:tc>
        <w:tc>
          <w:tcPr>
            <w:tcW w:type="dxa" w:w="3998"/>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일치</w:t>
            </w:r>
          </w:p>
        </w:tc>
      </w:tr>
      <w:tr>
        <w:tc>
          <w:tcPr>
            <w:tcW w:type="dxa" w:w="20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k-fold</w:t>
            </w:r>
          </w:p>
        </w:tc>
        <w:tc>
          <w:tcPr>
            <w:tcW w:type="dxa" w:w="4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5 (Table 5, 최종 모델용) / 5,10,15 (Table 6, Model-3·4 비교용)</w:t>
            </w:r>
          </w:p>
        </w:tc>
        <w:tc>
          <w:tcPr>
            <w:tcW w:type="dxa" w:w="5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미적용 (단일 hold-out split만 사용, k-fold 미구현)</w:t>
            </w:r>
          </w:p>
        </w:tc>
        <w:tc>
          <w:tcPr>
            <w:tcW w:type="dxa" w:w="39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불일치 — 논문은 k-fold CV를 사용하나 구현은 단일 split만 평가</w:t>
            </w:r>
          </w:p>
        </w:tc>
      </w:tr>
    </w:tbl>
    <w:p>
      <w:pPr>
        <w:spacing w:after="200"/>
      </w:pPr>
    </w:p>
    <w:p>
      <w:pPr>
        <w:pStyle w:val="Heading2"/>
        <w:spacing w:after="120" w:before="240"/>
      </w:pPr>
      <w:r>
        <w:rPr>
          <w:rFonts w:ascii="맑은 고딕" w:cs="맑은 고딕" w:eastAsia="맑은 고딕" w:hAnsi="맑은 고딕"/>
          <w:b/>
          <w:bCs/>
          <w:color w:val="1E2761"/>
          <w:sz w:val="26"/>
          <w:szCs w:val="26"/>
        </w:rPr>
        <w:t xml:space="preserve">아키텍처 구현 세부 비교 (참고: 성능 격차의 주요 원인으로 추정)</w:t>
      </w:r>
    </w:p>
    <w:p>
      <w:pPr>
        <w:spacing w:after="120"/>
      </w:pPr>
      <w:r>
        <w:rPr>
          <w:rFonts w:ascii="맑은 고딕" w:cs="맑은 고딕" w:eastAsia="맑은 고딕" w:hAnsi="맑은 고딕"/>
          <w:color w:val="222222"/>
          <w:sz w:val="19"/>
          <w:szCs w:val="19"/>
        </w:rPr>
        <w:t xml:space="preserve">주논문 Figure 2는 필터 수·Flatten 크기를 명시하고 있어, 실제 구현 코드(train_variant3_pd25_affine.py의 Variant3CNN)와 직접 대조가 가능합니다. 아래 표는 하이퍼파라미터가 아닌 아키텍처 자체의 편차이며, 전처리보다 이 편차가 성능 붕괴의 더 유력한 원인으로 판단되어 함께 기록합니다.</w:t>
      </w:r>
    </w:p>
    <w:p>
      <w:pPr>
        <w:spacing w:after="120"/>
      </w:pPr>
    </w:p>
    <w:tbl>
      <w:tblPr>
        <w:tblW w:type="dxa" w:w="15198"/>
        <w:tblBorders>
          <w:top w:val="single" w:color="C7CEE5" w:sz="4"/>
          <w:left w:val="single" w:color="C7CEE5" w:sz="4"/>
          <w:bottom w:val="single" w:color="C7CEE5" w:sz="4"/>
          <w:right w:val="single" w:color="C7CEE5" w:sz="4"/>
          <w:insideH w:val="single" w:color="C7CEE5" w:sz="4"/>
          <w:insideV w:val="single" w:color="C7CEE5" w:sz="4"/>
        </w:tblBorders>
      </w:tblPr>
      <w:tblGrid>
        <w:gridCol w:w="2200"/>
        <w:gridCol w:w="4200"/>
        <w:gridCol w:w="4200"/>
        <w:gridCol w:w="4598"/>
      </w:tblGrid>
      <w:tr>
        <w:trPr>
          <w:tblHeader/>
        </w:trPr>
        <w:tc>
          <w:tcPr>
            <w:tcW w:type="dxa" w:w="22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항목</w:t>
            </w:r>
          </w:p>
        </w:tc>
        <w:tc>
          <w:tcPr>
            <w:tcW w:type="dxa" w:w="42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논문 Figure 2</w:t>
            </w:r>
          </w:p>
        </w:tc>
        <w:tc>
          <w:tcPr>
            <w:tcW w:type="dxa" w:w="42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실제 구현</w:t>
            </w:r>
          </w:p>
        </w:tc>
        <w:tc>
          <w:tcPr>
            <w:tcW w:type="dxa" w:w="4598"/>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차이</w:t>
            </w:r>
          </w:p>
        </w:tc>
      </w:tr>
      <w:tr>
        <w:tc>
          <w:tcPr>
            <w:tcW w:type="dxa" w:w="2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Block2 최대 채널 수</w:t>
            </w:r>
          </w:p>
        </w:tc>
        <w:tc>
          <w:tcPr>
            <w:tcW w:type="dxa" w:w="4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1024 (Conv3D-5)</w:t>
            </w:r>
          </w:p>
        </w:tc>
        <w:tc>
          <w:tcPr>
            <w:tcW w:type="dxa" w:w="4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512 (conv5)</w:t>
            </w:r>
          </w:p>
        </w:tc>
        <w:tc>
          <w:tcPr>
            <w:tcW w:type="dxa" w:w="45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구현이 논문 대비 채널 폭 절반 수준으로 축소됨 (8GB VRAM OOM 방지 목적으로 추정)</w:t>
            </w:r>
          </w:p>
        </w:tc>
      </w:tr>
      <w:tr>
        <w:tc>
          <w:tcPr>
            <w:tcW w:type="dxa" w:w="2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Flatten 방식</w:t>
            </w:r>
          </w:p>
        </w:tc>
        <w:tc>
          <w:tcPr>
            <w:tcW w:type="dxa" w:w="4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전체 Flatten → 12544 뉴런</w:t>
            </w:r>
          </w:p>
        </w:tc>
        <w:tc>
          <w:tcPr>
            <w:tcW w:type="dxa" w:w="42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Global Max Pooling → 256 뉴런
(flatten_method='global_max')</w:t>
            </w:r>
          </w:p>
        </w:tc>
        <w:tc>
          <w:tcPr>
            <w:tcW w:type="dxa" w:w="4598"/>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FC-1 입력 차원이 12544 대비 1/49 수준으로 축소 — 공간 정보 대부분 손실. 코드는 'depth_collapse' 옵션(12544 재현 가능)도 보유하나 실제 실행에는 'global_max'가 사용됨</w:t>
            </w:r>
          </w:p>
        </w:tc>
      </w:tr>
      <w:tr>
        <w:tc>
          <w:tcPr>
            <w:tcW w:type="dxa" w:w="2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FC 레이어 크기</w:t>
            </w:r>
          </w:p>
        </w:tc>
        <w:tc>
          <w:tcPr>
            <w:tcW w:type="dxa" w:w="4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FC-1, FC-2: 각 1000 뉴런 (또는 Fig.2 라벨상 2000)</w:t>
            </w:r>
          </w:p>
        </w:tc>
        <w:tc>
          <w:tcPr>
            <w:tcW w:type="dxa" w:w="42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fc1: 1000, fc2: 1000</w:t>
            </w:r>
          </w:p>
        </w:tc>
        <w:tc>
          <w:tcPr>
            <w:tcW w:type="dxa" w:w="45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뉴런 수 자체는 유사</w:t>
            </w:r>
          </w:p>
        </w:tc>
      </w:tr>
    </w:tbl>
    <w:p>
      <w:pPr>
        <w:spacing w:after="150"/>
      </w:pPr>
    </w:p>
    <w:tbl>
      <w:tblPr>
        <w:tblW w:type="dxa" w:w="15398"/>
        <w:tblBorders>
          <w:top w:val="single" w:color="E5C6C2" w:sz="4"/>
          <w:left w:val="single" w:color="E5C6C2" w:sz="4"/>
          <w:bottom w:val="single" w:color="E5C6C2" w:sz="4"/>
          <w:right w:val="single" w:color="E5C6C2" w:sz="4"/>
          <w:insideH w:val="none"/>
          <w:insideV w:val="none"/>
        </w:tblBorders>
      </w:tblPr>
      <w:tblGrid>
        <w:gridCol w:w="15398"/>
      </w:tblGrid>
      <w:tr>
        <w:tc>
          <w:tcPr>
            <w:tcW w:type="dxa" w:w="15398"/>
            <w:shd w:fill="EAF7EE" w:val="clear"/>
            <w:tcMar>
              <w:top w:type="dxa" w:w="120"/>
              <w:left w:type="dxa" w:w="160"/>
              <w:bottom w:type="dxa" w:w="120"/>
              <w:right w:type="dxa" w:w="160"/>
            </w:tcMar>
          </w:tcPr>
          <w:p>
            <w:pPr>
              <w:spacing w:after="60"/>
            </w:pPr>
            <w:r>
              <w:rPr>
                <w:rFonts w:ascii="맑은 고딕" w:cs="맑은 고딕" w:eastAsia="맑은 고딕" w:hAnsi="맑은 고딕"/>
                <w:b/>
                <w:bCs/>
                <w:color w:val="1E6B3A"/>
                <w:sz w:val="20"/>
                <w:szCs w:val="20"/>
              </w:rPr>
              <w:t xml:space="preserve">이 편차가 중요한 이유</w:t>
            </w:r>
          </w:p>
          <w:p>
            <w:r>
              <w:rPr>
                <w:rFonts w:ascii="맑은 고딕" w:cs="맑은 고딕" w:eastAsia="맑은 고딕" w:hAnsi="맑은 고딕"/>
                <w:color w:val="1E6B3A"/>
                <w:sz w:val="18"/>
                <w:szCs w:val="18"/>
              </w:rPr>
              <w:t xml:space="preserve">Global Max Pooling은 각 채널에서 공간상 '가장 강한 위치 1곳의 값'만 남기고 나머지 정보를 모두 버리는 연산입니다. 56×56×56 볼륨이 여러 단계 축소된 7×7×7×256 크기에서 이를 다시 1×1×1×256으로 압축하면, 논문이 명시한 Flatten(12544차원)과 비교했을 때 이론적으로 표현 가능한 정보량이 크게 줄어듭니다. 혼동행렬에서 관찰된 '단일 클래스 수렴' 현상은 전처리보다 이 구조적 병목과 더 직접적으로 관련되어 있을 가능성이 있습니다.</w:t>
            </w:r>
          </w:p>
        </w:tc>
      </w:tr>
    </w:tbl>
    <w:p>
      <w:r>
        <w:br w:type="page"/>
      </w:r>
    </w:p>
    <w:p>
      <w:pPr>
        <w:pStyle w:val="Heading1"/>
        <w:spacing w:after="160" w:before="360"/>
      </w:pPr>
      <w:r>
        <w:rPr>
          <w:rFonts w:ascii="맑은 고딕" w:cs="맑은 고딕" w:eastAsia="맑은 고딕" w:hAnsi="맑은 고딕"/>
          <w:b/>
          <w:bCs/>
          <w:color w:val="1E2761"/>
          <w:sz w:val="32"/>
          <w:szCs w:val="32"/>
        </w:rPr>
        <w:t xml:space="preserve">4. 종합 원인 분석 및 권고 사항</w:t>
      </w:r>
    </w:p>
    <w:p>
      <w:pPr>
        <w:pStyle w:val="Heading2"/>
        <w:spacing w:after="120" w:before="240"/>
      </w:pPr>
      <w:r>
        <w:rPr>
          <w:rFonts w:ascii="맑은 고딕" w:cs="맑은 고딕" w:eastAsia="맑은 고딕" w:hAnsi="맑은 고딕"/>
          <w:b/>
          <w:bCs/>
          <w:color w:val="1E2761"/>
          <w:sz w:val="26"/>
          <w:szCs w:val="26"/>
        </w:rPr>
        <w:t xml:space="preserve">확인된 편차 우선순위</w:t>
      </w:r>
    </w:p>
    <w:tbl>
      <w:tblPr>
        <w:tblW w:type="dxa" w:w="15398"/>
        <w:tblBorders>
          <w:top w:val="single" w:color="C7CEE5" w:sz="4"/>
          <w:left w:val="single" w:color="C7CEE5" w:sz="4"/>
          <w:bottom w:val="single" w:color="C7CEE5" w:sz="4"/>
          <w:right w:val="single" w:color="C7CEE5" w:sz="4"/>
          <w:insideH w:val="single" w:color="C7CEE5" w:sz="4"/>
          <w:insideV w:val="single" w:color="C7CEE5" w:sz="4"/>
        </w:tblBorders>
      </w:tblPr>
      <w:tblGrid>
        <w:gridCol w:w="900"/>
        <w:gridCol w:w="3400"/>
        <w:gridCol w:w="5400"/>
        <w:gridCol w:w="5698"/>
      </w:tblGrid>
      <w:tr>
        <w:trPr>
          <w:tblHeader/>
        </w:trPr>
        <w:tc>
          <w:tcPr>
            <w:tcW w:type="dxa" w:w="9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순위</w:t>
            </w:r>
          </w:p>
        </w:tc>
        <w:tc>
          <w:tcPr>
            <w:tcW w:type="dxa" w:w="34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편차</w:t>
            </w:r>
          </w:p>
        </w:tc>
        <w:tc>
          <w:tcPr>
            <w:tcW w:type="dxa" w:w="5400"/>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근거</w:t>
            </w:r>
          </w:p>
        </w:tc>
        <w:tc>
          <w:tcPr>
            <w:tcW w:type="dxa" w:w="5698"/>
            <w:shd w:fill="1E2761" w:val="clear"/>
            <w:tcMar>
              <w:top w:type="dxa" w:w="60"/>
              <w:left w:type="dxa" w:w="100"/>
              <w:bottom w:type="dxa" w:w="60"/>
              <w:right w:type="dxa" w:w="100"/>
            </w:tcMar>
            <w:vAlign w:val="center"/>
          </w:tcPr>
          <w:p>
            <w:pPr>
              <w:jc w:val="left"/>
            </w:pPr>
            <w:r>
              <w:rPr>
                <w:rFonts w:ascii="맑은 고딕" w:cs="맑은 고딕" w:eastAsia="맑은 고딕" w:hAnsi="맑은 고딕"/>
                <w:b/>
                <w:bCs/>
                <w:color w:val="FFFFFF"/>
                <w:sz w:val="18"/>
                <w:szCs w:val="18"/>
              </w:rPr>
              <w:t xml:space="preserve">성능 영향 추정</w:t>
            </w:r>
          </w:p>
        </w:tc>
      </w:tr>
      <w:tr>
        <w:tc>
          <w:tcPr>
            <w:tcW w:type="dxa" w:w="9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1</w:t>
            </w:r>
          </w:p>
        </w:tc>
        <w:tc>
          <w:tcPr>
            <w:tcW w:type="dxa" w:w="34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Flatten 방식 (Global Max Pooling vs Figure2의 전체 Flatten)</w:t>
            </w:r>
          </w:p>
        </w:tc>
        <w:tc>
          <w:tcPr>
            <w:tcW w:type="dxa" w:w="54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3절 아키텍처 비교</w:t>
            </w:r>
          </w:p>
        </w:tc>
        <w:tc>
          <w:tcPr>
            <w:tcW w:type="dxa" w:w="56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매우 큼 — 공간 정보 대량 손실, 단일 클래스 수렴의 직접 원인으로 추정</w:t>
            </w:r>
          </w:p>
        </w:tc>
      </w:tr>
      <w:tr>
        <w:tc>
          <w:tcPr>
            <w:tcW w:type="dxa" w:w="9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2</w:t>
            </w:r>
          </w:p>
        </w:tc>
        <w:tc>
          <w:tcPr>
            <w:tcW w:type="dxa" w:w="34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최종 확정 전처리 데이터셋 미학습 (BET+N4+FLIRT+MNI152)</w:t>
            </w:r>
          </w:p>
        </w:tc>
        <w:tc>
          <w:tcPr>
            <w:tcW w:type="dxa" w:w="54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0절 요약, 1절</w:t>
            </w:r>
          </w:p>
        </w:tc>
        <w:tc>
          <w:tcPr>
            <w:tcW w:type="dxa" w:w="5698"/>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판정 불가 — 아직 시도되지 않아 실제 영향 미확인. 최우선 재시도 필요</w:t>
            </w:r>
          </w:p>
        </w:tc>
      </w:tr>
      <w:tr>
        <w:tc>
          <w:tcPr>
            <w:tcW w:type="dxa" w:w="9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3</w:t>
            </w:r>
          </w:p>
        </w:tc>
        <w:tc>
          <w:tcPr>
            <w:tcW w:type="dxa" w:w="34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k-fold Cross Validation 미적용</w:t>
            </w:r>
          </w:p>
        </w:tc>
        <w:tc>
          <w:tcPr>
            <w:tcW w:type="dxa" w:w="54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3절 하이퍼파라미터</w:t>
            </w:r>
          </w:p>
        </w:tc>
        <w:tc>
          <w:tcPr>
            <w:tcW w:type="dxa" w:w="56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중간 — 단일 split 평가는 분산이 커서 우연에 의한 저성능 가능성을 배제 못함</w:t>
            </w:r>
          </w:p>
        </w:tc>
      </w:tr>
      <w:tr>
        <w:tc>
          <w:tcPr>
            <w:tcW w:type="dxa" w:w="9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4</w:t>
            </w:r>
          </w:p>
        </w:tc>
        <w:tc>
          <w:tcPr>
            <w:tcW w:type="dxa" w:w="34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정합 아틀라스(MNI152 vs MNIPD25) 및 비선형 정합 누락</w:t>
            </w:r>
          </w:p>
        </w:tc>
        <w:tc>
          <w:tcPr>
            <w:tcW w:type="dxa" w:w="54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1절 전처리 비교</w:t>
            </w:r>
          </w:p>
        </w:tc>
        <w:tc>
          <w:tcPr>
            <w:tcW w:type="dxa" w:w="5698"/>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중간 — PD 특화 아틀라스 사용 시 기저핵 등 관심영역 정렬 개선 가능성</w:t>
            </w:r>
          </w:p>
        </w:tc>
      </w:tr>
      <w:tr>
        <w:tc>
          <w:tcPr>
            <w:tcW w:type="dxa" w:w="9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5</w:t>
            </w:r>
          </w:p>
        </w:tc>
        <w:tc>
          <w:tcPr>
            <w:tcW w:type="dxa" w:w="34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정규화 공식 차이 (z-score vs min-max)</w:t>
            </w:r>
          </w:p>
        </w:tc>
        <w:tc>
          <w:tcPr>
            <w:tcW w:type="dxa" w:w="5400"/>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1절 전처리 비교</w:t>
            </w:r>
          </w:p>
        </w:tc>
        <w:tc>
          <w:tcPr>
            <w:tcW w:type="dxa" w:w="5698"/>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작음~중간 — 두 방식 모두 표준적 기법이나 논문 재현의 정확한 일치는 아님</w:t>
            </w:r>
          </w:p>
        </w:tc>
      </w:tr>
      <w:tr>
        <w:tc>
          <w:tcPr>
            <w:tcW w:type="dxa" w:w="9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6</w:t>
            </w:r>
          </w:p>
        </w:tc>
        <w:tc>
          <w:tcPr>
            <w:tcW w:type="dxa" w:w="34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가중치 초기화 랜덤 시드 미고정</w:t>
            </w:r>
          </w:p>
        </w:tc>
        <w:tc>
          <w:tcPr>
            <w:tcW w:type="dxa" w:w="5400"/>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3절 하이퍼파라미터</w:t>
            </w:r>
          </w:p>
        </w:tc>
        <w:tc>
          <w:tcPr>
            <w:tcW w:type="dxa" w:w="5698"/>
            <w:shd w:fill="F4F6FC" w:val="clear"/>
            <w:tcMar>
              <w:top w:type="dxa" w:w="60"/>
              <w:left w:type="dxa" w:w="100"/>
              <w:bottom w:type="dxa" w:w="60"/>
              <w:right w:type="dxa" w:w="100"/>
            </w:tcMar>
            <w:vAlign w:val="center"/>
          </w:tcPr>
          <w:p>
            <w:pPr>
              <w:jc w:val="left"/>
            </w:pPr>
            <w:r>
              <w:rPr>
                <w:rFonts w:ascii="맑은 고딕" w:cs="맑은 고딕" w:eastAsia="맑은 고딕" w:hAnsi="맑은 고딕"/>
                <w:b w:val="false"/>
                <w:bCs w:val="false"/>
                <w:color w:val="222222"/>
                <w:sz w:val="18"/>
                <w:szCs w:val="18"/>
              </w:rPr>
              <w:t xml:space="preserve">작음 — 재현성 저해 요인이나 성능 자체를 낮추는 요인은 아님</w:t>
            </w:r>
          </w:p>
        </w:tc>
      </w:tr>
    </w:tbl>
    <w:p>
      <w:pPr>
        <w:spacing w:after="200"/>
      </w:pPr>
    </w:p>
    <w:p>
      <w:pPr>
        <w:pStyle w:val="Heading2"/>
        <w:spacing w:after="120" w:before="240"/>
      </w:pPr>
      <w:r>
        <w:rPr>
          <w:rFonts w:ascii="맑은 고딕" w:cs="맑은 고딕" w:eastAsia="맑은 고딕" w:hAnsi="맑은 고딕"/>
          <w:b/>
          <w:bCs/>
          <w:color w:val="1E2761"/>
          <w:sz w:val="26"/>
          <w:szCs w:val="26"/>
        </w:rPr>
        <w:t xml:space="preserve">권고 사항</w:t>
      </w:r>
    </w:p>
    <w:p>
      <w:pPr>
        <w:pStyle w:val="ListParagraph"/>
        <w:numPr>
          <w:ilvl w:val="0"/>
          <w:numId w:val="2"/>
        </w:numPr>
        <w:spacing w:after="60"/>
      </w:pPr>
      <w:r>
        <w:rPr>
          <w:rFonts w:ascii="맑은 고딕" w:cs="맑은 고딕" w:eastAsia="맑은 고딕" w:hAnsi="맑은 고딕"/>
          <w:color w:val="222222"/>
          <w:sz w:val="20"/>
          <w:szCs w:val="20"/>
        </w:rPr>
        <w:t xml:space="preserve">가장 먼저, 최종 확정 303명 전처리 데이터셋(06_resized/, BET+N4+FLIRT+MNI152)으로 재학습을 1회 수행하여 현재 3건의 예비 결과와 비교합니다 — 전처리 자체의 영향을 분리해서 확인할 수 있습니다.</w:t>
      </w:r>
    </w:p>
    <w:p>
      <w:pPr>
        <w:pStyle w:val="ListParagraph"/>
        <w:numPr>
          <w:ilvl w:val="0"/>
          <w:numId w:val="2"/>
        </w:numPr>
        <w:spacing w:after="60"/>
      </w:pPr>
      <w:r>
        <w:rPr>
          <w:rFonts w:ascii="맑은 고딕" w:cs="맑은 고딕" w:eastAsia="맑은 고딕" w:hAnsi="맑은 고딕"/>
          <w:color w:val="222222"/>
          <w:sz w:val="20"/>
          <w:szCs w:val="20"/>
        </w:rPr>
        <w:t xml:space="preserve">Variant3CNN의 flatten_method를 'global_max'에서 'depth_collapse'(12544 뉴런, 논문 Figure2와 동일한 수치)로 변경하여 재학습하고, 성능 변화를 관찰합니다.</w:t>
      </w:r>
    </w:p>
    <w:p>
      <w:pPr>
        <w:pStyle w:val="ListParagraph"/>
        <w:numPr>
          <w:ilvl w:val="0"/>
          <w:numId w:val="2"/>
        </w:numPr>
        <w:spacing w:after="60"/>
      </w:pPr>
      <w:r>
        <w:rPr>
          <w:rFonts w:ascii="맑은 고딕" w:cs="맑은 고딕" w:eastAsia="맑은 고딕" w:hAnsi="맑은 고딕"/>
          <w:color w:val="222222"/>
          <w:sz w:val="20"/>
          <w:szCs w:val="20"/>
        </w:rPr>
        <w:t xml:space="preserve">Conv3D-3~5 채널 수를 논문 Figure2 값(256/512/1024)으로 복원 가능한지, GPU 메모리 제약과 절충하여 검토합니다(배치 크기를 더 줄이거나 mixed precision 학습 활용 등).</w:t>
      </w:r>
    </w:p>
    <w:p>
      <w:pPr>
        <w:pStyle w:val="ListParagraph"/>
        <w:numPr>
          <w:ilvl w:val="0"/>
          <w:numId w:val="2"/>
        </w:numPr>
        <w:spacing w:after="60"/>
      </w:pPr>
      <w:r>
        <w:rPr>
          <w:rFonts w:ascii="맑은 고딕" w:cs="맑은 고딕" w:eastAsia="맑은 고딕" w:hAnsi="맑은 고딕"/>
          <w:color w:val="222222"/>
          <w:sz w:val="20"/>
          <w:szCs w:val="20"/>
        </w:rPr>
        <w:t xml:space="preserve">torch.manual_seed() 등으로 가중치 초기화 시드를 고정하여 실행 간 재현성을 확보합니다.</w:t>
      </w:r>
    </w:p>
    <w:p>
      <w:pPr>
        <w:pStyle w:val="ListParagraph"/>
        <w:numPr>
          <w:ilvl w:val="0"/>
          <w:numId w:val="2"/>
        </w:numPr>
        <w:spacing w:after="60"/>
      </w:pPr>
      <w:r>
        <w:rPr>
          <w:rFonts w:ascii="맑은 고딕" w:cs="맑은 고딕" w:eastAsia="맑은 고딕" w:hAnsi="맑은 고딕"/>
          <w:color w:val="222222"/>
          <w:sz w:val="20"/>
          <w:szCs w:val="20"/>
        </w:rPr>
        <w:t xml:space="preserve">가능하다면 5-fold 또는 10-fold Cross Validation을 구현하여 단일 split의 우연성을 줄이고, 논문 Table 5/6과 동일한 평가 방식을 적용합니다.</w:t>
      </w:r>
    </w:p>
    <w:p>
      <w:pPr>
        <w:pStyle w:val="ListParagraph"/>
        <w:numPr>
          <w:ilvl w:val="0"/>
          <w:numId w:val="2"/>
        </w:numPr>
        <w:spacing w:after="60"/>
      </w:pPr>
      <w:r>
        <w:rPr>
          <w:rFonts w:ascii="맑은 고딕" w:cs="맑은 고딕" w:eastAsia="맑은 고딕" w:hAnsi="맑은 고딕"/>
          <w:color w:val="222222"/>
          <w:sz w:val="20"/>
          <w:szCs w:val="20"/>
        </w:rPr>
        <w:t xml:space="preserve">MNIPD25-T1MPRAGE-1 아틀라스와 ANTsPy 아핀+비선형 정합을 사용하는 버전도 추가로 준비해 두면(이미 일부 시도된 이력 있음), 정합 방식이 성능에 미치는 영향을 별도로 검증할 수 있습니다.</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c84a1097cdc08ca608b57453587d9f788bd56d.png"/><Relationship Id="rId8" Type="http://schemas.openxmlformats.org/officeDocument/2006/relationships/image" Target="media/11cfbf0ecd1622b7c7ca436ba93588d7768cfdd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2026-07-02T13:39:22.402Z</dcterms:created>
  <dcterms:modified xsi:type="dcterms:W3CDTF">2026-07-02T13:39:22.402Z</dcterms:modified>
</cp:coreProperties>
</file>

<file path=docProps/custom.xml><?xml version="1.0" encoding="utf-8"?>
<Properties xmlns="http://schemas.openxmlformats.org/officeDocument/2006/custom-properties" xmlns:vt="http://schemas.openxmlformats.org/officeDocument/2006/docPropsVTypes"/>
</file>