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文档规范化操作指引</w:t>
      </w:r>
    </w:p>
    <w:p>
      <w:pPr>
        <w:pStyle w:val="Heading1"/>
      </w:pPr>
      <w:r>
        <w:t>一、总体要求</w:t>
      </w:r>
    </w:p>
    <w:p>
      <w:r>
        <w:t>文档排版应使用样式控制，避免手工插入空格与空行调整版式。</w:t>
      </w:r>
    </w:p>
    <w:p>
      <w:r>
        <w:t>正文标点统一使用中文全角标点，数字与英文之间保持规范间距。</w:t>
      </w:r>
    </w:p>
    <w:p>
      <w:pPr>
        <w:pStyle w:val="Heading1"/>
      </w:pPr>
      <w:r>
        <w:t>二、具体规范</w:t>
      </w:r>
    </w:p>
    <w:p>
      <w:r>
        <w:t>一、标题层级应连续，不得出现空标题。</w:t>
      </w:r>
    </w:p>
    <w:p>
      <w:r>
        <w:t>二、序号建议使用自动编号，避免人工维护出错。</w:t>
      </w:r>
    </w:p>
    <w:p>
      <w:r>
        <w:t>三、表格应设置标题行跨页重复，保证可读性。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标准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检查项 1</w:t>
            </w:r>
          </w:p>
        </w:tc>
        <w:tc>
          <w:tcPr>
            <w:tcW w:type="dxa" w:w="2880"/>
          </w:tcPr>
          <w:p>
            <w:r>
              <w:t>符合规范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检查项 2</w:t>
            </w:r>
          </w:p>
        </w:tc>
        <w:tc>
          <w:tcPr>
            <w:tcW w:type="dxa" w:w="2880"/>
          </w:tcPr>
          <w:p>
            <w:r>
              <w:t>符合规范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检查项 3</w:t>
            </w:r>
          </w:p>
        </w:tc>
        <w:tc>
          <w:tcPr>
            <w:tcW w:type="dxa" w:w="2880"/>
          </w:tcPr>
          <w:p>
            <w:r>
              <w:t>符合规范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