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hint="eastAsia" w:ascii="Times New Roman" w:hAnsi="Times New Roman" w:cs="Times New Roman"/>
          <w:color w:val="4F81BD" w:themeColor="accent1"/>
          <w:sz w:val="32"/>
          <w:szCs w:val="24"/>
        </w:rPr>
        <w:t>学：决策的科学项目说明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hint="eastAsia" w:ascii="Times New Roman" w:hAnsi="Times New Roman" w:cs="Times New Roman"/>
          <w:b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fldChar w:fldCharType="separate"/>
      </w:r>
      <w:r>
        <w:rPr>
          <w:rStyle w:val="8"/>
          <w:rFonts w:hint="eastAsia" w:ascii="Times New Roman" w:hAnsi="Times New Roman" w:cs="Times New Roman"/>
          <w:b/>
          <w:szCs w:val="24"/>
        </w:rPr>
        <w:t>点此查看此文档的英文版本</w:t>
      </w:r>
      <w:r>
        <w:rPr>
          <w:rStyle w:val="8"/>
          <w:rFonts w:hint="eastAsia" w:ascii="Times New Roman" w:hAnsi="Times New Roman" w:cs="Times New Roman"/>
          <w:b/>
          <w:szCs w:val="24"/>
        </w:rPr>
        <w:fldChar w:fldCharType="end"/>
      </w:r>
      <w:r>
        <w:rPr>
          <w:rFonts w:hint="eastAsia" w:ascii="Times New Roman" w:hAnsi="Times New Roman" w:cs="Times New Roman"/>
          <w:b/>
          <w:color w:val="000000" w:themeColor="text1"/>
          <w:szCs w:val="24"/>
        </w:rPr>
        <w:t>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hint="eastAsia" w:ascii="Times New Roman" w:hAnsi="Times New Roman" w:cs="Times New Roman"/>
          <w:sz w:val="22"/>
        </w:rPr>
        <w:t xml:space="preserve"> Stroop 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 w:ascii="Times New Roman" w:hAnsi="Times New Roman" w:cs="Times New Roman"/>
          <w:color w:val="FF0000"/>
          <w:sz w:val="22"/>
        </w:rPr>
        <w:t>红色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548DD4" w:themeColor="text2" w:themeTint="99"/>
          <w:sz w:val="22"/>
        </w:rPr>
        <w:t>蓝色</w:t>
      </w:r>
      <w:r>
        <w:rPr>
          <w:rFonts w:hint="eastAsia" w:ascii="Times New Roman" w:hAnsi="Times New Roman" w:cs="Times New Roman"/>
          <w:sz w:val="22"/>
        </w:rPr>
        <w:t>”。在不一致文字条件中，显示的文字是与它们的打印颜色不匹配的颜色词，如“</w:t>
      </w:r>
      <w:r>
        <w:rPr>
          <w:rFonts w:hint="eastAsia" w:ascii="Times New Roman" w:hAnsi="Times New Roman" w:cs="Times New Roman"/>
          <w:color w:val="92D050"/>
          <w:sz w:val="22"/>
          <w:shd w:val="pct10" w:color="auto" w:fill="FFFFFF"/>
        </w:rPr>
        <w:t>紫色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7030A0"/>
          <w:sz w:val="22"/>
        </w:rPr>
        <w:t>橙色</w:t>
      </w:r>
      <w:r>
        <w:rPr>
          <w:rFonts w:hint="eastAsia" w:ascii="Times New Roman" w:hAnsi="Times New Roman" w:cs="Times New Roman"/>
          <w:sz w:val="22"/>
        </w:rPr>
        <w:t>”。在每个情况中，我们将计量说出同等大小的列表中的墨色名称的时间。每位参与者必须全部完成并记录每种条件下使用的时间。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请确保记录你在创建项目时使用或参考的任何资源</w:t>
      </w:r>
      <w:r>
        <w:rPr>
          <w:rFonts w:hint="eastAsia" w:ascii="Times New Roman" w:hAnsi="Times New Roman" w:cs="Times New Roman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我们的自变量是什么？因变量是什么？</w:t>
      </w:r>
    </w:p>
    <w:p>
      <w:pPr>
        <w:pStyle w:val="12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hint="eastAsia" w:ascii="Times New Roman" w:hAnsi="Times New Roman" w:cs="Times New Roman"/>
          <w:color w:val="4F81BD" w:themeColor="accent1"/>
          <w:sz w:val="22"/>
        </w:rPr>
        <w:t>自变量是任务条件，即文字是否与其颜色一致；因变量是说出墨色名称的时间。</w:t>
      </w:r>
    </w:p>
    <w:p>
      <w:pPr>
        <w:pStyle w:val="12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hint="eastAsia" w:ascii="Times New Roman" w:hAnsi="Times New Roman" w:cs="Times New Roman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hint="eastAsia" w:ascii="Times New Roman" w:hAnsi="Times New Roman" w:cs="Times New Roman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hint="eastAsia" w:ascii="Times New Roman" w:hAnsi="Times New Roman" w:cs="Times New Roman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hint="eastAsia" w:ascii="Times New Roman" w:hAnsi="Times New Roman" w:cs="Times New Roman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hint="eastAsia" w:ascii="Times New Roman" w:hAnsi="Times New Roman" w:cs="Times New Roman"/>
          <w:sz w:val="22"/>
        </w:rPr>
        <w:t>你想执行什么类型的统计检验？为你的选择提供正当理由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hint="eastAsia"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pStyle w:val="12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hint="eastAsia" w:ascii="Times New Roman" w:hAnsi="Times New Roman" w:cs="Times New Roman"/>
          <w:color w:val="4F81BD" w:themeColor="accent1"/>
          <w:sz w:val="22"/>
        </w:rPr>
        <w:t>假设集是因为文字条件不一致影响说出墨色名称的时间。</w:t>
      </w:r>
    </w:p>
    <w:p>
      <w:pPr>
        <w:pStyle w:val="12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hint="eastAsia" w:ascii="Times New Roman" w:hAnsi="Times New Roman" w:cs="Times New Roman"/>
          <w:color w:val="4F81BD" w:themeColor="accent1"/>
          <w:sz w:val="22"/>
        </w:rPr>
        <w:t>零假设</w:t>
      </w:r>
      <m:oMath>
        <m:sSub>
          <m:sSubP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H</m:t>
            </m: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0</m:t>
            </m: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 xml:space="preserve"> :</m:t>
        </m:r>
        <m:sSub>
          <m:sSubP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e>
          <m:sub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0</m:t>
            </m: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e>
          <m:sub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1</m:t>
            </m: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>=0</m:t>
        </m:r>
      </m:oMath>
      <w:r>
        <w:rPr>
          <w:rFonts w:hint="eastAsia" w:ascii="Times New Roman" w:hAnsi="Times New Roman" w:cs="Times New Roman"/>
          <w:color w:val="4F81BD" w:themeColor="accent1"/>
          <w:sz w:val="22"/>
        </w:rPr>
        <w:t xml:space="preserve"> (两种条件下参与者完成的时间一样)</w:t>
      </w:r>
    </w:p>
    <w:p>
      <w:pPr>
        <w:pStyle w:val="12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hint="eastAsia" w:ascii="Times New Roman" w:hAnsi="Times New Roman" w:cs="Times New Roman"/>
          <w:color w:val="4F81BD" w:themeColor="accent1"/>
          <w:sz w:val="22"/>
        </w:rPr>
        <w:t>对立假设</w:t>
      </w:r>
      <m:oMath>
        <m:sSub>
          <m:sSubP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H</m:t>
            </m: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1</m:t>
            </m: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e>
          <m:sub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0</m:t>
            </m: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e>
          <m:sub>
            <m:r>
              <w:rPr>
                <w:rFonts w:ascii="Cambria Math" w:hAnsi="Cambria Math" w:cs="Times New Roman"/>
                <w:color w:val="4F81BD" w:themeColor="accent1"/>
                <w:sz w:val="22"/>
              </w:rPr>
              <m:t>1</m:t>
            </m:r>
            <m:ctrlPr>
              <w:rPr>
                <w:rFonts w:ascii="Cambria Math" w:hAnsi="Cambria Math" w:cs="Times New Roman"/>
                <w:i/>
                <w:color w:val="4F81BD" w:themeColor="accent1"/>
                <w:sz w:val="22"/>
              </w:rPr>
            </m:ctrlPr>
          </m:sub>
        </m:sSub>
        <m:r>
          <w:rPr>
            <w:rFonts w:ascii="Cambria Math" w:hAnsi="Cambria Math" w:cs="Times New Roman"/>
            <w:color w:val="4F81BD" w:themeColor="accent1"/>
            <w:sz w:val="22"/>
          </w:rPr>
          <m:t>≠0</m:t>
        </m:r>
      </m:oMath>
      <w:r>
        <w:rPr>
          <w:rFonts w:hint="eastAsia" w:ascii="Times New Roman" w:hAnsi="Times New Roman" w:cs="Times New Roman"/>
          <w:color w:val="4F81BD" w:themeColor="accent1"/>
          <w:sz w:val="22"/>
        </w:rPr>
        <w:t xml:space="preserve"> (不一致条件</w:t>
      </w:r>
      <w:r>
        <w:rPr>
          <w:rFonts w:hint="eastAsia" w:ascii="Times New Roman" w:hAnsi="Times New Roman" w:cs="Times New Roman"/>
          <w:color w:val="4F81BD" w:themeColor="accent1"/>
          <w:sz w:val="22"/>
          <w:lang w:val="en-US" w:eastAsia="zh-CN"/>
        </w:rPr>
        <w:t>会影响</w:t>
      </w:r>
      <w:r>
        <w:rPr>
          <w:rFonts w:hint="eastAsia" w:ascii="Times New Roman" w:hAnsi="Times New Roman" w:cs="Times New Roman"/>
          <w:color w:val="4F81BD" w:themeColor="accent1"/>
          <w:sz w:val="22"/>
        </w:rPr>
        <w:t>完成的时间)</w:t>
      </w:r>
    </w:p>
    <w:p>
      <w:pPr>
        <w:pStyle w:val="12"/>
        <w:ind w:firstLineChars="0"/>
        <w:rPr>
          <w:rFonts w:hint="eastAsia" w:ascii="Times New Roman" w:hAnsi="Times New Roman" w:cs="Times New Roman"/>
          <w:color w:val="4F81BD" w:themeColor="accent1"/>
          <w:sz w:val="22"/>
        </w:rPr>
      </w:pPr>
      <w:r>
        <w:rPr>
          <w:rFonts w:hint="eastAsia" w:ascii="Times New Roman" w:hAnsi="Times New Roman" w:cs="Times New Roman"/>
          <w:color w:val="4F81BD" w:themeColor="accent1"/>
          <w:sz w:val="22"/>
        </w:rPr>
        <w:t>其中</w:t>
      </w:r>
      <m:oMath>
        <m:sSub>
          <m:sSubP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0</m:t>
            </m: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ub>
        </m:sSub>
      </m:oMath>
      <w:r>
        <w:rPr>
          <w:rFonts w:hint="eastAsia" w:ascii="Times New Roman" w:hAnsi="Times New Roman" w:cs="Times New Roman"/>
          <w:color w:val="4F81BD" w:themeColor="accent1"/>
          <w:sz w:val="22"/>
        </w:rPr>
        <w:t>是一致文字条件下，测试者说出墨色名称的时间均值（总体均值），</w:t>
      </w:r>
      <m:oMath>
        <m:sSub>
          <m:sSubP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μ</m:t>
            </m: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F81BD" w:themeColor="accent1"/>
                <w:sz w:val="22"/>
              </w:rPr>
              <m:t>1</m:t>
            </m:r>
            <m:ctrlPr>
              <w:rPr>
                <w:rFonts w:ascii="Cambria Math" w:hAnsi="Cambria Math" w:cs="Times New Roman"/>
                <w:color w:val="4F81BD" w:themeColor="accent1"/>
                <w:sz w:val="22"/>
              </w:rPr>
            </m:ctrlPr>
          </m:sub>
        </m:sSub>
      </m:oMath>
      <w:r>
        <w:rPr>
          <w:rFonts w:hint="eastAsia" w:ascii="Times New Roman" w:hAnsi="Times New Roman" w:cs="Times New Roman"/>
          <w:color w:val="4F81BD" w:themeColor="accent1"/>
          <w:sz w:val="22"/>
        </w:rPr>
        <w:t>是不一致文字条件下测试者说出墨色名称的时间均值（总体均值）。</w:t>
      </w:r>
    </w:p>
    <w:p>
      <w:pPr>
        <w:pStyle w:val="12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hint="eastAsia" w:ascii="Times New Roman" w:hAnsi="Times New Roman" w:cs="Times New Roman"/>
          <w:color w:val="4F81BD" w:themeColor="accent1"/>
          <w:sz w:val="22"/>
        </w:rPr>
        <w:t>因为实验不知道总体样本均值和标准差，只有样本数据，没有总体参数，</w:t>
      </w:r>
      <w:r>
        <w:rPr>
          <w:rFonts w:hint="eastAsia" w:ascii="Times New Roman" w:hAnsi="Times New Roman" w:cs="Times New Roman"/>
          <w:color w:val="4F81BD" w:themeColor="accent1"/>
          <w:sz w:val="22"/>
          <w:lang w:val="en-US" w:eastAsia="zh-CN"/>
        </w:rPr>
        <w:t>且样本数据基本呈正态分布，符合t检验的前置条件，</w:t>
      </w:r>
      <w:r>
        <w:rPr>
          <w:rFonts w:hint="eastAsia" w:ascii="Times New Roman" w:hAnsi="Times New Roman" w:cs="Times New Roman"/>
          <w:color w:val="4F81BD" w:themeColor="accent1"/>
          <w:sz w:val="22"/>
        </w:rPr>
        <w:t>所以考虑使用t双尾检验；测试是同一组参与者前后两次不同条件的测试结果，所以这是相依样本检验。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现在轮到你自行尝试 Stroop 任务了。前往</w:t>
      </w:r>
      <w:r>
        <w:fldChar w:fldCharType="begin"/>
      </w:r>
      <w:r>
        <w:instrText xml:space="preserve"> HYPERLINK "https://faculty.washington.edu/chudler/java/ready.html"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此链接</w:t>
      </w:r>
      <w:r>
        <w:rPr>
          <w:rStyle w:val="6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，其中包含一个基于 Java 的小程序，专门用于执行 Stroop 任务。记录你收到的任务时间（你无需将时间提交到网站）。现在</w:t>
      </w:r>
      <w:r>
        <w:fldChar w:fldCharType="begin"/>
      </w:r>
      <w:r>
        <w:instrText xml:space="preserve"> HYPERLINK "https://s3.cn-north-1.amazonaws.com.cn/static-documents/nd002/stroopdata.csv" </w:instrText>
      </w:r>
      <w:r>
        <w:fldChar w:fldCharType="separate"/>
      </w:r>
      <w:r>
        <w:rPr>
          <w:rStyle w:val="8"/>
          <w:rFonts w:hint="eastAsia" w:ascii="Times New Roman" w:hAnsi="Times New Roman" w:cs="Times New Roman"/>
          <w:sz w:val="22"/>
        </w:rPr>
        <w:t>下载此数据集</w:t>
      </w:r>
      <w:r>
        <w:rPr>
          <w:rStyle w:val="8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，其中包含一些任务参与者的结果。数据集的每行包含一名参与者的表现，第一个数字代表他们的</w:t>
      </w:r>
      <w:r>
        <w:rPr>
          <w:rFonts w:ascii="Times New Roman" w:hAnsi="Times New Roman" w:cs="Times New Roman"/>
          <w:sz w:val="22"/>
        </w:rPr>
        <w:t>一致任务结果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第二个数字代表不一致任务结果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pStyle w:val="12"/>
        <w:ind w:left="-281" w:leftChars="-134" w:firstLine="839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position w:val="-6"/>
          <w:sz w:val="22"/>
        </w:rPr>
        <w:object>
          <v:shape id="_x0000_i1025" o:spt="75" type="#_x0000_t75" style="height:16.95pt;width:6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2"/>
        </w:rPr>
        <w:t xml:space="preserve">, </w:t>
      </w:r>
      <w:r>
        <w:rPr>
          <w:rFonts w:hint="eastAsia" w:ascii="Times New Roman" w:hAnsi="Times New Roman" w:cs="Times New Roman"/>
          <w:position w:val="-12"/>
          <w:sz w:val="22"/>
        </w:rPr>
        <w:object>
          <v:shape id="_x0000_i1026" o:spt="75" type="#_x0000_t75" style="height:18.1pt;width:56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pStyle w:val="12"/>
        <w:ind w:left="-281" w:leftChars="-134" w:firstLine="839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position w:val="-6"/>
          <w:sz w:val="22"/>
        </w:rPr>
        <w:object>
          <v:shape id="_x0000_i1027" o:spt="75" type="#_x0000_t75" style="height:16.95pt;width:5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2"/>
        </w:rPr>
        <w:t xml:space="preserve">, </w:t>
      </w:r>
      <w:r>
        <w:rPr>
          <w:rFonts w:hint="eastAsia" w:ascii="Times New Roman" w:hAnsi="Times New Roman" w:cs="Times New Roman"/>
          <w:position w:val="-10"/>
          <w:sz w:val="22"/>
        </w:rPr>
        <w:object>
          <v:shape id="_x0000_i1028" o:spt="75" type="#_x0000_t75" style="height:16.95pt;width:55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pStyle w:val="12"/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drawing>
          <wp:inline distT="0" distB="0" distL="114300" distR="114300">
            <wp:extent cx="5271770" cy="2237105"/>
            <wp:effectExtent l="0" t="0" r="5080" b="1079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297" w:firstLine="0" w:firstLineChars="0"/>
      </w:pPr>
      <w:r>
        <w:drawing>
          <wp:inline distT="0" distB="0" distL="114300" distR="114300">
            <wp:extent cx="4133215" cy="1749425"/>
            <wp:effectExtent l="0" t="0" r="635" b="317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297" w:firstLine="0" w:firstLineChars="0"/>
      </w:pPr>
      <w:r>
        <w:drawing>
          <wp:inline distT="0" distB="0" distL="114300" distR="114300">
            <wp:extent cx="4133215" cy="1749425"/>
            <wp:effectExtent l="0" t="0" r="635" b="317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297" w:firstLine="0" w:firstLineChars="0"/>
        <w:rPr>
          <w:rFonts w:hint="eastAsia" w:ascii="Times New Roman" w:hAnsi="Times New Roman" w:cs="Times New Roman" w:eastAsiaTheme="minorEastAsia"/>
          <w:color w:val="0000FF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4F81BD" w:themeColor="accent1"/>
          <w:sz w:val="22"/>
          <w:lang w:val="en-US" w:eastAsia="zh-CN"/>
        </w:rPr>
        <w:t>从柱状图看出不一致条件的识别时间总体大于一致条件的识别时间，而且从直方图看出2个条件下识别的时间都基本符合正态分布，不一致条件的识别时间均值大于一致条件的识别时间均值。</w: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hint="eastAsia" w:ascii="Times New Roman" w:hAnsi="Times New Roman" w:cs="Times New Roman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>
      <w:pPr>
        <w:pStyle w:val="12"/>
        <w:ind w:left="-281" w:leftChars="-134"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hint="eastAsia" w:ascii="Times New Roman" w:hAnsi="Times New Roman" w:cs="Times New Roman"/>
          <w:color w:val="4F81BD" w:themeColor="accent1"/>
          <w:position w:val="-138"/>
          <w:sz w:val="22"/>
        </w:rPr>
        <w:object>
          <v:shape id="_x0000_i1029" o:spt="75" type="#_x0000_t75" style="height:126pt;width:339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pStyle w:val="12"/>
        <w:ind w:left="297" w:firstLine="0"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hint="eastAsia" w:ascii="Times New Roman" w:hAnsi="Times New Roman" w:cs="Times New Roman"/>
          <w:color w:val="4F81BD" w:themeColor="accent1"/>
          <w:sz w:val="22"/>
        </w:rPr>
        <w:t>t统计落入临界区，拒绝零假设，95%的可信度认为不一致条件完成时间</w:t>
      </w:r>
      <w:r>
        <w:rPr>
          <w:rFonts w:hint="eastAsia" w:ascii="Times New Roman" w:hAnsi="Times New Roman" w:cs="Times New Roman"/>
          <w:color w:val="4F81BD" w:themeColor="accent1"/>
          <w:sz w:val="22"/>
          <w:lang w:val="en-US" w:eastAsia="zh-CN"/>
        </w:rPr>
        <w:t>与</w:t>
      </w:r>
      <w:r>
        <w:rPr>
          <w:rFonts w:hint="eastAsia" w:ascii="Times New Roman" w:hAnsi="Times New Roman" w:cs="Times New Roman"/>
          <w:color w:val="4F81BD" w:themeColor="accent1"/>
          <w:sz w:val="22"/>
        </w:rPr>
        <w:t>一致条件完成的时间</w:t>
      </w:r>
      <w:r>
        <w:rPr>
          <w:rFonts w:hint="eastAsia" w:ascii="Times New Roman" w:hAnsi="Times New Roman" w:cs="Times New Roman"/>
          <w:color w:val="4F81BD" w:themeColor="accent1"/>
          <w:sz w:val="22"/>
          <w:lang w:val="en-US" w:eastAsia="zh-CN"/>
        </w:rPr>
        <w:t>不同，与我的期望一致</w:t>
      </w:r>
      <w:bookmarkStart w:id="0" w:name="_GoBack"/>
      <w:bookmarkEnd w:id="0"/>
      <w:r>
        <w:rPr>
          <w:rFonts w:hint="eastAsia" w:ascii="Times New Roman" w:hAnsi="Times New Roman" w:cs="Times New Roman"/>
          <w:color w:val="4F81BD" w:themeColor="accent1"/>
          <w:sz w:val="22"/>
        </w:rPr>
        <w:t>。</w: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>
      <w:pPr>
        <w:pStyle w:val="12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ascii="Times New Roman" w:hAnsi="Times New Roman" w:cs="Times New Roman"/>
          <w:color w:val="4F81BD" w:themeColor="accent1"/>
          <w:sz w:val="22"/>
        </w:rPr>
        <w:t>可能是思维的反应速度,要快过眼睛的感知速度.</w:t>
      </w:r>
    </w:p>
    <w:p>
      <w:pPr>
        <w:pStyle w:val="12"/>
        <w:ind w:firstLineChars="0"/>
        <w:rPr>
          <w:rFonts w:ascii="Times New Roman" w:hAnsi="Times New Roman" w:cs="Times New Roman"/>
          <w:color w:val="4F81BD" w:themeColor="accent1"/>
          <w:sz w:val="22"/>
        </w:rPr>
      </w:pPr>
      <w:r>
        <w:rPr>
          <w:rFonts w:ascii="Times New Roman" w:hAnsi="Times New Roman" w:cs="Times New Roman"/>
          <w:color w:val="4F81BD" w:themeColor="accent1"/>
          <w:sz w:val="22"/>
        </w:rPr>
        <w:t>类似的可能还有羊群效应之类的心理学现象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0F337D"/>
    <w:rsid w:val="001C361E"/>
    <w:rsid w:val="001E3B6E"/>
    <w:rsid w:val="00247133"/>
    <w:rsid w:val="003342CB"/>
    <w:rsid w:val="003521D6"/>
    <w:rsid w:val="00387474"/>
    <w:rsid w:val="00427C2F"/>
    <w:rsid w:val="004323D6"/>
    <w:rsid w:val="00454ECF"/>
    <w:rsid w:val="004655E3"/>
    <w:rsid w:val="004823ED"/>
    <w:rsid w:val="004C357E"/>
    <w:rsid w:val="00513A2E"/>
    <w:rsid w:val="005B20EF"/>
    <w:rsid w:val="005B40FB"/>
    <w:rsid w:val="005F011D"/>
    <w:rsid w:val="006A5478"/>
    <w:rsid w:val="006B5251"/>
    <w:rsid w:val="0070449D"/>
    <w:rsid w:val="00715C80"/>
    <w:rsid w:val="00717963"/>
    <w:rsid w:val="00756825"/>
    <w:rsid w:val="007C47D5"/>
    <w:rsid w:val="00886DDE"/>
    <w:rsid w:val="008F0818"/>
    <w:rsid w:val="009A1182"/>
    <w:rsid w:val="009A2B04"/>
    <w:rsid w:val="009C367F"/>
    <w:rsid w:val="009E4F43"/>
    <w:rsid w:val="00A9744C"/>
    <w:rsid w:val="00B41751"/>
    <w:rsid w:val="00B76348"/>
    <w:rsid w:val="00CA75CF"/>
    <w:rsid w:val="00E266F2"/>
    <w:rsid w:val="00E84DFB"/>
    <w:rsid w:val="00EB5595"/>
    <w:rsid w:val="00ED5B0A"/>
    <w:rsid w:val="00EF66CF"/>
    <w:rsid w:val="00F53F67"/>
    <w:rsid w:val="00F54B30"/>
    <w:rsid w:val="00FB0EFF"/>
    <w:rsid w:val="00FC7EE5"/>
    <w:rsid w:val="115C5B44"/>
    <w:rsid w:val="17166996"/>
    <w:rsid w:val="2A25502B"/>
    <w:rsid w:val="2C234247"/>
    <w:rsid w:val="387E71F6"/>
    <w:rsid w:val="45F31EBE"/>
    <w:rsid w:val="4EDB0786"/>
    <w:rsid w:val="74F22914"/>
    <w:rsid w:val="78025794"/>
    <w:rsid w:val="7C4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10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styleId="13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250</Words>
  <Characters>1426</Characters>
  <Lines>11</Lines>
  <Paragraphs>3</Paragraphs>
  <ScaleCrop>false</ScaleCrop>
  <LinksUpToDate>false</LinksUpToDate>
  <CharactersWithSpaces>1673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2016-08-18T05:43:00Z</dcterms:created>
  <dc:creator>微软用户</dc:creator>
  <cp:lastModifiedBy>lenovo</cp:lastModifiedBy>
  <dcterms:modified xsi:type="dcterms:W3CDTF">2018-04-02T04:12:02Z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