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1F4E78"/>
          <w:sz w:val="32"/>
        </w:rPr>
        <w:t>数智施工平台</w:t>
      </w:r>
    </w:p>
    <w:p>
      <w:pPr>
        <w:jc w:val="center"/>
      </w:pPr>
      <w:r>
        <w:rPr>
          <w:b/>
          <w:color w:val="1F4E78"/>
          <w:sz w:val="54"/>
        </w:rPr>
        <w:t>产值管理模块产品需求文档</w:t>
      </w:r>
    </w:p>
    <w:p>
      <w:pPr>
        <w:jc w:val="center"/>
      </w:pPr>
      <w:r>
        <w:rPr>
          <w:color w:val="666666"/>
          <w:sz w:val="26"/>
        </w:rPr>
        <w:t>产值看板 · 实际产值上报 · 完工未结算管理</w:t>
      </w:r>
    </w:p>
    <w:p>
      <w:r>
        <w:br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160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文档项</w:t>
            </w:r>
          </w:p>
        </w:tc>
        <w:tc>
          <w:tcPr>
            <w:tcW w:type="dxa" w:w="7488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16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文档版本</w:t>
            </w:r>
          </w:p>
        </w:tc>
        <w:tc>
          <w:tcPr>
            <w:tcW w:type="dxa" w:w="748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216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编制日期</w:t>
            </w:r>
          </w:p>
        </w:tc>
        <w:tc>
          <w:tcPr>
            <w:tcW w:type="dxa" w:w="748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2026年8月10日</w:t>
            </w:r>
          </w:p>
        </w:tc>
      </w:tr>
      <w:tr>
        <w:tc>
          <w:tcPr>
            <w:tcW w:type="dxa" w:w="216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适用系统</w:t>
            </w:r>
          </w:p>
        </w:tc>
        <w:tc>
          <w:tcPr>
            <w:tcW w:type="dxa" w:w="748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Digital-Intelligent-Construction（数智施工平台）</w:t>
            </w:r>
          </w:p>
        </w:tc>
      </w:tr>
      <w:tr>
        <w:tc>
          <w:tcPr>
            <w:tcW w:type="dxa" w:w="216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当前产品基线</w:t>
            </w:r>
          </w:p>
        </w:tc>
        <w:tc>
          <w:tcPr>
            <w:tcW w:type="dxa" w:w="748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EM-20260701-V2.2.607-OUTPUT-CHART-AXIS-LABEL-OFFSET</w:t>
            </w:r>
          </w:p>
        </w:tc>
      </w:tr>
      <w:tr>
        <w:tc>
          <w:tcPr>
            <w:tcW w:type="dxa" w:w="216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适用范围</w:t>
            </w:r>
          </w:p>
        </w:tc>
        <w:tc>
          <w:tcPr>
            <w:tcW w:type="dxa" w:w="748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企业管理 / 生产 / 产值管理及产值看板</w:t>
            </w:r>
          </w:p>
        </w:tc>
      </w:tr>
    </w:tbl>
    <w:p>
      <w:pPr>
        <w:spacing w:after="0"/>
      </w:pPr>
    </w:p>
    <w:p>
      <w:pPr>
        <w:spacing w:before="360"/>
      </w:pPr>
      <w:r>
        <w:rPr>
          <w:i/>
          <w:color w:val="666666"/>
        </w:rPr>
        <w:t>文档说明：本 PRD 依据当前 Demo 已实现页面、交互和数据口径整理。涉及真实组织权限、审批引擎、数据接口及定时计算的内容，需在后端建设阶段按本文规则落地。</w:t>
      </w:r>
    </w:p>
    <w:p>
      <w:r>
        <w:br w:type="page"/>
      </w:r>
    </w:p>
    <w:p>
      <w:pPr>
        <w:pStyle w:val="Heading1"/>
      </w:pPr>
      <w:r>
        <w:t>1. 产品概述</w:t>
      </w:r>
    </w:p>
    <w:p>
      <w:pPr>
        <w:pStyle w:val="Heading2"/>
      </w:pPr>
      <w:r>
        <w:t>1.1 建设背景</w:t>
      </w:r>
    </w:p>
    <w:p>
      <w:r>
        <w:t>产值管理用于统一承接集团、子公司、分公司及项目层级的产值计划、月度实际完成和完工未结算项目数据，形成从项目填报、组织审核到集团经营分析的闭环。系统通过标准化上报口径和可视化看板，解决统计口径分散、上报进度不透明、业态差异难以横向比较等问题。</w:t>
      </w:r>
    </w:p>
    <w:p>
      <w:pPr>
        <w:pStyle w:val="Heading2"/>
      </w:pPr>
      <w:r>
        <w:t>1.2 产品目标</w:t>
      </w:r>
    </w:p>
    <w:p>
      <w:pPr>
        <w:pStyle w:val="ListBullet"/>
      </w:pPr>
      <w:r>
        <w:t>建立统一的月度实际产值上报入口，明确项目、分公司及组织责任。</w:t>
      </w:r>
    </w:p>
    <w:p>
      <w:pPr>
        <w:pStyle w:val="ListBullet"/>
      </w:pPr>
      <w:r>
        <w:t>对完工未结算项目进行独立管理，持续跟踪实际完成与剩余合同产值。</w:t>
      </w:r>
    </w:p>
    <w:p>
      <w:pPr>
        <w:pStyle w:val="ListBullet"/>
      </w:pPr>
      <w:r>
        <w:t>通过产值看板展示集团和子公司经营结果、上报覆盖及月度趋势。</w:t>
      </w:r>
    </w:p>
    <w:p>
      <w:pPr>
        <w:pStyle w:val="ListBullet"/>
      </w:pPr>
      <w:r>
        <w:t>支持按组织和业态下钻分析，为集团生产领导及时识别偏差提供依据。</w:t>
      </w:r>
    </w:p>
    <w:p>
      <w:pPr>
        <w:pStyle w:val="Heading2"/>
      </w:pPr>
      <w:r>
        <w:t>1.3 范围边界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944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7704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本期包含</w:t>
            </w:r>
          </w:p>
        </w:tc>
        <w:tc>
          <w:tcPr>
            <w:tcW w:type="dxa" w:w="770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产值看板、实际产值上报、完工未结算管理</w:t>
            </w:r>
          </w:p>
        </w:tc>
      </w:tr>
      <w:tr>
        <w:tc>
          <w:tcPr>
            <w:tcW w:type="dxa" w:w="194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本期不包含</w:t>
            </w:r>
          </w:p>
        </w:tc>
        <w:tc>
          <w:tcPr>
            <w:tcW w:type="dxa" w:w="770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产值预计、项目产值上报（历史功能）、纳统管理、生产项目报表、生产项目运维列表</w:t>
            </w:r>
          </w:p>
        </w:tc>
      </w:tr>
      <w:tr>
        <w:tc>
          <w:tcPr>
            <w:tcW w:type="dxa" w:w="194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外部依赖</w:t>
            </w:r>
          </w:p>
        </w:tc>
        <w:tc>
          <w:tcPr>
            <w:tcW w:type="dxa" w:w="770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组织主数据、项目主数据、用户权限、审批流程、消息/待办、附件服务</w:t>
            </w:r>
          </w:p>
        </w:tc>
      </w:tr>
    </w:tbl>
    <w:p>
      <w:pPr>
        <w:spacing w:after="0"/>
      </w:pPr>
    </w:p>
    <w:p>
      <w:pPr>
        <w:pStyle w:val="Heading1"/>
      </w:pPr>
      <w:r>
        <w:t>2. 用户角色与权限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656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024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2232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数据范围</w:t>
            </w:r>
          </w:p>
        </w:tc>
        <w:tc>
          <w:tcPr>
            <w:tcW w:type="dxa" w:w="2736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关键权限</w:t>
            </w:r>
          </w:p>
        </w:tc>
      </w:tr>
      <w:tr>
        <w:tc>
          <w:tcPr>
            <w:tcW w:type="dxa" w:w="165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集团生产领导</w:t>
            </w:r>
          </w:p>
        </w:tc>
        <w:tc>
          <w:tcPr>
            <w:tcW w:type="dxa" w:w="302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监督集团产值完成和上报情况</w:t>
            </w:r>
          </w:p>
        </w:tc>
        <w:tc>
          <w:tcPr>
            <w:tcW w:type="dxa" w:w="2232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集团及全部下级组织</w:t>
            </w:r>
          </w:p>
        </w:tc>
        <w:tc>
          <w:tcPr>
            <w:tcW w:type="dxa" w:w="273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看板查看、组织切换、明细查询与导出</w:t>
            </w:r>
          </w:p>
        </w:tc>
      </w:tr>
      <w:tr>
        <w:tc>
          <w:tcPr>
            <w:tcW w:type="dxa" w:w="165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子公司/分公司管理人员</w:t>
            </w:r>
          </w:p>
        </w:tc>
        <w:tc>
          <w:tcPr>
            <w:tcW w:type="dxa" w:w="302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组织本单位填报并审核数据</w:t>
            </w:r>
          </w:p>
        </w:tc>
        <w:tc>
          <w:tcPr>
            <w:tcW w:type="dxa" w:w="2232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本组织及授权下级组织</w:t>
            </w:r>
          </w:p>
        </w:tc>
        <w:tc>
          <w:tcPr>
            <w:tcW w:type="dxa" w:w="273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查询、查看、上报、审核、导出</w:t>
            </w:r>
          </w:p>
        </w:tc>
      </w:tr>
      <w:tr>
        <w:tc>
          <w:tcPr>
            <w:tcW w:type="dxa" w:w="165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项目经理/填报人</w:t>
            </w:r>
          </w:p>
        </w:tc>
        <w:tc>
          <w:tcPr>
            <w:tcW w:type="dxa" w:w="302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维护项目月度实际产值和附件</w:t>
            </w:r>
          </w:p>
        </w:tc>
        <w:tc>
          <w:tcPr>
            <w:tcW w:type="dxa" w:w="2232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本人负责或被授权项目</w:t>
            </w:r>
          </w:p>
        </w:tc>
        <w:tc>
          <w:tcPr>
            <w:tcW w:type="dxa" w:w="273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填写、暂存、提交、查看</w:t>
            </w:r>
          </w:p>
        </w:tc>
      </w:tr>
      <w:tr>
        <w:tc>
          <w:tcPr>
            <w:tcW w:type="dxa" w:w="165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系统管理员</w:t>
            </w:r>
          </w:p>
        </w:tc>
        <w:tc>
          <w:tcPr>
            <w:tcW w:type="dxa" w:w="302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配置组织、项目、权限和流程</w:t>
            </w:r>
          </w:p>
        </w:tc>
        <w:tc>
          <w:tcPr>
            <w:tcW w:type="dxa" w:w="2232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按管理授权</w:t>
            </w:r>
          </w:p>
        </w:tc>
        <w:tc>
          <w:tcPr>
            <w:tcW w:type="dxa" w:w="273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数据维护、权限配置、异常处理</w:t>
            </w:r>
          </w:p>
        </w:tc>
      </w:tr>
    </w:tbl>
    <w:p>
      <w:pPr>
        <w:spacing w:after="0"/>
      </w:pPr>
    </w:p>
    <w:p>
      <w:r>
        <w:t>权限原则：菜单权限控制功能入口，数据权限控制可见组织及项目；查看、编辑、提交、审批和导出权限应分别授权。跨组织汇总仅展示用户有权访问的数据。</w:t>
      </w:r>
    </w:p>
    <w:p>
      <w:pPr>
        <w:pStyle w:val="Heading1"/>
      </w:pPr>
      <w:r>
        <w:t>3. 总体业务流程</w:t>
      </w:r>
    </w:p>
    <w:p>
      <w:pPr>
        <w:pStyle w:val="ListNumber"/>
      </w:pPr>
      <w:r>
        <w:t>系统按上报月份生成或筛选待上报范围，并从组织、项目主数据取得项目归属、状态和负责人。</w:t>
      </w:r>
    </w:p>
    <w:p>
      <w:pPr>
        <w:pStyle w:val="ListNumber"/>
      </w:pPr>
      <w:r>
        <w:t>填报人按项目或适用的分公司维度录入本月实际完成产值，补充相关附件后暂存或提交。</w:t>
      </w:r>
    </w:p>
    <w:p>
      <w:pPr>
        <w:pStyle w:val="ListNumber"/>
      </w:pPr>
      <w:r>
        <w:t>提交后进入审批流程；审批状态和上报结果同步回产值明细，并驱动消息、待办提醒。</w:t>
      </w:r>
    </w:p>
    <w:p>
      <w:pPr>
        <w:pStyle w:val="ListNumber"/>
      </w:pPr>
      <w:r>
        <w:t>完工、竣工且未结算的项目进入完工未结算台账，按月独立上报三项产值指标。</w:t>
      </w:r>
    </w:p>
    <w:p>
      <w:pPr>
        <w:pStyle w:val="ListNumber"/>
      </w:pPr>
      <w:r>
        <w:t>审批通过的数据按组织、业态、月份汇总至产值看板，形成完成率、剩余产值、上报覆盖及趋势分析。</w:t>
      </w:r>
    </w:p>
    <w:p>
      <w:pPr>
        <w:pStyle w:val="Heading2"/>
      </w:pPr>
      <w:r>
        <w:t>3.1 核心状态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536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672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允许操作</w:t>
            </w:r>
          </w:p>
        </w:tc>
      </w:tr>
      <w:tr>
        <w:tc>
          <w:tcPr>
            <w:tcW w:type="dxa" w:w="180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未上报</w:t>
            </w:r>
          </w:p>
        </w:tc>
        <w:tc>
          <w:tcPr>
            <w:tcW w:type="dxa" w:w="453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当前月份尚未形成有效提交记录</w:t>
            </w:r>
          </w:p>
        </w:tc>
        <w:tc>
          <w:tcPr>
            <w:tcW w:type="dxa" w:w="3672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填写、暂存、提交</w:t>
            </w:r>
          </w:p>
        </w:tc>
      </w:tr>
      <w:tr>
        <w:tc>
          <w:tcPr>
            <w:tcW w:type="dxa" w:w="180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待提交/草稿</w:t>
            </w:r>
          </w:p>
        </w:tc>
        <w:tc>
          <w:tcPr>
            <w:tcW w:type="dxa" w:w="453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已保存但尚未进入审批</w:t>
            </w:r>
          </w:p>
        </w:tc>
        <w:tc>
          <w:tcPr>
            <w:tcW w:type="dxa" w:w="3672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编辑、提交</w:t>
            </w:r>
          </w:p>
        </w:tc>
      </w:tr>
      <w:tr>
        <w:tc>
          <w:tcPr>
            <w:tcW w:type="dxa" w:w="180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上报审批中</w:t>
            </w:r>
          </w:p>
        </w:tc>
        <w:tc>
          <w:tcPr>
            <w:tcW w:type="dxa" w:w="453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已提交并进入审批流程</w:t>
            </w:r>
          </w:p>
        </w:tc>
        <w:tc>
          <w:tcPr>
            <w:tcW w:type="dxa" w:w="3672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查看；按权限撤回或审批</w:t>
            </w:r>
          </w:p>
        </w:tc>
      </w:tr>
      <w:tr>
        <w:tc>
          <w:tcPr>
            <w:tcW w:type="dxa" w:w="180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已上报/已通过</w:t>
            </w:r>
          </w:p>
        </w:tc>
        <w:tc>
          <w:tcPr>
            <w:tcW w:type="dxa" w:w="453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审批完成并形成有效统计数据</w:t>
            </w:r>
          </w:p>
        </w:tc>
        <w:tc>
          <w:tcPr>
            <w:tcW w:type="dxa" w:w="3672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查看、导出；更正需按流程处理</w:t>
            </w:r>
          </w:p>
        </w:tc>
      </w:tr>
      <w:tr>
        <w:tc>
          <w:tcPr>
            <w:tcW w:type="dxa" w:w="180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已驳回</w:t>
            </w:r>
          </w:p>
        </w:tc>
        <w:tc>
          <w:tcPr>
            <w:tcW w:type="dxa" w:w="453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审批未通过，退回填报人</w:t>
            </w:r>
          </w:p>
        </w:tc>
        <w:tc>
          <w:tcPr>
            <w:tcW w:type="dxa" w:w="3672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查看驳回意见、编辑、重新提交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产值看板</w:t>
      </w:r>
    </w:p>
    <w:p>
      <w:pPr>
        <w:pStyle w:val="Heading2"/>
      </w:pPr>
      <w:r>
        <w:t>4.1 模块定位</w:t>
      </w:r>
    </w:p>
    <w:p>
      <w:r>
        <w:t>面向集团生产领导和各级经营管理人员，集中展示年度目标完成、施工类与六大业态产值结构、各公司完成情况、实际产值上报覆盖及月度趋势。页面支持“全部/子公司”切换，指标和布局随组织实际业态动态变化，但核心分析区域高度保持一致，保证切换体验稳定。</w:t>
      </w:r>
    </w:p>
    <w:p>
      <w:pPr>
        <w:pStyle w:val="Heading2"/>
      </w:pPr>
      <w:r>
        <w:t>4.2 页面结构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72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5328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展示内容</w:t>
            </w:r>
          </w:p>
        </w:tc>
        <w:tc>
          <w:tcPr>
            <w:tcW w:type="dxa" w:w="2880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主要交互</w:t>
            </w:r>
          </w:p>
        </w:tc>
      </w:tr>
      <w:tr>
        <w:tc>
          <w:tcPr>
            <w:tcW w:type="dxa" w:w="1872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组织切换</w:t>
            </w:r>
          </w:p>
        </w:tc>
        <w:tc>
          <w:tcPr>
            <w:tcW w:type="dxa" w:w="532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全部及各子公司</w:t>
            </w:r>
          </w:p>
        </w:tc>
        <w:tc>
          <w:tcPr>
            <w:tcW w:type="dxa" w:w="288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切换后刷新全页指标；保留页面结构和固定区域高度</w:t>
            </w:r>
          </w:p>
        </w:tc>
      </w:tr>
      <w:tr>
        <w:tc>
          <w:tcPr>
            <w:tcW w:type="dxa" w:w="1872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顶部汇总</w:t>
            </w:r>
          </w:p>
        </w:tc>
        <w:tc>
          <w:tcPr>
            <w:tcW w:type="dxa" w:w="532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年度目标产值、年度累计完成产值、产值完成率、当月完成产值、剩余合同产值</w:t>
            </w:r>
          </w:p>
        </w:tc>
        <w:tc>
          <w:tcPr>
            <w:tcW w:type="dxa" w:w="288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展示当前组织口径；金额统一万元</w:t>
            </w:r>
          </w:p>
        </w:tc>
      </w:tr>
      <w:tr>
        <w:tc>
          <w:tcPr>
            <w:tcW w:type="dxa" w:w="1872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施工类产值</w:t>
            </w:r>
          </w:p>
        </w:tc>
        <w:tc>
          <w:tcPr>
            <w:tcW w:type="dxa" w:w="532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总承包、管线及组织实际拥有的其他业态</w:t>
            </w:r>
          </w:p>
        </w:tc>
        <w:tc>
          <w:tcPr>
            <w:tcW w:type="dxa" w:w="288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按公司业态组合使用加权布局</w:t>
            </w:r>
          </w:p>
        </w:tc>
      </w:tr>
      <w:tr>
        <w:tc>
          <w:tcPr>
            <w:tcW w:type="dxa" w:w="1872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六大业态产值</w:t>
            </w:r>
          </w:p>
        </w:tc>
        <w:tc>
          <w:tcPr>
            <w:tcW w:type="dxa" w:w="532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全部口径下的非施工重点业态汇总</w:t>
            </w:r>
          </w:p>
        </w:tc>
        <w:tc>
          <w:tcPr>
            <w:tcW w:type="dxa" w:w="288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与施工类区域等高展示</w:t>
            </w:r>
          </w:p>
        </w:tc>
      </w:tr>
      <w:tr>
        <w:tc>
          <w:tcPr>
            <w:tcW w:type="dxa" w:w="1872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各公司完成情况</w:t>
            </w:r>
          </w:p>
        </w:tc>
        <w:tc>
          <w:tcPr>
            <w:tcW w:type="dxa" w:w="532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实际完成金额、年度目标值、年度计划值、完成率</w:t>
            </w:r>
          </w:p>
        </w:tc>
        <w:tc>
          <w:tcPr>
            <w:tcW w:type="dxa" w:w="288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横向比较各公司；进度条与百分比联动</w:t>
            </w:r>
          </w:p>
        </w:tc>
      </w:tr>
      <w:tr>
        <w:tc>
          <w:tcPr>
            <w:tcW w:type="dxa" w:w="1872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实际上报情况</w:t>
            </w:r>
          </w:p>
        </w:tc>
        <w:tc>
          <w:tcPr>
            <w:tcW w:type="dxa" w:w="532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项目数、上报产值项目数、上报产值</w:t>
            </w:r>
          </w:p>
        </w:tc>
        <w:tc>
          <w:tcPr>
            <w:tcW w:type="dxa" w:w="288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柱线组合图，查看上报覆盖与规模</w:t>
            </w:r>
          </w:p>
        </w:tc>
      </w:tr>
      <w:tr>
        <w:tc>
          <w:tcPr>
            <w:tcW w:type="dxa" w:w="1872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月度统计</w:t>
            </w:r>
          </w:p>
        </w:tc>
        <w:tc>
          <w:tcPr>
            <w:tcW w:type="dxa" w:w="532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新接、转接、完工未结算项目数及上报产值</w:t>
            </w:r>
          </w:p>
        </w:tc>
        <w:tc>
          <w:tcPr>
            <w:tcW w:type="dxa" w:w="288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按月份展示项目结构和产值趋势</w:t>
            </w:r>
          </w:p>
        </w:tc>
      </w:tr>
    </w:tbl>
    <w:p>
      <w:pPr>
        <w:spacing w:after="0"/>
      </w:pPr>
    </w:p>
    <w:p>
      <w:pPr>
        <w:pStyle w:val="Heading2"/>
      </w:pPr>
      <w:r>
        <w:t>4.3 指标口径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088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5616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建议计算口径</w:t>
            </w:r>
          </w:p>
        </w:tc>
        <w:tc>
          <w:tcPr>
            <w:tcW w:type="dxa" w:w="2448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展示规则</w:t>
            </w:r>
          </w:p>
        </w:tc>
      </w:tr>
      <w:tr>
        <w:tc>
          <w:tcPr>
            <w:tcW w:type="dxa" w:w="208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年度目标产值</w:t>
            </w:r>
          </w:p>
        </w:tc>
        <w:tc>
          <w:tcPr>
            <w:tcW w:type="dxa" w:w="561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当前组织年度目标值汇总</w:t>
            </w:r>
          </w:p>
        </w:tc>
        <w:tc>
          <w:tcPr>
            <w:tcW w:type="dxa" w:w="244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万元；按权限范围汇总</w:t>
            </w:r>
          </w:p>
        </w:tc>
      </w:tr>
      <w:tr>
        <w:tc>
          <w:tcPr>
            <w:tcW w:type="dxa" w:w="208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年度计划产值</w:t>
            </w:r>
          </w:p>
        </w:tc>
        <w:tc>
          <w:tcPr>
            <w:tcW w:type="dxa" w:w="561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纳入统计项目的年度计划产值之和</w:t>
            </w:r>
          </w:p>
        </w:tc>
        <w:tc>
          <w:tcPr>
            <w:tcW w:type="dxa" w:w="244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万元</w:t>
            </w:r>
          </w:p>
        </w:tc>
      </w:tr>
      <w:tr>
        <w:tc>
          <w:tcPr>
            <w:tcW w:type="dxa" w:w="208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年度累计完成产值</w:t>
            </w:r>
          </w:p>
        </w:tc>
        <w:tc>
          <w:tcPr>
            <w:tcW w:type="dxa" w:w="561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本年度已通过的月度实际完成产值累计</w:t>
            </w:r>
          </w:p>
        </w:tc>
        <w:tc>
          <w:tcPr>
            <w:tcW w:type="dxa" w:w="244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万元</w:t>
            </w:r>
          </w:p>
        </w:tc>
      </w:tr>
      <w:tr>
        <w:tc>
          <w:tcPr>
            <w:tcW w:type="dxa" w:w="208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产值完成率</w:t>
            </w:r>
          </w:p>
        </w:tc>
        <w:tc>
          <w:tcPr>
            <w:tcW w:type="dxa" w:w="561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年度累计完成产值 ÷ 年度目标产值 × 100%</w:t>
            </w:r>
          </w:p>
        </w:tc>
        <w:tc>
          <w:tcPr>
            <w:tcW w:type="dxa" w:w="244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目标为0时显示“-”，不得产生无穷值</w:t>
            </w:r>
          </w:p>
        </w:tc>
      </w:tr>
      <w:tr>
        <w:tc>
          <w:tcPr>
            <w:tcW w:type="dxa" w:w="208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当月完成产值</w:t>
            </w:r>
          </w:p>
        </w:tc>
        <w:tc>
          <w:tcPr>
            <w:tcW w:type="dxa" w:w="561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当前统计月份已通过的实际完成产值之和</w:t>
            </w:r>
          </w:p>
        </w:tc>
        <w:tc>
          <w:tcPr>
            <w:tcW w:type="dxa" w:w="244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万元</w:t>
            </w:r>
          </w:p>
        </w:tc>
      </w:tr>
      <w:tr>
        <w:tc>
          <w:tcPr>
            <w:tcW w:type="dxa" w:w="208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剩余合同产值</w:t>
            </w:r>
          </w:p>
        </w:tc>
        <w:tc>
          <w:tcPr>
            <w:tcW w:type="dxa" w:w="561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合同口径可实现产值减开累已完成产值；以业务确认口径为准</w:t>
            </w:r>
          </w:p>
        </w:tc>
        <w:tc>
          <w:tcPr>
            <w:tcW w:type="dxa" w:w="244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小于0时需标记异常或按业务规则处理</w:t>
            </w:r>
          </w:p>
        </w:tc>
      </w:tr>
      <w:tr>
        <w:tc>
          <w:tcPr>
            <w:tcW w:type="dxa" w:w="208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项目数</w:t>
            </w:r>
          </w:p>
        </w:tc>
        <w:tc>
          <w:tcPr>
            <w:tcW w:type="dxa" w:w="561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当前组织和统计范围内符合条件的项目去重数</w:t>
            </w:r>
          </w:p>
        </w:tc>
        <w:tc>
          <w:tcPr>
            <w:tcW w:type="dxa" w:w="244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紫色柱</w:t>
            </w:r>
          </w:p>
        </w:tc>
      </w:tr>
      <w:tr>
        <w:tc>
          <w:tcPr>
            <w:tcW w:type="dxa" w:w="208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上报产值项目数</w:t>
            </w:r>
          </w:p>
        </w:tc>
        <w:tc>
          <w:tcPr>
            <w:tcW w:type="dxa" w:w="561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当月已形成有效上报记录的项目去重数</w:t>
            </w:r>
          </w:p>
        </w:tc>
        <w:tc>
          <w:tcPr>
            <w:tcW w:type="dxa" w:w="244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红色柱</w:t>
            </w:r>
          </w:p>
        </w:tc>
      </w:tr>
      <w:tr>
        <w:tc>
          <w:tcPr>
            <w:tcW w:type="dxa" w:w="208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上报产值</w:t>
            </w:r>
          </w:p>
        </w:tc>
        <w:tc>
          <w:tcPr>
            <w:tcW w:type="dxa" w:w="561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当月有效上报记录的实际完成产值合计</w:t>
            </w:r>
          </w:p>
        </w:tc>
        <w:tc>
          <w:tcPr>
            <w:tcW w:type="dxa" w:w="244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黄色折线，单位万元</w:t>
            </w:r>
          </w:p>
        </w:tc>
      </w:tr>
    </w:tbl>
    <w:p>
      <w:pPr>
        <w:spacing w:after="0"/>
      </w:pPr>
    </w:p>
    <w:p>
      <w:pPr>
        <w:pStyle w:val="Heading2"/>
      </w:pPr>
      <w:r>
        <w:t>4.4 施工类产值展示规则</w:t>
      </w:r>
    </w:p>
    <w:p>
      <w:r>
        <w:t>总承包、管线属于增强型业态：按新接、转接、完工未结算三组展示，每组包含年度计划产值总额、年度累计完成产值、产值完成率、剩余合同产值，共12项指标。设计、产品销售、城市运营、数字、房产等普通业态直接展示上述4项年度指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944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公司</w:t>
            </w:r>
          </w:p>
        </w:tc>
        <w:tc>
          <w:tcPr>
            <w:tcW w:type="dxa" w:w="8136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布局规则</w:t>
            </w:r>
          </w:p>
        </w:tc>
      </w:tr>
      <w:tr>
        <w:tc>
          <w:tcPr>
            <w:tcW w:type="dxa" w:w="194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上海隧道</w:t>
            </w:r>
          </w:p>
        </w:tc>
        <w:tc>
          <w:tcPr>
            <w:tcW w:type="dxa" w:w="813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总承包、管线合计占2/3；设计、产品销售合计占1/3</w:t>
            </w:r>
          </w:p>
        </w:tc>
      </w:tr>
      <w:tr>
        <w:tc>
          <w:tcPr>
            <w:tcW w:type="dxa" w:w="194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市政集团</w:t>
            </w:r>
          </w:p>
        </w:tc>
        <w:tc>
          <w:tcPr>
            <w:tcW w:type="dxa" w:w="813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总承包占1/2；设计、产品销售各占1/4</w:t>
            </w:r>
          </w:p>
        </w:tc>
      </w:tr>
      <w:tr>
        <w:tc>
          <w:tcPr>
            <w:tcW w:type="dxa" w:w="194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上海路桥</w:t>
            </w:r>
          </w:p>
        </w:tc>
        <w:tc>
          <w:tcPr>
            <w:tcW w:type="dxa" w:w="813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总承包占2/3；产品销售占1/3</w:t>
            </w:r>
          </w:p>
        </w:tc>
      </w:tr>
      <w:tr>
        <w:tc>
          <w:tcPr>
            <w:tcW w:type="dxa" w:w="194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城市环境</w:t>
            </w:r>
          </w:p>
        </w:tc>
        <w:tc>
          <w:tcPr>
            <w:tcW w:type="dxa" w:w="813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左侧总承包（上）、管线（下）占2/3；右侧产品销售占1/3</w:t>
            </w:r>
          </w:p>
        </w:tc>
      </w:tr>
      <w:tr>
        <w:tc>
          <w:tcPr>
            <w:tcW w:type="dxa" w:w="194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上海能建</w:t>
            </w:r>
          </w:p>
        </w:tc>
        <w:tc>
          <w:tcPr>
            <w:tcW w:type="dxa" w:w="813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左侧总承包（上）、管线（下）占2/3；右侧设计占1/3</w:t>
            </w:r>
          </w:p>
        </w:tc>
      </w:tr>
      <w:tr>
        <w:tc>
          <w:tcPr>
            <w:tcW w:type="dxa" w:w="194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城建设计</w:t>
            </w:r>
          </w:p>
        </w:tc>
        <w:tc>
          <w:tcPr>
            <w:tcW w:type="dxa" w:w="813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总承包占2/3；设计占1/3</w:t>
            </w:r>
          </w:p>
        </w:tc>
      </w:tr>
      <w:tr>
        <w:tc>
          <w:tcPr>
            <w:tcW w:type="dxa" w:w="194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城市运营</w:t>
            </w:r>
          </w:p>
        </w:tc>
        <w:tc>
          <w:tcPr>
            <w:tcW w:type="dxa" w:w="813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总承包占1/2；城市运营、数字各占1/4</w:t>
            </w:r>
          </w:p>
        </w:tc>
      </w:tr>
      <w:tr>
        <w:tc>
          <w:tcPr>
            <w:tcW w:type="dxa" w:w="194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数字集团</w:t>
            </w:r>
          </w:p>
        </w:tc>
        <w:tc>
          <w:tcPr>
            <w:tcW w:type="dxa" w:w="813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总承包占2/3；数字占1/3</w:t>
            </w:r>
          </w:p>
        </w:tc>
      </w:tr>
      <w:tr>
        <w:tc>
          <w:tcPr>
            <w:tcW w:type="dxa" w:w="194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地空公司</w:t>
            </w:r>
          </w:p>
        </w:tc>
        <w:tc>
          <w:tcPr>
            <w:tcW w:type="dxa" w:w="813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总承包占1/2；产品销售、房产各占1/4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4.5 图表及交互要求</w:t>
      </w:r>
    </w:p>
    <w:p>
      <w:pPr>
        <w:pStyle w:val="ListBullet"/>
      </w:pPr>
      <w:r>
        <w:t>实际产值上报情况图例：紫色方块代表项目数，红色方块代表上报产值项目数，黄色线条代表上报产值（万元）。</w:t>
      </w:r>
    </w:p>
    <w:p>
      <w:pPr>
        <w:pStyle w:val="ListBullet"/>
      </w:pPr>
      <w:r>
        <w:t>产值月度统计图例：新接项目数、转接项目数、完工未结算项目数及上报产值（万元）。</w:t>
      </w:r>
    </w:p>
    <w:p>
      <w:pPr>
        <w:pStyle w:val="ListBullet"/>
      </w:pPr>
      <w:r>
        <w:t>折线节点使用6px圆点，不得因容器缩放显示为椭圆；横坐标标签与0轴保持清晰间距，不得重叠。</w:t>
      </w:r>
    </w:p>
    <w:p>
      <w:pPr>
        <w:pStyle w:val="ListBullet"/>
      </w:pPr>
      <w:r>
        <w:t>看板无数据时保留完整区域和指标名称，数值显示“-”或0；加载失败提供刷新入口。</w:t>
      </w:r>
    </w:p>
    <w:p>
      <w:pPr>
        <w:pStyle w:val="ListBullet"/>
      </w:pPr>
      <w:r>
        <w:t>金额千分位显示，百分比保留合理小数位；同一页面单位和精度保持一致。</w:t>
      </w:r>
    </w:p>
    <w:p>
      <w:pPr>
        <w:pStyle w:val="Heading1"/>
      </w:pPr>
      <w:r>
        <w:t>5. 实际产值上报</w:t>
      </w:r>
    </w:p>
    <w:p>
      <w:pPr>
        <w:pStyle w:val="Heading2"/>
      </w:pPr>
      <w:r>
        <w:t>5.1 模块定位</w:t>
      </w:r>
    </w:p>
    <w:p>
      <w:r>
        <w:t>用于按月采集各组织、各项目实际完成产值及相关证明附件，并通过审批形成正式统计数据。页面采用标准查询、列表、分页和列设置能力，支持不同组织层级按权限查看和办理。</w:t>
      </w:r>
    </w:p>
    <w:p>
      <w:pPr>
        <w:pStyle w:val="Heading2"/>
      </w:pPr>
      <w:r>
        <w:t>5.2 查询与列表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944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8136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需求</w:t>
            </w:r>
          </w:p>
        </w:tc>
      </w:tr>
      <w:tr>
        <w:tc>
          <w:tcPr>
            <w:tcW w:type="dxa" w:w="194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查询条件</w:t>
            </w:r>
          </w:p>
        </w:tc>
        <w:tc>
          <w:tcPr>
            <w:tcW w:type="dxa" w:w="813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至少支持上报月份、子公司、分公司、上报情况；可按现有页面扩展项目或业态条件</w:t>
            </w:r>
          </w:p>
        </w:tc>
      </w:tr>
      <w:tr>
        <w:tc>
          <w:tcPr>
            <w:tcW w:type="dxa" w:w="194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列表维度</w:t>
            </w:r>
          </w:p>
        </w:tc>
        <w:tc>
          <w:tcPr>
            <w:tcW w:type="dxa" w:w="813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以组织、月份和业务上报单为主，展示各业态产值、上报人、上报日期及审批状态</w:t>
            </w:r>
          </w:p>
        </w:tc>
      </w:tr>
      <w:tr>
        <w:tc>
          <w:tcPr>
            <w:tcW w:type="dxa" w:w="194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标准能力</w:t>
            </w:r>
          </w:p>
        </w:tc>
        <w:tc>
          <w:tcPr>
            <w:tcW w:type="dxa" w:w="813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查询、重置、分页、列设置、刷新、导出；默认分页规则与平台通用列表一致</w:t>
            </w:r>
          </w:p>
        </w:tc>
      </w:tr>
      <w:tr>
        <w:tc>
          <w:tcPr>
            <w:tcW w:type="dxa" w:w="194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上报提醒</w:t>
            </w:r>
          </w:p>
        </w:tc>
        <w:tc>
          <w:tcPr>
            <w:tcW w:type="dxa" w:w="813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标题旁直接展示：请在当月25号到次月10号上报当月产值</w:t>
            </w:r>
          </w:p>
        </w:tc>
      </w:tr>
      <w:tr>
        <w:tc>
          <w:tcPr>
            <w:tcW w:type="dxa" w:w="194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数据权限</w:t>
            </w:r>
          </w:p>
        </w:tc>
        <w:tc>
          <w:tcPr>
            <w:tcW w:type="dxa" w:w="813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集团可看授权范围汇总；子公司、分公司及项目用户仅看本级及授权数据</w:t>
            </w:r>
          </w:p>
        </w:tc>
      </w:tr>
    </w:tbl>
    <w:p>
      <w:pPr>
        <w:spacing w:after="0"/>
      </w:pPr>
    </w:p>
    <w:p>
      <w:pPr>
        <w:pStyle w:val="Heading2"/>
      </w:pPr>
      <w:r>
        <w:t>5.3 月度上报详情</w:t>
      </w:r>
    </w:p>
    <w:p>
      <w:r>
        <w:t>详情/表单标题格式为“实际产值上报—yyyy年mm月”。按项目上报时，项目明细至少包含以下字段：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952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800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5328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2952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序号</w:t>
            </w:r>
          </w:p>
        </w:tc>
        <w:tc>
          <w:tcPr>
            <w:tcW w:type="dxa" w:w="180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只读</w:t>
            </w:r>
          </w:p>
        </w:tc>
        <w:tc>
          <w:tcPr>
            <w:tcW w:type="dxa" w:w="532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当前列表顺序</w:t>
            </w:r>
          </w:p>
        </w:tc>
      </w:tr>
      <w:tr>
        <w:tc>
          <w:tcPr>
            <w:tcW w:type="dxa" w:w="2952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项目名称</w:t>
            </w:r>
          </w:p>
        </w:tc>
        <w:tc>
          <w:tcPr>
            <w:tcW w:type="dxa" w:w="180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只读</w:t>
            </w:r>
          </w:p>
        </w:tc>
        <w:tc>
          <w:tcPr>
            <w:tcW w:type="dxa" w:w="532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取项目主数据；支持较长名称完整辨识</w:t>
            </w:r>
          </w:p>
        </w:tc>
      </w:tr>
      <w:tr>
        <w:tc>
          <w:tcPr>
            <w:tcW w:type="dxa" w:w="2952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项目状态</w:t>
            </w:r>
          </w:p>
        </w:tc>
        <w:tc>
          <w:tcPr>
            <w:tcW w:type="dxa" w:w="180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只读</w:t>
            </w:r>
          </w:p>
        </w:tc>
        <w:tc>
          <w:tcPr>
            <w:tcW w:type="dxa" w:w="532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取项目主数据</w:t>
            </w:r>
          </w:p>
        </w:tc>
      </w:tr>
      <w:tr>
        <w:tc>
          <w:tcPr>
            <w:tcW w:type="dxa" w:w="2952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项目经理</w:t>
            </w:r>
          </w:p>
        </w:tc>
        <w:tc>
          <w:tcPr>
            <w:tcW w:type="dxa" w:w="180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只读</w:t>
            </w:r>
          </w:p>
        </w:tc>
        <w:tc>
          <w:tcPr>
            <w:tcW w:type="dxa" w:w="532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取项目负责人信息</w:t>
            </w:r>
          </w:p>
        </w:tc>
      </w:tr>
      <w:tr>
        <w:tc>
          <w:tcPr>
            <w:tcW w:type="dxa" w:w="2952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年度计划产值（万元）</w:t>
            </w:r>
          </w:p>
        </w:tc>
        <w:tc>
          <w:tcPr>
            <w:tcW w:type="dxa" w:w="180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只读/业务确定</w:t>
            </w:r>
          </w:p>
        </w:tc>
        <w:tc>
          <w:tcPr>
            <w:tcW w:type="dxa" w:w="532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作为月度填报参照</w:t>
            </w:r>
          </w:p>
        </w:tc>
      </w:tr>
      <w:tr>
        <w:tc>
          <w:tcPr>
            <w:tcW w:type="dxa" w:w="2952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本月实际完成产值（万元）</w:t>
            </w:r>
          </w:p>
        </w:tc>
        <w:tc>
          <w:tcPr>
            <w:tcW w:type="dxa" w:w="180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必填数值</w:t>
            </w:r>
          </w:p>
        </w:tc>
        <w:tc>
          <w:tcPr>
            <w:tcW w:type="dxa" w:w="532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非负数；支持合理小数精度</w:t>
            </w:r>
          </w:p>
        </w:tc>
      </w:tr>
      <w:tr>
        <w:tc>
          <w:tcPr>
            <w:tcW w:type="dxa" w:w="2952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年度累计完成产值（万元）</w:t>
            </w:r>
          </w:p>
        </w:tc>
        <w:tc>
          <w:tcPr>
            <w:tcW w:type="dxa" w:w="180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系统计算/只读</w:t>
            </w:r>
          </w:p>
        </w:tc>
        <w:tc>
          <w:tcPr>
            <w:tcW w:type="dxa" w:w="532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历史有效月份累计 + 本月有效值</w:t>
            </w:r>
          </w:p>
        </w:tc>
      </w:tr>
      <w:tr>
        <w:tc>
          <w:tcPr>
            <w:tcW w:type="dxa" w:w="2952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剩余合同产值（万元）</w:t>
            </w:r>
          </w:p>
        </w:tc>
        <w:tc>
          <w:tcPr>
            <w:tcW w:type="dxa" w:w="180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系统计算或业务确认</w:t>
            </w:r>
          </w:p>
        </w:tc>
        <w:tc>
          <w:tcPr>
            <w:tcW w:type="dxa" w:w="532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按统一合同产值口径计算</w:t>
            </w:r>
          </w:p>
        </w:tc>
      </w:tr>
      <w:tr>
        <w:tc>
          <w:tcPr>
            <w:tcW w:type="dxa" w:w="2952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相关附件</w:t>
            </w:r>
          </w:p>
        </w:tc>
        <w:tc>
          <w:tcPr>
            <w:tcW w:type="dxa" w:w="180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上传</w:t>
            </w:r>
          </w:p>
        </w:tc>
        <w:tc>
          <w:tcPr>
            <w:tcW w:type="dxa" w:w="532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支持多附件；上传后可逐个删除；空状态统一显示“未上传”</w:t>
            </w:r>
          </w:p>
        </w:tc>
      </w:tr>
    </w:tbl>
    <w:p>
      <w:pPr>
        <w:spacing w:after="0"/>
      </w:pPr>
    </w:p>
    <w:p>
      <w:pPr>
        <w:pStyle w:val="Heading2"/>
      </w:pPr>
      <w:r>
        <w:t>5.4 上报模式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088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3384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适用场景</w:t>
            </w:r>
          </w:p>
        </w:tc>
        <w:tc>
          <w:tcPr>
            <w:tcW w:type="dxa" w:w="4608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处理规则</w:t>
            </w:r>
          </w:p>
        </w:tc>
      </w:tr>
      <w:tr>
        <w:tc>
          <w:tcPr>
            <w:tcW w:type="dxa" w:w="208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按项目上报</w:t>
            </w:r>
          </w:p>
        </w:tc>
        <w:tc>
          <w:tcPr>
            <w:tcW w:type="dxa" w:w="338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施工类及具备项目明细的业态</w:t>
            </w:r>
          </w:p>
        </w:tc>
        <w:tc>
          <w:tcPr>
            <w:tcW w:type="dxa" w:w="460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逐项目录入本月实际完成产值和附件，自动汇总至组织及业态</w:t>
            </w:r>
          </w:p>
        </w:tc>
      </w:tr>
      <w:tr>
        <w:tc>
          <w:tcPr>
            <w:tcW w:type="dxa" w:w="208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按分公司上报</w:t>
            </w:r>
          </w:p>
        </w:tc>
        <w:tc>
          <w:tcPr>
            <w:tcW w:type="dxa" w:w="338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部分弱项目化业态</w:t>
            </w:r>
          </w:p>
        </w:tc>
        <w:tc>
          <w:tcPr>
            <w:tcW w:type="dxa" w:w="460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以分公司为最小填报单元录入业态产值；仅对配置允许的业态开放</w:t>
            </w:r>
          </w:p>
        </w:tc>
      </w:tr>
    </w:tbl>
    <w:p>
      <w:pPr>
        <w:spacing w:after="0"/>
      </w:pPr>
    </w:p>
    <w:p>
      <w:pPr>
        <w:pStyle w:val="Heading2"/>
      </w:pPr>
      <w:r>
        <w:t>5.5 附件与校验规则</w:t>
      </w:r>
    </w:p>
    <w:p>
      <w:pPr>
        <w:pStyle w:val="ListBullet"/>
      </w:pPr>
      <w:r>
        <w:t>本月实际完成产值为0时，附件空状态仍显示“未上传”，不得显示“无需上传”。</w:t>
      </w:r>
    </w:p>
    <w:p>
      <w:pPr>
        <w:pStyle w:val="ListBullet"/>
      </w:pPr>
      <w:r>
        <w:t>附件上传成功后展示文件名和删除图标；删除前应二次确认或提供可恢复提示。</w:t>
      </w:r>
    </w:p>
    <w:p>
      <w:pPr>
        <w:pStyle w:val="ListBullet"/>
      </w:pPr>
      <w:r>
        <w:t>提交时校验必填金额、数值格式、数据范围及业务要求的附件；不满足时定位至具体项目。</w:t>
      </w:r>
    </w:p>
    <w:p>
      <w:pPr>
        <w:pStyle w:val="ListBullet"/>
      </w:pPr>
      <w:r>
        <w:t>同一组织、月份和上报维度不得产生多条并行有效单据；重复提交应提示并阻止。</w:t>
      </w:r>
    </w:p>
    <w:p>
      <w:pPr>
        <w:pStyle w:val="ListBullet"/>
      </w:pPr>
      <w:r>
        <w:t>年度累计和剩余合同产值在编辑、审批通过后应按统一时点重新计算，防止前后端口径不一致。</w:t>
      </w:r>
    </w:p>
    <w:p>
      <w:pPr>
        <w:pStyle w:val="Heading2"/>
      </w:pPr>
      <w:r>
        <w:t>5.6 操作与状态流转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3384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4896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180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查看</w:t>
            </w:r>
          </w:p>
        </w:tc>
        <w:tc>
          <w:tcPr>
            <w:tcW w:type="dxa" w:w="338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有数据查看权限</w:t>
            </w:r>
          </w:p>
        </w:tc>
        <w:tc>
          <w:tcPr>
            <w:tcW w:type="dxa" w:w="489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展示表单、项目明细、附件和审批记录</w:t>
            </w:r>
          </w:p>
        </w:tc>
      </w:tr>
      <w:tr>
        <w:tc>
          <w:tcPr>
            <w:tcW w:type="dxa" w:w="180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暂存</w:t>
            </w:r>
          </w:p>
        </w:tc>
        <w:tc>
          <w:tcPr>
            <w:tcW w:type="dxa" w:w="338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表单可编辑</w:t>
            </w:r>
          </w:p>
        </w:tc>
        <w:tc>
          <w:tcPr>
            <w:tcW w:type="dxa" w:w="489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保存草稿，不进入正式统计</w:t>
            </w:r>
          </w:p>
        </w:tc>
      </w:tr>
      <w:tr>
        <w:tc>
          <w:tcPr>
            <w:tcW w:type="dxa" w:w="180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提交</w:t>
            </w:r>
          </w:p>
        </w:tc>
        <w:tc>
          <w:tcPr>
            <w:tcW w:type="dxa" w:w="338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校验通过</w:t>
            </w:r>
          </w:p>
        </w:tc>
        <w:tc>
          <w:tcPr>
            <w:tcW w:type="dxa" w:w="489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状态变为上报审批中，生成审批待办</w:t>
            </w:r>
          </w:p>
        </w:tc>
      </w:tr>
      <w:tr>
        <w:tc>
          <w:tcPr>
            <w:tcW w:type="dxa" w:w="180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审批通过</w:t>
            </w:r>
          </w:p>
        </w:tc>
        <w:tc>
          <w:tcPr>
            <w:tcW w:type="dxa" w:w="338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当前用户为节点审批人</w:t>
            </w:r>
          </w:p>
        </w:tc>
        <w:tc>
          <w:tcPr>
            <w:tcW w:type="dxa" w:w="489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状态变为已上报/已通过，纳入看板统计</w:t>
            </w:r>
          </w:p>
        </w:tc>
      </w:tr>
      <w:tr>
        <w:tc>
          <w:tcPr>
            <w:tcW w:type="dxa" w:w="180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驳回</w:t>
            </w:r>
          </w:p>
        </w:tc>
        <w:tc>
          <w:tcPr>
            <w:tcW w:type="dxa" w:w="338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当前用户为节点审批人并填写意见</w:t>
            </w:r>
          </w:p>
        </w:tc>
        <w:tc>
          <w:tcPr>
            <w:tcW w:type="dxa" w:w="489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状态变为已驳回，退回填报人修改</w:t>
            </w:r>
          </w:p>
        </w:tc>
      </w:tr>
      <w:tr>
        <w:tc>
          <w:tcPr>
            <w:tcW w:type="dxa" w:w="180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重新提交</w:t>
            </w:r>
          </w:p>
        </w:tc>
        <w:tc>
          <w:tcPr>
            <w:tcW w:type="dxa" w:w="338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单据已驳回</w:t>
            </w:r>
          </w:p>
        </w:tc>
        <w:tc>
          <w:tcPr>
            <w:tcW w:type="dxa" w:w="489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形成新的审批流转记录，保留历史意见</w:t>
            </w:r>
          </w:p>
        </w:tc>
      </w:tr>
      <w:tr>
        <w:tc>
          <w:tcPr>
            <w:tcW w:type="dxa" w:w="180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导出</w:t>
            </w:r>
          </w:p>
        </w:tc>
        <w:tc>
          <w:tcPr>
            <w:tcW w:type="dxa" w:w="338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有导出权限</w:t>
            </w:r>
          </w:p>
        </w:tc>
        <w:tc>
          <w:tcPr>
            <w:tcW w:type="dxa" w:w="489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按当前查询和列设置导出；敏感数据遵循脱敏规则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完工未结算管理</w:t>
      </w:r>
    </w:p>
    <w:p>
      <w:pPr>
        <w:pStyle w:val="Heading2"/>
      </w:pPr>
      <w:r>
        <w:t>6.1 模块定位</w:t>
      </w:r>
    </w:p>
    <w:p>
      <w:r>
        <w:t>对项目状态为“完工”或“竣工”、但仍存在未结算产值的项目建立独立台账。管理人员按月维护年度计划产值、实际完成产值和剩余合同产值，经审批后进入完工未结算统计，并向产值看板提供该类项目的项目数和产值数据。</w:t>
      </w:r>
    </w:p>
    <w:p>
      <w:pPr>
        <w:pStyle w:val="Heading2"/>
      </w:pPr>
      <w:r>
        <w:t>6.2 纳入与退出规则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944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8136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4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纳入条件</w:t>
            </w:r>
          </w:p>
        </w:tc>
        <w:tc>
          <w:tcPr>
            <w:tcW w:type="dxa" w:w="813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项目状态为完工或竣工，且满足业务定义的未结算条件；项目须属于当前用户数据权限范围</w:t>
            </w:r>
          </w:p>
        </w:tc>
      </w:tr>
      <w:tr>
        <w:tc>
          <w:tcPr>
            <w:tcW w:type="dxa" w:w="194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持续管理</w:t>
            </w:r>
          </w:p>
        </w:tc>
        <w:tc>
          <w:tcPr>
            <w:tcW w:type="dxa" w:w="813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未完成结算前按月进入台账，可查询历史月份上报记录</w:t>
            </w:r>
          </w:p>
        </w:tc>
      </w:tr>
      <w:tr>
        <w:tc>
          <w:tcPr>
            <w:tcW w:type="dxa" w:w="194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退出条件</w:t>
            </w:r>
          </w:p>
        </w:tc>
        <w:tc>
          <w:tcPr>
            <w:tcW w:type="dxa" w:w="813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项目完成结算、剩余合同产值归零且业务确认关闭，或项目状态/标识不再符合条件</w:t>
            </w:r>
          </w:p>
        </w:tc>
      </w:tr>
      <w:tr>
        <w:tc>
          <w:tcPr>
            <w:tcW w:type="dxa" w:w="194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异常处理</w:t>
            </w:r>
          </w:p>
        </w:tc>
        <w:tc>
          <w:tcPr>
            <w:tcW w:type="dxa" w:w="813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项目状态变化、剩余值为负、长期未上报等情况应保留提示并支持管理人员核查</w:t>
            </w:r>
          </w:p>
        </w:tc>
      </w:tr>
    </w:tbl>
    <w:p>
      <w:pPr>
        <w:spacing w:after="0"/>
      </w:pPr>
    </w:p>
    <w:p>
      <w:pPr>
        <w:pStyle w:val="Heading2"/>
      </w:pPr>
      <w:r>
        <w:t>6.3 查询条件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088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232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控件</w:t>
            </w:r>
          </w:p>
        </w:tc>
        <w:tc>
          <w:tcPr>
            <w:tcW w:type="dxa" w:w="5760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208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上报月份</w:t>
            </w:r>
          </w:p>
        </w:tc>
        <w:tc>
          <w:tcPr>
            <w:tcW w:type="dxa" w:w="2232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月份选择器</w:t>
            </w:r>
          </w:p>
        </w:tc>
        <w:tc>
          <w:tcPr>
            <w:tcW w:type="dxa" w:w="576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默认上一上报月份，可切换历史月份</w:t>
            </w:r>
          </w:p>
        </w:tc>
      </w:tr>
      <w:tr>
        <w:tc>
          <w:tcPr>
            <w:tcW w:type="dxa" w:w="208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子公司</w:t>
            </w:r>
          </w:p>
        </w:tc>
        <w:tc>
          <w:tcPr>
            <w:tcW w:type="dxa" w:w="2232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下拉选择</w:t>
            </w:r>
          </w:p>
        </w:tc>
        <w:tc>
          <w:tcPr>
            <w:tcW w:type="dxa" w:w="576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取组织主数据；受数据权限控制</w:t>
            </w:r>
          </w:p>
        </w:tc>
      </w:tr>
      <w:tr>
        <w:tc>
          <w:tcPr>
            <w:tcW w:type="dxa" w:w="208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分公司</w:t>
            </w:r>
          </w:p>
        </w:tc>
        <w:tc>
          <w:tcPr>
            <w:tcW w:type="dxa" w:w="2232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级联下拉</w:t>
            </w:r>
          </w:p>
        </w:tc>
        <w:tc>
          <w:tcPr>
            <w:tcW w:type="dxa" w:w="576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随子公司联动，仅展示其下属分公司</w:t>
            </w:r>
          </w:p>
        </w:tc>
      </w:tr>
      <w:tr>
        <w:tc>
          <w:tcPr>
            <w:tcW w:type="dxa" w:w="208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项目名称</w:t>
            </w:r>
          </w:p>
        </w:tc>
        <w:tc>
          <w:tcPr>
            <w:tcW w:type="dxa" w:w="2232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文本输入</w:t>
            </w:r>
          </w:p>
        </w:tc>
        <w:tc>
          <w:tcPr>
            <w:tcW w:type="dxa" w:w="576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支持项目名称模糊匹配</w:t>
            </w:r>
          </w:p>
        </w:tc>
      </w:tr>
      <w:tr>
        <w:tc>
          <w:tcPr>
            <w:tcW w:type="dxa" w:w="208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项目状态</w:t>
            </w:r>
          </w:p>
        </w:tc>
        <w:tc>
          <w:tcPr>
            <w:tcW w:type="dxa" w:w="2232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下拉选择</w:t>
            </w:r>
          </w:p>
        </w:tc>
        <w:tc>
          <w:tcPr>
            <w:tcW w:type="dxa" w:w="576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全部、完工、竣工</w:t>
            </w:r>
          </w:p>
        </w:tc>
      </w:tr>
      <w:tr>
        <w:tc>
          <w:tcPr>
            <w:tcW w:type="dxa" w:w="208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上报情况</w:t>
            </w:r>
          </w:p>
        </w:tc>
        <w:tc>
          <w:tcPr>
            <w:tcW w:type="dxa" w:w="2232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下拉选择</w:t>
            </w:r>
          </w:p>
        </w:tc>
        <w:tc>
          <w:tcPr>
            <w:tcW w:type="dxa" w:w="576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全部、未上报、上报审批中、已上报</w:t>
            </w:r>
          </w:p>
        </w:tc>
      </w:tr>
    </w:tbl>
    <w:p>
      <w:pPr>
        <w:spacing w:after="0"/>
      </w:pPr>
    </w:p>
    <w:p>
      <w:pPr>
        <w:pStyle w:val="Heading2"/>
      </w:pPr>
      <w:r>
        <w:t>6.4 台账列表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088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字段组</w:t>
            </w:r>
          </w:p>
        </w:tc>
        <w:tc>
          <w:tcPr>
            <w:tcW w:type="dxa" w:w="7992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字段</w:t>
            </w:r>
          </w:p>
        </w:tc>
      </w:tr>
      <w:tr>
        <w:tc>
          <w:tcPr>
            <w:tcW w:type="dxa" w:w="208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项目信息</w:t>
            </w:r>
          </w:p>
        </w:tc>
        <w:tc>
          <w:tcPr>
            <w:tcW w:type="dxa" w:w="7992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序号、项目编号、项目名称、子公司、分公司、项目状态、项目经理</w:t>
            </w:r>
          </w:p>
        </w:tc>
      </w:tr>
      <w:tr>
        <w:tc>
          <w:tcPr>
            <w:tcW w:type="dxa" w:w="208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上报信息</w:t>
            </w:r>
          </w:p>
        </w:tc>
        <w:tc>
          <w:tcPr>
            <w:tcW w:type="dxa" w:w="7992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上报月份、上报情况、上报人、上报日期</w:t>
            </w:r>
          </w:p>
        </w:tc>
      </w:tr>
      <w:tr>
        <w:tc>
          <w:tcPr>
            <w:tcW w:type="dxa" w:w="208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产值指标</w:t>
            </w:r>
          </w:p>
        </w:tc>
        <w:tc>
          <w:tcPr>
            <w:tcW w:type="dxa" w:w="7992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年度计划产值（万元）、实际完成产值（万元）、剩余合同产值（万元）</w:t>
            </w:r>
          </w:p>
        </w:tc>
      </w:tr>
      <w:tr>
        <w:tc>
          <w:tcPr>
            <w:tcW w:type="dxa" w:w="208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操作</w:t>
            </w:r>
          </w:p>
        </w:tc>
        <w:tc>
          <w:tcPr>
            <w:tcW w:type="dxa" w:w="7992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上报；后续可按状态和权限扩展查看、编辑</w:t>
            </w:r>
          </w:p>
        </w:tc>
      </w:tr>
    </w:tbl>
    <w:p>
      <w:pPr>
        <w:spacing w:after="0"/>
      </w:pPr>
    </w:p>
    <w:p>
      <w:r>
        <w:t>列表使用标准表格，具备刷新、导出、列设置和分页能力；当前默认每页50条，可切换10、20、50条。未上报记录的产值、上报人和上报日期显示“-”。</w:t>
      </w:r>
    </w:p>
    <w:p>
      <w:pPr>
        <w:pStyle w:val="Heading2"/>
      </w:pPr>
      <w:r>
        <w:t>6.5 上报表单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44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4536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600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194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项目基本信息</w:t>
            </w:r>
          </w:p>
        </w:tc>
        <w:tc>
          <w:tcPr>
            <w:tcW w:type="dxa" w:w="453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项目名称、项目编号、子公司、分公司、项目经理、项目状态、上报月份、上报情况</w:t>
            </w:r>
          </w:p>
        </w:tc>
        <w:tc>
          <w:tcPr>
            <w:tcW w:type="dxa" w:w="360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均为只读，来源于项目及当前上报上下文</w:t>
            </w:r>
          </w:p>
        </w:tc>
      </w:tr>
      <w:tr>
        <w:tc>
          <w:tcPr>
            <w:tcW w:type="dxa" w:w="194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上报信息</w:t>
            </w:r>
          </w:p>
        </w:tc>
        <w:tc>
          <w:tcPr>
            <w:tcW w:type="dxa" w:w="453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年度计划产值、实际完成产值、剩余合同产值</w:t>
            </w:r>
          </w:p>
        </w:tc>
        <w:tc>
          <w:tcPr>
            <w:tcW w:type="dxa" w:w="360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金额单位万元；非负数；按系统精度保存</w:t>
            </w:r>
          </w:p>
        </w:tc>
      </w:tr>
      <w:tr>
        <w:tc>
          <w:tcPr>
            <w:tcW w:type="dxa" w:w="194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流程信息</w:t>
            </w:r>
          </w:p>
        </w:tc>
        <w:tc>
          <w:tcPr>
            <w:tcW w:type="dxa" w:w="453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上报日期、上报人、项目经理、组织信息及审批状态</w:t>
            </w:r>
          </w:p>
        </w:tc>
        <w:tc>
          <w:tcPr>
            <w:tcW w:type="dxa" w:w="360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提交时生成并进入审批流程</w:t>
            </w:r>
          </w:p>
        </w:tc>
      </w:tr>
    </w:tbl>
    <w:p>
      <w:pPr>
        <w:spacing w:after="0"/>
      </w:pPr>
    </w:p>
    <w:p>
      <w:pPr>
        <w:pStyle w:val="Heading2"/>
      </w:pPr>
      <w:r>
        <w:t>6.6 提交规则</w:t>
      </w:r>
    </w:p>
    <w:p>
      <w:pPr>
        <w:pStyle w:val="ListBullet"/>
      </w:pPr>
      <w:r>
        <w:t>用户点击上报进入表单，系统回显项目、组织、月份及已有产值数据。</w:t>
      </w:r>
    </w:p>
    <w:p>
      <w:pPr>
        <w:pStyle w:val="ListBullet"/>
      </w:pPr>
      <w:r>
        <w:t>提交前校验三项金额格式、项目是否仍符合完工未结算范围以及当前月份是否重复上报。</w:t>
      </w:r>
    </w:p>
    <w:p>
      <w:pPr>
        <w:pStyle w:val="ListBullet"/>
      </w:pPr>
      <w:r>
        <w:t>提交成功后记录上报人和当前日期，状态变为“上报审批中”，并生成审批任务。</w:t>
      </w:r>
    </w:p>
    <w:p>
      <w:pPr>
        <w:pStyle w:val="ListBullet"/>
      </w:pPr>
      <w:r>
        <w:t>审批通过后状态变为“已上报”，数据纳入看板的完工未结算项目数及产值汇总。</w:t>
      </w:r>
    </w:p>
    <w:p>
      <w:pPr>
        <w:pStyle w:val="ListBullet"/>
      </w:pPr>
      <w:r>
        <w:t>被驳回后允许原填报人修改并重新提交，审批意见和历次数据变更应可追溯。</w:t>
      </w:r>
    </w:p>
    <w:p>
      <w:pPr>
        <w:pStyle w:val="Heading1"/>
      </w:pPr>
      <w:r>
        <w:t>7. 跨模块数据关系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160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5184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处理</w:t>
            </w:r>
          </w:p>
        </w:tc>
        <w:tc>
          <w:tcPr>
            <w:tcW w:type="dxa" w:w="2736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去向</w:t>
            </w:r>
          </w:p>
        </w:tc>
      </w:tr>
      <w:tr>
        <w:tc>
          <w:tcPr>
            <w:tcW w:type="dxa" w:w="216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组织主数据</w:t>
            </w:r>
          </w:p>
        </w:tc>
        <w:tc>
          <w:tcPr>
            <w:tcW w:type="dxa" w:w="518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确定集团、子公司、分公司层级和用户数据范围</w:t>
            </w:r>
          </w:p>
        </w:tc>
        <w:tc>
          <w:tcPr>
            <w:tcW w:type="dxa" w:w="273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三个模块的组织筛选及汇总</w:t>
            </w:r>
          </w:p>
        </w:tc>
      </w:tr>
      <w:tr>
        <w:tc>
          <w:tcPr>
            <w:tcW w:type="dxa" w:w="216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项目主数据</w:t>
            </w:r>
          </w:p>
        </w:tc>
        <w:tc>
          <w:tcPr>
            <w:tcW w:type="dxa" w:w="518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提供项目名称、编号、状态、经理、业态、合同及组织归属</w:t>
            </w:r>
          </w:p>
        </w:tc>
        <w:tc>
          <w:tcPr>
            <w:tcW w:type="dxa" w:w="273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上报明细、完工未结算纳入判断、看板分组</w:t>
            </w:r>
          </w:p>
        </w:tc>
      </w:tr>
      <w:tr>
        <w:tc>
          <w:tcPr>
            <w:tcW w:type="dxa" w:w="216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实际产值上报</w:t>
            </w:r>
          </w:p>
        </w:tc>
        <w:tc>
          <w:tcPr>
            <w:tcW w:type="dxa" w:w="518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审批通过后按项目、月份形成有效事实数据</w:t>
            </w:r>
          </w:p>
        </w:tc>
        <w:tc>
          <w:tcPr>
            <w:tcW w:type="dxa" w:w="273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年度累计、当月完成、上报覆盖、月度趋势</w:t>
            </w:r>
          </w:p>
        </w:tc>
      </w:tr>
      <w:tr>
        <w:tc>
          <w:tcPr>
            <w:tcW w:type="dxa" w:w="216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完工未结算上报</w:t>
            </w:r>
          </w:p>
        </w:tc>
        <w:tc>
          <w:tcPr>
            <w:tcW w:type="dxa" w:w="518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审批通过后形成完工未结算月度事实数据</w:t>
            </w:r>
          </w:p>
        </w:tc>
        <w:tc>
          <w:tcPr>
            <w:tcW w:type="dxa" w:w="273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施工类产值中的完工未结算组、月度项目数</w:t>
            </w:r>
          </w:p>
        </w:tc>
      </w:tr>
      <w:tr>
        <w:tc>
          <w:tcPr>
            <w:tcW w:type="dxa" w:w="216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审批流程</w:t>
            </w:r>
          </w:p>
        </w:tc>
        <w:tc>
          <w:tcPr>
            <w:tcW w:type="dxa" w:w="518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记录节点、审批人、意见、状态及时间</w:t>
            </w:r>
          </w:p>
        </w:tc>
        <w:tc>
          <w:tcPr>
            <w:tcW w:type="dxa" w:w="273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上报状态、消息与待办、审计追溯</w:t>
            </w:r>
          </w:p>
        </w:tc>
      </w:tr>
    </w:tbl>
    <w:p>
      <w:pPr>
        <w:spacing w:after="0"/>
      </w:pPr>
    </w:p>
    <w:p>
      <w:pPr>
        <w:pStyle w:val="Heading2"/>
      </w:pPr>
      <w:r>
        <w:t>7.1 汇总与时点</w:t>
      </w:r>
    </w:p>
    <w:p>
      <w:pPr>
        <w:pStyle w:val="ListBullet"/>
      </w:pPr>
      <w:r>
        <w:t>看板默认仅统计审批通过的有效数据；审批中、草稿、已驳回数据不进入正式汇总。</w:t>
      </w:r>
    </w:p>
    <w:p>
      <w:pPr>
        <w:pStyle w:val="ListBullet"/>
      </w:pPr>
      <w:r>
        <w:t>组织汇总按项目在统计月份的有效组织归属执行；若发生组织调整，应明确采用历史快照或当前归属，建议保留月度快照。</w:t>
      </w:r>
    </w:p>
    <w:p>
      <w:pPr>
        <w:pStyle w:val="ListBullet"/>
      </w:pPr>
      <w:r>
        <w:t>年度累计按自然年度累计至所选月份；当月完成仅取所选月份；跨年不得串计。</w:t>
      </w:r>
    </w:p>
    <w:p>
      <w:pPr>
        <w:pStyle w:val="ListBullet"/>
      </w:pPr>
      <w:r>
        <w:t>同一项目同一月份若发生更正，以最终有效版本参与统计，历史版本保留审计记录但不得重复汇总。</w:t>
      </w:r>
    </w:p>
    <w:p>
      <w:pPr>
        <w:pStyle w:val="ListBullet"/>
      </w:pPr>
      <w:r>
        <w:t>看板刷新可采用实时或准实时策略，页面应展示数据更新时间。</w:t>
      </w:r>
    </w:p>
    <w:p>
      <w:pPr>
        <w:pStyle w:val="Heading1"/>
      </w:pPr>
      <w:r>
        <w:t>8. 通用交互与非功能要求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800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8280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180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一致性</w:t>
            </w:r>
          </w:p>
        </w:tc>
        <w:tc>
          <w:tcPr>
            <w:tcW w:type="dxa" w:w="828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查询、重置、分页、列设置、刷新、导出使用平台通用组件；同类状态使用统一标签颜色</w:t>
            </w:r>
          </w:p>
        </w:tc>
      </w:tr>
      <w:tr>
        <w:tc>
          <w:tcPr>
            <w:tcW w:type="dxa" w:w="180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性能</w:t>
            </w:r>
          </w:p>
        </w:tc>
        <w:tc>
          <w:tcPr>
            <w:tcW w:type="dxa" w:w="828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普通查询建议3秒内返回；看板首屏建议5秒内完成；大数据量采用服务端分页与聚合</w:t>
            </w:r>
          </w:p>
        </w:tc>
      </w:tr>
      <w:tr>
        <w:tc>
          <w:tcPr>
            <w:tcW w:type="dxa" w:w="180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可用性</w:t>
            </w:r>
          </w:p>
        </w:tc>
        <w:tc>
          <w:tcPr>
            <w:tcW w:type="dxa" w:w="828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加载、无数据、错误、无权限均有明确状态；切换组织时避免布局跳动</w:t>
            </w:r>
          </w:p>
        </w:tc>
      </w:tr>
      <w:tr>
        <w:tc>
          <w:tcPr>
            <w:tcW w:type="dxa" w:w="180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安全</w:t>
            </w:r>
          </w:p>
        </w:tc>
        <w:tc>
          <w:tcPr>
            <w:tcW w:type="dxa" w:w="828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按菜单、按钮、数据范围分层授权；导出留痕；附件访问鉴权；敏感信息脱敏</w:t>
            </w:r>
          </w:p>
        </w:tc>
      </w:tr>
      <w:tr>
        <w:tc>
          <w:tcPr>
            <w:tcW w:type="dxa" w:w="180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审计</w:t>
            </w:r>
          </w:p>
        </w:tc>
        <w:tc>
          <w:tcPr>
            <w:tcW w:type="dxa" w:w="828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记录填报、修改、提交、审批、驳回、导出等关键操作的用户、时间和对象</w:t>
            </w:r>
          </w:p>
        </w:tc>
      </w:tr>
      <w:tr>
        <w:tc>
          <w:tcPr>
            <w:tcW w:type="dxa" w:w="180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精度</w:t>
            </w:r>
          </w:p>
        </w:tc>
        <w:tc>
          <w:tcPr>
            <w:tcW w:type="dxa" w:w="828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金额计算不得使用展示值反算；后端统一小数精度和舍入方式，前端只负责格式化</w:t>
            </w:r>
          </w:p>
        </w:tc>
      </w:tr>
      <w:tr>
        <w:tc>
          <w:tcPr>
            <w:tcW w:type="dxa" w:w="180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兼容</w:t>
            </w:r>
          </w:p>
        </w:tc>
        <w:tc>
          <w:tcPr>
            <w:tcW w:type="dxa" w:w="828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适配平台支持的桌面浏览器分辨率，表格横向滚动时固定表头及必要操作列</w:t>
            </w:r>
          </w:p>
        </w:tc>
      </w:tr>
    </w:tbl>
    <w:p>
      <w:pPr>
        <w:spacing w:after="0"/>
      </w:pPr>
    </w:p>
    <w:p>
      <w:pPr>
        <w:pStyle w:val="Heading1"/>
      </w:pPr>
      <w:r>
        <w:t>9. 验收标准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80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520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6480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108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AC-01</w:t>
            </w:r>
          </w:p>
        </w:tc>
        <w:tc>
          <w:tcPr>
            <w:tcW w:type="dxa" w:w="252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组织与权限</w:t>
            </w:r>
          </w:p>
        </w:tc>
        <w:tc>
          <w:tcPr>
            <w:tcW w:type="dxa" w:w="648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不同角色仅可查看和操作授权组织、项目及按钮</w:t>
            </w:r>
          </w:p>
        </w:tc>
      </w:tr>
      <w:tr>
        <w:tc>
          <w:tcPr>
            <w:tcW w:type="dxa" w:w="108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AC-02</w:t>
            </w:r>
          </w:p>
        </w:tc>
        <w:tc>
          <w:tcPr>
            <w:tcW w:type="dxa" w:w="252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实际产值填报</w:t>
            </w:r>
          </w:p>
        </w:tc>
        <w:tc>
          <w:tcPr>
            <w:tcW w:type="dxa" w:w="648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必填、金额、附件和重复上报校验准确，暂存与提交状态正确</w:t>
            </w:r>
          </w:p>
        </w:tc>
      </w:tr>
      <w:tr>
        <w:tc>
          <w:tcPr>
            <w:tcW w:type="dxa" w:w="108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AC-03</w:t>
            </w:r>
          </w:p>
        </w:tc>
        <w:tc>
          <w:tcPr>
            <w:tcW w:type="dxa" w:w="252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审批联动</w:t>
            </w:r>
          </w:p>
        </w:tc>
        <w:tc>
          <w:tcPr>
            <w:tcW w:type="dxa" w:w="648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提交生成审批任务；通过、驳回后列表和详情状态同步</w:t>
            </w:r>
          </w:p>
        </w:tc>
      </w:tr>
      <w:tr>
        <w:tc>
          <w:tcPr>
            <w:tcW w:type="dxa" w:w="108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AC-04</w:t>
            </w:r>
          </w:p>
        </w:tc>
        <w:tc>
          <w:tcPr>
            <w:tcW w:type="dxa" w:w="252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完工未结算范围</w:t>
            </w:r>
          </w:p>
        </w:tc>
        <w:tc>
          <w:tcPr>
            <w:tcW w:type="dxa" w:w="648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仅完工/竣工且符合未结算条件的项目进入台账</w:t>
            </w:r>
          </w:p>
        </w:tc>
      </w:tr>
      <w:tr>
        <w:tc>
          <w:tcPr>
            <w:tcW w:type="dxa" w:w="108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AC-05</w:t>
            </w:r>
          </w:p>
        </w:tc>
        <w:tc>
          <w:tcPr>
            <w:tcW w:type="dxa" w:w="252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汇总准确</w:t>
            </w:r>
          </w:p>
        </w:tc>
        <w:tc>
          <w:tcPr>
            <w:tcW w:type="dxa" w:w="648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看板指标与审批通过的项目明细按组织、月份、业态核对一致</w:t>
            </w:r>
          </w:p>
        </w:tc>
      </w:tr>
      <w:tr>
        <w:tc>
          <w:tcPr>
            <w:tcW w:type="dxa" w:w="108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AC-06</w:t>
            </w:r>
          </w:p>
        </w:tc>
        <w:tc>
          <w:tcPr>
            <w:tcW w:type="dxa" w:w="252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业态布局</w:t>
            </w:r>
          </w:p>
        </w:tc>
        <w:tc>
          <w:tcPr>
            <w:tcW w:type="dxa" w:w="648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总承包/管线展示12项，普通业态展示4项；公司切换高度稳定</w:t>
            </w:r>
          </w:p>
        </w:tc>
      </w:tr>
      <w:tr>
        <w:tc>
          <w:tcPr>
            <w:tcW w:type="dxa" w:w="108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AC-07</w:t>
            </w:r>
          </w:p>
        </w:tc>
        <w:tc>
          <w:tcPr>
            <w:tcW w:type="dxa" w:w="252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图表展示</w:t>
            </w:r>
          </w:p>
        </w:tc>
        <w:tc>
          <w:tcPr>
            <w:tcW w:type="dxa" w:w="648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图例、颜色、单位正确，6px节点不变形，坐标标签不重叠</w:t>
            </w:r>
          </w:p>
        </w:tc>
      </w:tr>
      <w:tr>
        <w:tc>
          <w:tcPr>
            <w:tcW w:type="dxa" w:w="108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AC-08</w:t>
            </w:r>
          </w:p>
        </w:tc>
        <w:tc>
          <w:tcPr>
            <w:tcW w:type="dxa" w:w="252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附件</w:t>
            </w:r>
          </w:p>
        </w:tc>
        <w:tc>
          <w:tcPr>
            <w:tcW w:type="dxa" w:w="648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附件可上传、查看、删除；无附件统一显示“未上传”</w:t>
            </w:r>
          </w:p>
        </w:tc>
      </w:tr>
      <w:tr>
        <w:tc>
          <w:tcPr>
            <w:tcW w:type="dxa" w:w="108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AC-09</w:t>
            </w:r>
          </w:p>
        </w:tc>
        <w:tc>
          <w:tcPr>
            <w:tcW w:type="dxa" w:w="252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标准列表</w:t>
            </w:r>
          </w:p>
        </w:tc>
        <w:tc>
          <w:tcPr>
            <w:tcW w:type="dxa" w:w="648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查询、重置、分页、列设置、刷新、导出按通用规范工作</w:t>
            </w:r>
          </w:p>
        </w:tc>
      </w:tr>
      <w:tr>
        <w:tc>
          <w:tcPr>
            <w:tcW w:type="dxa" w:w="108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AC-10</w:t>
            </w:r>
          </w:p>
        </w:tc>
        <w:tc>
          <w:tcPr>
            <w:tcW w:type="dxa" w:w="252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异常与审计</w:t>
            </w:r>
          </w:p>
        </w:tc>
        <w:tc>
          <w:tcPr>
            <w:tcW w:type="dxa" w:w="648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无数据、接口异常、重复提交有明确提示，关键操作可追溯</w:t>
            </w:r>
          </w:p>
        </w:tc>
      </w:tr>
    </w:tbl>
    <w:p>
      <w:pPr>
        <w:spacing w:after="0"/>
      </w:pPr>
    </w:p>
    <w:p>
      <w:pPr>
        <w:pStyle w:val="Heading1"/>
      </w:pPr>
      <w:r>
        <w:t>10. 待确认事项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936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4320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4824"/>
            <w:shd w:fill="1F4E78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93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年度目标产值与年度计划产值的权威数据源</w:t>
            </w:r>
          </w:p>
        </w:tc>
        <w:tc>
          <w:tcPr>
            <w:tcW w:type="dxa" w:w="482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明确来源系统、维护责任人及锁定时间</w:t>
            </w:r>
          </w:p>
        </w:tc>
      </w:tr>
      <w:tr>
        <w:tc>
          <w:tcPr>
            <w:tcW w:type="dxa" w:w="93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432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剩余合同产值的最终公式</w:t>
            </w:r>
          </w:p>
        </w:tc>
        <w:tc>
          <w:tcPr>
            <w:tcW w:type="dxa" w:w="482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由财务/生产业务共同确认合同口径、税口径及负值处理</w:t>
            </w:r>
          </w:p>
        </w:tc>
      </w:tr>
      <w:tr>
        <w:tc>
          <w:tcPr>
            <w:tcW w:type="dxa" w:w="93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3</w:t>
            </w:r>
          </w:p>
        </w:tc>
        <w:tc>
          <w:tcPr>
            <w:tcW w:type="dxa" w:w="432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按分公司上报适用业态</w:t>
            </w:r>
          </w:p>
        </w:tc>
        <w:tc>
          <w:tcPr>
            <w:tcW w:type="dxa" w:w="482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通过配置表维护，不在前端写死</w:t>
            </w:r>
          </w:p>
        </w:tc>
      </w:tr>
      <w:tr>
        <w:tc>
          <w:tcPr>
            <w:tcW w:type="dxa" w:w="93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4</w:t>
            </w:r>
          </w:p>
        </w:tc>
        <w:tc>
          <w:tcPr>
            <w:tcW w:type="dxa" w:w="432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附件必传规则</w:t>
            </w:r>
          </w:p>
        </w:tc>
        <w:tc>
          <w:tcPr>
            <w:tcW w:type="dxa" w:w="482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按业态、金额和项目状态配置，并明确允许格式、大小和数量</w:t>
            </w:r>
          </w:p>
        </w:tc>
      </w:tr>
      <w:tr>
        <w:tc>
          <w:tcPr>
            <w:tcW w:type="dxa" w:w="93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5</w:t>
            </w:r>
          </w:p>
        </w:tc>
        <w:tc>
          <w:tcPr>
            <w:tcW w:type="dxa" w:w="432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组织调整后的历史统计归属</w:t>
            </w:r>
          </w:p>
        </w:tc>
        <w:tc>
          <w:tcPr>
            <w:tcW w:type="dxa" w:w="482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建议以月度组织快照统计，并提供当前归属查询</w:t>
            </w:r>
          </w:p>
        </w:tc>
      </w:tr>
      <w:tr>
        <w:tc>
          <w:tcPr>
            <w:tcW w:type="dxa" w:w="93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6</w:t>
            </w:r>
          </w:p>
        </w:tc>
        <w:tc>
          <w:tcPr>
            <w:tcW w:type="dxa" w:w="432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完工未结算退出和关闭流程</w:t>
            </w:r>
          </w:p>
        </w:tc>
        <w:tc>
          <w:tcPr>
            <w:tcW w:type="dxa" w:w="482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shd w:fill="F8FAFC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明确结算完成标识、审批责任人及是否允许再次开启</w:t>
            </w:r>
          </w:p>
        </w:tc>
      </w:tr>
      <w:tr>
        <w:tc>
          <w:tcPr>
            <w:tcW w:type="dxa" w:w="936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7</w:t>
            </w:r>
          </w:p>
        </w:tc>
        <w:tc>
          <w:tcPr>
            <w:tcW w:type="dxa" w:w="4320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看板数据刷新频率</w:t>
            </w:r>
          </w:p>
        </w:tc>
        <w:tc>
          <w:tcPr>
            <w:tcW w:type="dxa" w:w="4824"/>
            <w:tcBorders>
              <w:top w:val="single" w:sz="6" w:color="B8C4CE"/>
              <w:left w:val="single" w:sz="6" w:color="B8C4CE"/>
              <w:bottom w:val="single" w:sz="6" w:color="B8C4CE"/>
              <w:right w:val="single" w:sz="6" w:color="B8C4CE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确认实时、准实时或日批，并展示最近更新时间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color w:val="666666"/>
        </w:rPr>
        <w:t>—— 文档结束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1F4E78"/>
        <w:sz w:val="18"/>
      </w:rPr>
      <w:t>数智施工平台  |  产值管理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