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65DFF"/>
          <w:sz w:val="20"/>
        </w:rPr>
        <w:t>管理使用指南</w:t>
      </w:r>
    </w:p>
    <w:p>
      <w:r>
        <w:rPr>
          <w:b/>
          <w:color w:val="1D2129"/>
          <w:sz w:val="50"/>
        </w:rPr>
        <w:t>安全评价模块领导操作手册</w:t>
      </w:r>
    </w:p>
    <w:p>
      <w:r>
        <w:rPr>
          <w:color w:val="4E5969"/>
          <w:sz w:val="24"/>
        </w:rPr>
        <w:t>面向集团、子公司、分公司及项目管理人员的安全评价业务与平台使用说明</w:t>
      </w:r>
    </w:p>
    <w:p>
      <w:r>
        <w:rPr>
          <w:b/>
        </w:rPr>
        <w:t>文档版本：</w:t>
      </w:r>
      <w:r>
        <w:rPr>
          <w:color w:val="4E5969"/>
        </w:rPr>
        <w:t>V1.0</w:t>
      </w:r>
    </w:p>
    <w:p>
      <w:r>
        <w:rPr>
          <w:b/>
        </w:rPr>
        <w:t>编制日期：</w:t>
      </w:r>
      <w:r>
        <w:rPr>
          <w:color w:val="4E5969"/>
        </w:rPr>
        <w:t>2026-08-06</w:t>
      </w:r>
    </w:p>
    <w:p>
      <w:r>
        <w:rPr>
          <w:b/>
        </w:rPr>
        <w:t>适用产品：</w:t>
      </w:r>
      <w:r>
        <w:rPr>
          <w:color w:val="4E5969"/>
        </w:rPr>
        <w:t>Digital-Intelligent-Construction / 数智施工平台</w:t>
      </w:r>
    </w:p>
    <w:p>
      <w:r>
        <w:rPr>
          <w:b/>
        </w:rPr>
        <w:t>适用对象：</w:t>
      </w:r>
      <w:r>
        <w:rPr>
          <w:color w:val="4E5969"/>
        </w:rPr>
        <w:t>集团及各层级安全、生产管理领导</w:t>
      </w:r>
    </w:p>
    <w:p>
      <w:r>
        <w:rPr>
          <w:b/>
        </w:rPr>
        <w:t>文档定位：</w:t>
      </w:r>
      <w:r>
        <w:rPr>
          <w:color w:val="4E5969"/>
        </w:rPr>
        <w:t>领导视角操作手册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3FF"/>
          </w:tcPr>
          <w:p>
            <w:r>
              <w:t>阅读提示：本手册重点说明安全评价的整体业务闭环、领导在平台上的主要关注点和常用操作。指标、模型和源数据的技术配置仅做管理层面的必要说明。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1. 安全评价整体业务流程</w:t>
      </w:r>
    </w:p>
    <w:p>
      <w:r>
        <w:t>安全评价不是一次性打分，而是以评价模型为规则、以业务源数据为依据、以评价任务为载体、以结果确认和整改提升为闭环的持续管理机制。平台将集团、子公司、分公司、项目及其他评价对象纳入统一评价体系，通过周期性或专项任务形成可比较、可追踪的安全管理结果。</w:t>
      </w:r>
    </w:p>
    <w:p>
      <w:pPr>
        <w:pStyle w:val="Heading2"/>
        <w:keepNext/>
      </w:pPr>
      <w:r>
        <w:t>1.1 领导需要掌握的六个环节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500"/>
        <w:gridCol w:w="3900"/>
        <w:gridCol w:w="3960"/>
      </w:tblGrid>
      <w:tr>
        <w:tc>
          <w:tcPr>
            <w:tcW w:type="dxa" w:w="1500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环节</w:t>
            </w:r>
          </w:p>
        </w:tc>
        <w:tc>
          <w:tcPr>
            <w:tcW w:type="dxa" w:w="3900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核心工作</w:t>
            </w:r>
          </w:p>
        </w:tc>
        <w:tc>
          <w:tcPr>
            <w:tcW w:type="dxa" w:w="3960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领导重点关注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1.评价准备</w:t>
            </w:r>
          </w:p>
        </w:tc>
        <w:tc>
          <w:tcPr>
            <w:tcW w:type="dxa" w:w="390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确定评价对象、适用模型、周期和范围</w:t>
            </w:r>
          </w:p>
        </w:tc>
        <w:tc>
          <w:tcPr>
            <w:tcW w:type="dxa" w:w="396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本期是否覆盖应评对象，模型是否适用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2.数据采集</w:t>
            </w:r>
          </w:p>
        </w:tc>
        <w:tc>
          <w:tcPr>
            <w:tcW w:type="dxa" w:w="390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从实名制、视频、隐患、每日监督等系统获取依据</w:t>
            </w:r>
          </w:p>
        </w:tc>
        <w:tc>
          <w:tcPr>
            <w:tcW w:type="dxa" w:w="396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数据是否及时、完整、可信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3.任务执行</w:t>
            </w:r>
          </w:p>
        </w:tc>
        <w:tc>
          <w:tcPr>
            <w:tcW w:type="dxa" w:w="390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按月度、季度或专项计划执行评价</w:t>
            </w:r>
          </w:p>
        </w:tc>
        <w:tc>
          <w:tcPr>
            <w:tcW w:type="dxa" w:w="396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任务是否按期启动，进度和未完成对象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4.结果生成</w:t>
            </w:r>
          </w:p>
        </w:tc>
        <w:tc>
          <w:tcPr>
            <w:tcW w:type="dxa" w:w="390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按模型、指标、权重计算得分和风险等级</w:t>
            </w:r>
          </w:p>
        </w:tc>
        <w:tc>
          <w:tcPr>
            <w:tcW w:type="dxa" w:w="396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高风险对象、低分维度、异常指标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5.结果确认</w:t>
            </w:r>
          </w:p>
        </w:tc>
        <w:tc>
          <w:tcPr>
            <w:tcW w:type="dxa" w:w="390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核对结果、补充说明并确认或退回</w:t>
            </w:r>
          </w:p>
        </w:tc>
        <w:tc>
          <w:tcPr>
            <w:tcW w:type="dxa" w:w="396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待确认结果是否及时处理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6.应用闭环</w:t>
            </w:r>
          </w:p>
        </w:tc>
        <w:tc>
          <w:tcPr>
            <w:tcW w:type="dxa" w:w="390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用于月报、预警、整改跟踪和管理考核</w:t>
            </w:r>
          </w:p>
        </w:tc>
        <w:tc>
          <w:tcPr>
            <w:tcW w:type="dxa" w:w="396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问题是否形成责任、措施和复评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3FF"/>
          </w:tcPr>
          <w:p>
            <w:r>
              <w:t>一张图理解：评价模型定义“怎么评” → 源数据提供“凭什么评” → 评价任务组织“什么时候评、评谁” → 评价结果回答“评得怎样” → 结果确认和整改复评推动“下一轮变好”。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1.2 评价结果向上汇总</w:t>
      </w:r>
    </w:p>
    <w:p>
      <w:r>
        <w:t>项目评价结果可向分公司、子公司及集团层级汇总，形成从现场项目到组织管理的纵向视图；企业、供应链、岗位等对象可按各自模型独立评价。领导查看时应同时关注总分、风险等级、评价对象覆盖率和问题维度，避免只看单一分数。</w:t>
      </w:r>
    </w:p>
    <w:p>
      <w:pPr>
        <w:pStyle w:val="Heading1"/>
        <w:keepNext/>
      </w:pPr>
      <w:r>
        <w:t>2. 进入模块与菜单结构</w:t>
      </w:r>
    </w:p>
    <w:p>
      <w:r>
        <w:t>进入平台后，在安全相关入口打开“安全评价”。当前模块主要包括以下功能：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100"/>
        <w:gridCol w:w="4800"/>
        <w:gridCol w:w="2460"/>
      </w:tblGrid>
      <w:tr>
        <w:tc>
          <w:tcPr>
            <w:tcW w:type="dxa" w:w="2100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菜单</w:t>
            </w:r>
          </w:p>
        </w:tc>
        <w:tc>
          <w:tcPr>
            <w:tcW w:type="dxa" w:w="4800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主要用途</w:t>
            </w:r>
          </w:p>
        </w:tc>
        <w:tc>
          <w:tcPr>
            <w:tcW w:type="dxa" w:w="2460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主要使用人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安全评价总览/看板</w:t>
            </w:r>
          </w:p>
        </w:tc>
        <w:tc>
          <w:tcPr>
            <w:tcW w:type="dxa" w:w="480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查看评价趋势、对象分布、风险等级和重点结果</w:t>
            </w:r>
          </w:p>
        </w:tc>
        <w:tc>
          <w:tcPr>
            <w:tcW w:type="dxa" w:w="246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集团及各级领导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月度评价填报</w:t>
            </w:r>
          </w:p>
        </w:tc>
        <w:tc>
          <w:tcPr>
            <w:tcW w:type="dxa" w:w="480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查看月度计划及各层级评价数据填报提交</w:t>
            </w:r>
          </w:p>
        </w:tc>
        <w:tc>
          <w:tcPr>
            <w:tcW w:type="dxa" w:w="246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安全管理人员、填报人员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指标管理</w:t>
            </w:r>
          </w:p>
        </w:tc>
        <w:tc>
          <w:tcPr>
            <w:tcW w:type="dxa" w:w="480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维护指标、类型、数据来源和评分状态</w:t>
            </w:r>
          </w:p>
        </w:tc>
        <w:tc>
          <w:tcPr>
            <w:tcW w:type="dxa" w:w="246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安全评价管理员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安全评价模型</w:t>
            </w:r>
          </w:p>
        </w:tc>
        <w:tc>
          <w:tcPr>
            <w:tcW w:type="dxa" w:w="480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查看模型结构、维度、权重和版本</w:t>
            </w:r>
          </w:p>
        </w:tc>
        <w:tc>
          <w:tcPr>
            <w:tcW w:type="dxa" w:w="246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管理员、专业领导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安全评价任务</w:t>
            </w:r>
          </w:p>
        </w:tc>
        <w:tc>
          <w:tcPr>
            <w:tcW w:type="dxa" w:w="480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建立和执行周期性、专项评价任务</w:t>
            </w:r>
          </w:p>
        </w:tc>
        <w:tc>
          <w:tcPr>
            <w:tcW w:type="dxa" w:w="246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安全管理人员、任务负责人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评价结果管理</w:t>
            </w:r>
          </w:p>
        </w:tc>
        <w:tc>
          <w:tcPr>
            <w:tcW w:type="dxa" w:w="480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查询、确认、归档和导出结果及报告</w:t>
            </w:r>
          </w:p>
        </w:tc>
        <w:tc>
          <w:tcPr>
            <w:tcW w:type="dxa" w:w="246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领导、安全管理人员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源数据管理</w:t>
            </w:r>
          </w:p>
        </w:tc>
        <w:tc>
          <w:tcPr>
            <w:tcW w:type="dxa" w:w="480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查看来源系统、同步状态、完整率及异常影响</w:t>
            </w:r>
          </w:p>
        </w:tc>
        <w:tc>
          <w:tcPr>
            <w:tcW w:type="dxa" w:w="246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数据管理员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3FF"/>
          </w:tcPr>
          <w:p>
            <w:r>
              <w:t>权限说明：领导通常以查看、筛选、下钻、确认和导出为主；模型、指标及源数据的新增、修改、发布和同步由授权管理员完成。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领导日常使用路径</w:t>
      </w:r>
    </w:p>
    <w:p>
      <w:pPr>
        <w:pStyle w:val="Heading2"/>
        <w:keepNext/>
      </w:pPr>
      <w:r>
        <w:t>3.1 月度例行查看</w:t>
      </w:r>
    </w:p>
    <w:p>
      <w:pPr>
        <w:pStyle w:val="ListNumber"/>
      </w:pPr>
      <w:r>
        <w:t>打开安全评价总览，查看本期总体得分、风险等级和评价完成情况。</w:t>
      </w:r>
    </w:p>
    <w:p>
      <w:pPr>
        <w:pStyle w:val="ListNumber"/>
      </w:pPr>
      <w:r>
        <w:t>按集团、子公司、分公司或项目切换组织范围，定位得分偏低或风险较高对象。</w:t>
      </w:r>
    </w:p>
    <w:p>
      <w:pPr>
        <w:pStyle w:val="ListNumber"/>
      </w:pPr>
      <w:r>
        <w:t>进入评价结果管理，查看具体对象的维度得分、异常指标和评价说明。</w:t>
      </w:r>
    </w:p>
    <w:p>
      <w:pPr>
        <w:pStyle w:val="ListNumber"/>
      </w:pPr>
      <w:r>
        <w:t>对待确认结果进行确认或退回补充；对高风险对象安排专项跟踪。</w:t>
      </w:r>
    </w:p>
    <w:p>
      <w:pPr>
        <w:pStyle w:val="ListNumber"/>
      </w:pPr>
      <w:r>
        <w:t>通过结果导出或月报形成汇报材料，关注下一周期整改复评。</w:t>
      </w:r>
    </w:p>
    <w:p>
      <w:pPr>
        <w:pStyle w:val="Heading2"/>
        <w:keepNext/>
      </w:pPr>
      <w:r>
        <w:t>3.2 发现异常时的判断顺序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900"/>
        <w:gridCol w:w="4100"/>
        <w:gridCol w:w="3360"/>
      </w:tblGrid>
      <w:tr>
        <w:tc>
          <w:tcPr>
            <w:tcW w:type="dxa" w:w="1900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先看什么</w:t>
            </w:r>
          </w:p>
        </w:tc>
        <w:tc>
          <w:tcPr>
            <w:tcW w:type="dxa" w:w="4100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要回答的问题</w:t>
            </w:r>
          </w:p>
        </w:tc>
        <w:tc>
          <w:tcPr>
            <w:tcW w:type="dxa" w:w="3360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下一步动作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结果状态</w:t>
            </w:r>
          </w:p>
        </w:tc>
        <w:tc>
          <w:tcPr>
            <w:tcW w:type="dxa" w:w="410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待确认、已确认还是已归档？</w:t>
            </w:r>
          </w:p>
        </w:tc>
        <w:tc>
          <w:tcPr>
            <w:tcW w:type="dxa" w:w="336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待确认先核对，已归档用于追溯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对象覆盖</w:t>
            </w:r>
          </w:p>
        </w:tc>
        <w:tc>
          <w:tcPr>
            <w:tcW w:type="dxa" w:w="410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是否有未评价、未完成或失败对象？</w:t>
            </w:r>
          </w:p>
        </w:tc>
        <w:tc>
          <w:tcPr>
            <w:tcW w:type="dxa" w:w="336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查看任务进度和对象清单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风险等级</w:t>
            </w:r>
          </w:p>
        </w:tc>
        <w:tc>
          <w:tcPr>
            <w:tcW w:type="dxa" w:w="410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哪些对象达到风险极高/较高？</w:t>
            </w:r>
          </w:p>
        </w:tc>
        <w:tc>
          <w:tcPr>
            <w:tcW w:type="dxa" w:w="336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进入结果详情定位扣分维度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数据质量</w:t>
            </w:r>
          </w:p>
        </w:tc>
        <w:tc>
          <w:tcPr>
            <w:tcW w:type="dxa" w:w="410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低分是否由缺失、延迟或同步失败造成？</w:t>
            </w:r>
          </w:p>
        </w:tc>
        <w:tc>
          <w:tcPr>
            <w:tcW w:type="dxa" w:w="336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进入源数据管理核查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业务原因</w:t>
            </w:r>
          </w:p>
        </w:tc>
        <w:tc>
          <w:tcPr>
            <w:tcW w:type="dxa" w:w="410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数据正常但结果偏低的原因是什么？</w:t>
            </w:r>
          </w:p>
        </w:tc>
        <w:tc>
          <w:tcPr>
            <w:tcW w:type="dxa" w:w="336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查看指标明细和整改说明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4. 安全评价总览与看板</w:t>
      </w:r>
    </w:p>
    <w:p>
      <w:r>
        <w:t>安全评价看板面向领导提供结果概览，适合回答“整体处于什么水平、哪里需要关注、趋势是否改善”三个问题。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4200"/>
        <w:gridCol w:w="3360"/>
      </w:tblGrid>
      <w:tr>
        <w:tc>
          <w:tcPr>
            <w:tcW w:type="dxa" w:w="1800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信息区</w:t>
            </w:r>
          </w:p>
        </w:tc>
        <w:tc>
          <w:tcPr>
            <w:tcW w:type="dxa" w:w="4200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通常展示内容</w:t>
            </w:r>
          </w:p>
        </w:tc>
        <w:tc>
          <w:tcPr>
            <w:tcW w:type="dxa" w:w="3360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领导解读方式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总体概览</w:t>
            </w:r>
          </w:p>
        </w:tc>
        <w:tc>
          <w:tcPr>
            <w:tcW w:type="dxa" w:w="420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综合得分、风险等级、对象数、完成/待确认数量</w:t>
            </w:r>
          </w:p>
        </w:tc>
        <w:tc>
          <w:tcPr>
            <w:tcW w:type="dxa" w:w="336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判断整体风险和评价完整性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组织分布</w:t>
            </w:r>
          </w:p>
        </w:tc>
        <w:tc>
          <w:tcPr>
            <w:tcW w:type="dxa" w:w="420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集团、子公司、分公司和项目得分及风险分布</w:t>
            </w:r>
          </w:p>
        </w:tc>
        <w:tc>
          <w:tcPr>
            <w:tcW w:type="dxa" w:w="336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识别组织差异和管理短板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维度分析</w:t>
            </w:r>
          </w:p>
        </w:tc>
        <w:tc>
          <w:tcPr>
            <w:tcW w:type="dxa" w:w="420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现场管控、组织行为、信息保障等维度得分</w:t>
            </w:r>
          </w:p>
        </w:tc>
        <w:tc>
          <w:tcPr>
            <w:tcW w:type="dxa" w:w="336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判断问题集中在哪类能力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趋势变化</w:t>
            </w:r>
          </w:p>
        </w:tc>
        <w:tc>
          <w:tcPr>
            <w:tcW w:type="dxa" w:w="420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周、月、季度或年度得分变化</w:t>
            </w:r>
          </w:p>
        </w:tc>
        <w:tc>
          <w:tcPr>
            <w:tcW w:type="dxa" w:w="336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关注连续下降和整改改善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重点对象</w:t>
            </w:r>
          </w:p>
        </w:tc>
        <w:tc>
          <w:tcPr>
            <w:tcW w:type="dxa" w:w="420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风险极高/较高、低分或连续下降对象</w:t>
            </w:r>
          </w:p>
        </w:tc>
        <w:tc>
          <w:tcPr>
            <w:tcW w:type="dxa" w:w="336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形成重点督办清单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4.1 组织切换与下钻</w:t>
      </w:r>
    </w:p>
    <w:p>
      <w:pPr>
        <w:pStyle w:val="ListBullet"/>
      </w:pPr>
      <w:r>
        <w:t>使用组织切换组件在集团、子公司、分公司及项目范围间切换。</w:t>
      </w:r>
    </w:p>
    <w:p>
      <w:pPr>
        <w:pStyle w:val="ListBullet"/>
      </w:pPr>
      <w:r>
        <w:t>切换组织后，指标卡、图表、排名和明细同步刷新。</w:t>
      </w:r>
    </w:p>
    <w:p>
      <w:pPr>
        <w:pStyle w:val="ListBullet"/>
      </w:pPr>
      <w:r>
        <w:t>点击风险等级、对象数量、维度得分或排名项，可进入对应结果列表。</w:t>
      </w:r>
    </w:p>
    <w:p>
      <w:pPr>
        <w:pStyle w:val="ListBullet"/>
      </w:pPr>
      <w:r>
        <w:t>建议先看全局，再下钻到异常组织和具体项目。</w:t>
      </w:r>
    </w:p>
    <w:p>
      <w:pPr>
        <w:pStyle w:val="Heading1"/>
        <w:keepNext/>
      </w:pPr>
      <w:r>
        <w:t>5. 月度评价填报与任务执行</w:t>
      </w:r>
    </w:p>
    <w:p>
      <w:pPr>
        <w:pStyle w:val="Heading2"/>
        <w:keepNext/>
      </w:pPr>
      <w:r>
        <w:t>5.1 月度计划</w:t>
      </w:r>
    </w:p>
    <w:p>
      <w:r>
        <w:t>月度评价填报页面左侧以年度和月份组织评价计划。领导主要查看计划是否按期创建、当前处于未开始、进行中还是已完成，以及各层级对象的完成情况。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900"/>
        <w:gridCol w:w="3600"/>
        <w:gridCol w:w="3860"/>
      </w:tblGrid>
      <w:tr>
        <w:tc>
          <w:tcPr>
            <w:tcW w:type="dxa" w:w="1900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状态</w:t>
            </w:r>
          </w:p>
        </w:tc>
        <w:tc>
          <w:tcPr>
            <w:tcW w:type="dxa" w:w="3600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管理含义</w:t>
            </w:r>
          </w:p>
        </w:tc>
        <w:tc>
          <w:tcPr>
            <w:tcW w:type="dxa" w:w="3860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领导关注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未开始/未执行</w:t>
            </w:r>
          </w:p>
        </w:tc>
        <w:tc>
          <w:tcPr>
            <w:tcW w:type="dxa" w:w="360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计划已建立但尚未启动</w:t>
            </w:r>
          </w:p>
        </w:tc>
        <w:tc>
          <w:tcPr>
            <w:tcW w:type="dxa" w:w="386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是否因计划、数据或责任人未就绪延迟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进行中/执行中</w:t>
            </w:r>
          </w:p>
        </w:tc>
        <w:tc>
          <w:tcPr>
            <w:tcW w:type="dxa" w:w="360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任务已启动，部分对象完成</w:t>
            </w:r>
          </w:p>
        </w:tc>
        <w:tc>
          <w:tcPr>
            <w:tcW w:type="dxa" w:w="386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完成率、失败对象和剩余工作量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已完成/已执行</w:t>
            </w:r>
          </w:p>
        </w:tc>
        <w:tc>
          <w:tcPr>
            <w:tcW w:type="dxa" w:w="360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任务完成计算或填报</w:t>
            </w:r>
          </w:p>
        </w:tc>
        <w:tc>
          <w:tcPr>
            <w:tcW w:type="dxa" w:w="386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待确认结果和异常对象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已终止</w:t>
            </w:r>
          </w:p>
        </w:tc>
        <w:tc>
          <w:tcPr>
            <w:tcW w:type="dxa" w:w="360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任务不再继续执行</w:t>
            </w:r>
          </w:p>
        </w:tc>
        <w:tc>
          <w:tcPr>
            <w:tcW w:type="dxa" w:w="386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终止原因和是否需补发任务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5.2 任务执行</w:t>
      </w:r>
    </w:p>
    <w:p>
      <w:pPr>
        <w:pStyle w:val="ListBullet"/>
      </w:pPr>
      <w:r>
        <w:t>任务可按月度、季度、临时或专项周期建立，可配置自动或手动执行。</w:t>
      </w:r>
    </w:p>
    <w:p>
      <w:pPr>
        <w:pStyle w:val="ListBullet"/>
      </w:pPr>
      <w:r>
        <w:t>任务详情关注模型、对象数、完成数、失败数、进度、开始/结束时间和负责人。</w:t>
      </w:r>
    </w:p>
    <w:p>
      <w:pPr>
        <w:pStyle w:val="ListBullet"/>
      </w:pPr>
      <w:r>
        <w:t>进度长期不变时，先检查源数据同步和责任人，再决定重试或调整计划。</w:t>
      </w:r>
    </w:p>
    <w:p>
      <w:pPr>
        <w:pStyle w:val="Heading1"/>
        <w:keepNext/>
      </w:pPr>
      <w:r>
        <w:t>6. 评价结果管理</w:t>
      </w:r>
    </w:p>
    <w:p>
      <w:pPr>
        <w:pStyle w:val="Heading2"/>
        <w:keepNext/>
      </w:pPr>
      <w:r>
        <w:t>6.1 结果列表与状态</w:t>
      </w:r>
    </w:p>
    <w:p>
      <w:r>
        <w:t>评价结果管理是领导最常用的正式结果入口。可按评价月份、对象类型、组织、模型、风险等级和结果状态筛选。建议先用周期和组织缩小范围，再按风险等级定位重点对象。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3800"/>
        <w:gridCol w:w="3760"/>
      </w:tblGrid>
      <w:tr>
        <w:tc>
          <w:tcPr>
            <w:tcW w:type="dxa" w:w="1800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结果状态</w:t>
            </w:r>
          </w:p>
        </w:tc>
        <w:tc>
          <w:tcPr>
            <w:tcW w:type="dxa" w:w="3800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含义</w:t>
            </w:r>
          </w:p>
        </w:tc>
        <w:tc>
          <w:tcPr>
            <w:tcW w:type="dxa" w:w="3760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建议处理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待确认</w:t>
            </w:r>
          </w:p>
        </w:tc>
        <w:tc>
          <w:tcPr>
            <w:tcW w:type="dxa" w:w="380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系统已计算完成，尚未完成管理确认</w:t>
            </w:r>
          </w:p>
        </w:tc>
        <w:tc>
          <w:tcPr>
            <w:tcW w:type="dxa" w:w="376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核对异常数据和重点对象后确认或退回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已确认</w:t>
            </w:r>
          </w:p>
        </w:tc>
        <w:tc>
          <w:tcPr>
            <w:tcW w:type="dxa" w:w="380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结果已确认，可用于管理应用</w:t>
            </w:r>
          </w:p>
        </w:tc>
        <w:tc>
          <w:tcPr>
            <w:tcW w:type="dxa" w:w="376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用于月报、排名、督办和整改跟踪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已归档</w:t>
            </w:r>
          </w:p>
        </w:tc>
        <w:tc>
          <w:tcPr>
            <w:tcW w:type="dxa" w:w="380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结果固化为历史版本</w:t>
            </w:r>
          </w:p>
        </w:tc>
        <w:tc>
          <w:tcPr>
            <w:tcW w:type="dxa" w:w="376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用于趋势、审计和复盘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6.2 结果详情与确认</w:t>
      </w:r>
    </w:p>
    <w:p>
      <w:pPr>
        <w:pStyle w:val="ListBullet"/>
      </w:pPr>
      <w:r>
        <w:t>查看对象、评价任务、模型版本、综合得分、风险等级、各维度得分、评价时间和确认时间。</w:t>
      </w:r>
    </w:p>
    <w:p>
      <w:pPr>
        <w:pStyle w:val="ListBullet"/>
      </w:pPr>
      <w:r>
        <w:t>重点查看低分维度对应指标和异常说明，区分“确有管理问题”和“数据缺失/同步异常”。</w:t>
      </w:r>
    </w:p>
    <w:p>
      <w:pPr>
        <w:pStyle w:val="ListBullet"/>
      </w:pPr>
      <w:r>
        <w:t>对风险极高或连续下降对象，形成责任、措施和期限，安排整改复评。</w:t>
      </w:r>
    </w:p>
    <w:p>
      <w:pPr>
        <w:pStyle w:val="ListNumber"/>
      </w:pPr>
      <w:r>
        <w:t>筛选待确认结果。</w:t>
      </w:r>
    </w:p>
    <w:p>
      <w:pPr>
        <w:pStyle w:val="ListNumber"/>
      </w:pPr>
      <w:r>
        <w:t>打开结果详情，核对对象、周期、模型版本和关键指标。</w:t>
      </w:r>
    </w:p>
    <w:p>
      <w:pPr>
        <w:pStyle w:val="ListNumber"/>
      </w:pPr>
      <w:r>
        <w:t>确认结果有效，必要时补充管理说明。</w:t>
      </w:r>
    </w:p>
    <w:p>
      <w:pPr>
        <w:pStyle w:val="ListNumber"/>
      </w:pPr>
      <w:r>
        <w:t>对数据异常的结果退回相关责任人补充或修正。</w:t>
      </w:r>
    </w:p>
    <w:p>
      <w:pPr>
        <w:pStyle w:val="ListNumber"/>
      </w:pPr>
      <w:r>
        <w:t>确认后导出评价报告或纳入月度安全管理汇报。</w:t>
      </w:r>
    </w:p>
    <w:p>
      <w:r>
        <w:br w:type="page"/>
      </w:r>
    </w:p>
    <w:p>
      <w:pPr>
        <w:pStyle w:val="Heading1"/>
        <w:keepNext/>
      </w:pPr>
      <w:r>
        <w:t>7. 模型、指标与源数据的管理认知</w:t>
      </w:r>
    </w:p>
    <w:p>
      <w:r>
        <w:t>领导不需要日常维护每项指标，但需要理解三者关系，以便判断评价结果是否可信。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900"/>
        <w:gridCol w:w="4000"/>
        <w:gridCol w:w="3460"/>
      </w:tblGrid>
      <w:tr>
        <w:tc>
          <w:tcPr>
            <w:tcW w:type="dxa" w:w="1900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对象</w:t>
            </w:r>
          </w:p>
        </w:tc>
        <w:tc>
          <w:tcPr>
            <w:tcW w:type="dxa" w:w="4000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解决的问题</w:t>
            </w:r>
          </w:p>
        </w:tc>
        <w:tc>
          <w:tcPr>
            <w:tcW w:type="dxa" w:w="3460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领导需要关注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评价模型</w:t>
            </w:r>
          </w:p>
        </w:tc>
        <w:tc>
          <w:tcPr>
            <w:tcW w:type="dxa" w:w="400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评价哪些维度、使用哪些指标、权重如何分配</w:t>
            </w:r>
          </w:p>
        </w:tc>
        <w:tc>
          <w:tcPr>
            <w:tcW w:type="dxa" w:w="346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是否覆盖当前管理重点，发布版本是否正确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评价指标</w:t>
            </w:r>
          </w:p>
        </w:tc>
        <w:tc>
          <w:tcPr>
            <w:tcW w:type="dxa" w:w="400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具体评价什么，分值、类型、来源和是否评分</w:t>
            </w:r>
          </w:p>
        </w:tc>
        <w:tc>
          <w:tcPr>
            <w:tcW w:type="dxa" w:w="346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关键指标是否纳入，自动与人工比例是否合理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源数据</w:t>
            </w:r>
          </w:p>
        </w:tc>
        <w:tc>
          <w:tcPr>
            <w:tcW w:type="dxa" w:w="400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指标计算依据从哪里来、何时更新</w:t>
            </w:r>
          </w:p>
        </w:tc>
        <w:tc>
          <w:tcPr>
            <w:tcW w:type="dxa" w:w="346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完整率、同步状态、异常影响和责任系统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7.1 指标和模型</w:t>
      </w:r>
    </w:p>
    <w:p>
      <w:pPr>
        <w:pStyle w:val="ListBullet"/>
      </w:pPr>
      <w:r>
        <w:t>指标可分为自动指标、规则指标、评价维度或人工填写项。</w:t>
      </w:r>
    </w:p>
    <w:p>
      <w:pPr>
        <w:pStyle w:val="ListBullet"/>
      </w:pPr>
      <w:r>
        <w:t>模型详情通常展示指标总数、总分值、评价因子、评价维度、自动计算和人工填写数量。</w:t>
      </w:r>
    </w:p>
    <w:p>
      <w:pPr>
        <w:pStyle w:val="ListBullet"/>
      </w:pPr>
      <w:r>
        <w:t>模型发布后用于评价任务；历史结果应保留当时使用的模型版本。</w:t>
      </w:r>
    </w:p>
    <w:p>
      <w:pPr>
        <w:pStyle w:val="ListBullet"/>
      </w:pPr>
      <w:r>
        <w:t>指标停用或权重调整会影响后续结果，应通过版本和变更记录保证可追溯。</w:t>
      </w:r>
    </w:p>
    <w:p>
      <w:pPr>
        <w:pStyle w:val="Heading2"/>
        <w:keepNext/>
      </w:pPr>
      <w:r>
        <w:t>7.2 源数据管理</w:t>
      </w:r>
    </w:p>
    <w:p>
      <w:pPr>
        <w:pStyle w:val="ListBullet"/>
      </w:pPr>
      <w:r>
        <w:t>查看来源系统、同步规则、数据更新时间、最近同步时间、同步状态和数据完整率。</w:t>
      </w:r>
    </w:p>
    <w:p>
      <w:pPr>
        <w:pStyle w:val="ListBullet"/>
      </w:pPr>
      <w:r>
        <w:t>同步失败、数据缺失或完整率明显下降时，先处理数据质量，再解读评价分数。</w:t>
      </w:r>
    </w:p>
    <w:p>
      <w:pPr>
        <w:pStyle w:val="ListBullet"/>
      </w:pPr>
      <w:r>
        <w:t>同步日志用于定位问题发生时间、同步量、耗时和失败原因。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3FF"/>
          </w:tcPr>
          <w:p>
            <w:r>
              <w:t>管理判断原则：先确认数据可信，再评价业务表现；先定位指标和维度，再安排组织和项目整改。不要把数据同步异常直接等同于现场安全风险。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8. 领导月度工作建议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500"/>
        <w:gridCol w:w="5300"/>
        <w:gridCol w:w="2560"/>
      </w:tblGrid>
      <w:tr>
        <w:tc>
          <w:tcPr>
            <w:tcW w:type="dxa" w:w="1500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时间</w:t>
            </w:r>
          </w:p>
        </w:tc>
        <w:tc>
          <w:tcPr>
            <w:tcW w:type="dxa" w:w="5300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建议动作</w:t>
            </w:r>
          </w:p>
        </w:tc>
        <w:tc>
          <w:tcPr>
            <w:tcW w:type="dxa" w:w="2560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输出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评价前</w:t>
            </w:r>
          </w:p>
        </w:tc>
        <w:tc>
          <w:tcPr>
            <w:tcW w:type="dxa" w:w="530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确认范围、模型版本、周期和责任组织；关注源数据健康度</w:t>
            </w:r>
          </w:p>
        </w:tc>
        <w:tc>
          <w:tcPr>
            <w:tcW w:type="dxa" w:w="256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评价准备清单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任务执行中</w:t>
            </w:r>
          </w:p>
        </w:tc>
        <w:tc>
          <w:tcPr>
            <w:tcW w:type="dxa" w:w="530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查看进度、未完成对象、失败对象和同步异常</w:t>
            </w:r>
          </w:p>
        </w:tc>
        <w:tc>
          <w:tcPr>
            <w:tcW w:type="dxa" w:w="256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任务跟踪清单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结果生成后</w:t>
            </w:r>
          </w:p>
        </w:tc>
        <w:tc>
          <w:tcPr>
            <w:tcW w:type="dxa" w:w="530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查看风险极高/较高、低分维度和连续下降对象</w:t>
            </w:r>
          </w:p>
        </w:tc>
        <w:tc>
          <w:tcPr>
            <w:tcW w:type="dxa" w:w="256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重点关注清单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结果确认前</w:t>
            </w:r>
          </w:p>
        </w:tc>
        <w:tc>
          <w:tcPr>
            <w:tcW w:type="dxa" w:w="530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抽查关键对象和异常指标</w:t>
            </w:r>
          </w:p>
        </w:tc>
        <w:tc>
          <w:tcPr>
            <w:tcW w:type="dxa" w:w="256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确认意见或补充要求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结果确认后</w:t>
            </w:r>
          </w:p>
        </w:tc>
        <w:tc>
          <w:tcPr>
            <w:tcW w:type="dxa" w:w="530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推动高风险对象形成责任、措施和期限</w:t>
            </w:r>
          </w:p>
        </w:tc>
        <w:tc>
          <w:tcPr>
            <w:tcW w:type="dxa" w:w="256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整改督办清单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月度复盘</w:t>
            </w:r>
          </w:p>
        </w:tc>
        <w:tc>
          <w:tcPr>
            <w:tcW w:type="dxa" w:w="530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对比上期得分、风险等级、完成率和闭环情况</w:t>
            </w:r>
          </w:p>
        </w:tc>
        <w:tc>
          <w:tcPr>
            <w:tcW w:type="dxa" w:w="256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月度安全评价报告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8.1 建议形成的关注清单</w:t>
      </w:r>
    </w:p>
    <w:p>
      <w:pPr>
        <w:pStyle w:val="ListBullet"/>
      </w:pPr>
      <w:r>
        <w:t>本期是否按计划完成评价，是否存在未评价对象。</w:t>
      </w:r>
    </w:p>
    <w:p>
      <w:pPr>
        <w:pStyle w:val="ListBullet"/>
      </w:pPr>
      <w:r>
        <w:t>风险极高和风险较高对象有哪些，是否集中在某个组织或业态。</w:t>
      </w:r>
    </w:p>
    <w:p>
      <w:pPr>
        <w:pStyle w:val="ListBullet"/>
      </w:pPr>
      <w:r>
        <w:t>连续两期下降或同一指标反复扣分的对象有哪些。</w:t>
      </w:r>
    </w:p>
    <w:p>
      <w:pPr>
        <w:pStyle w:val="ListBullet"/>
      </w:pPr>
      <w:r>
        <w:t>低分是现场管理、组织履职、信息保障还是数据质量问题。</w:t>
      </w:r>
    </w:p>
    <w:p>
      <w:pPr>
        <w:pStyle w:val="ListBullet"/>
      </w:pPr>
      <w:r>
        <w:t>待确认结果是否及时处理，是否存在长期停留。</w:t>
      </w:r>
    </w:p>
    <w:p>
      <w:pPr>
        <w:pStyle w:val="ListBullet"/>
      </w:pPr>
      <w:r>
        <w:t>上一期整改是否在本期评价中体现改善。</w:t>
      </w:r>
    </w:p>
    <w:p>
      <w:pPr>
        <w:pStyle w:val="Heading1"/>
        <w:keepNext/>
      </w:pPr>
      <w:r>
        <w:t>9. 常见问题与处理建议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500"/>
        <w:gridCol w:w="3500"/>
        <w:gridCol w:w="3360"/>
      </w:tblGrid>
      <w:tr>
        <w:tc>
          <w:tcPr>
            <w:tcW w:type="dxa" w:w="2500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问题表现</w:t>
            </w:r>
          </w:p>
        </w:tc>
        <w:tc>
          <w:tcPr>
            <w:tcW w:type="dxa" w:w="3500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优先检查</w:t>
            </w:r>
          </w:p>
        </w:tc>
        <w:tc>
          <w:tcPr>
            <w:tcW w:type="dxa" w:w="3360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处理建议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评价结果为空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任务状态、对象模型绑定、源数据可用性</w:t>
            </w:r>
          </w:p>
        </w:tc>
        <w:tc>
          <w:tcPr>
            <w:tcW w:type="dxa" w:w="336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先查看任务，再检查模型和源数据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得分明显偏低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指标异常、完整率、人工填报、模型版本</w:t>
            </w:r>
          </w:p>
        </w:tc>
        <w:tc>
          <w:tcPr>
            <w:tcW w:type="dxa" w:w="336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打开结果详情逐项核对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任务进度不动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源数据同步、执行日志、负责人和对象数</w:t>
            </w:r>
          </w:p>
        </w:tc>
        <w:tc>
          <w:tcPr>
            <w:tcW w:type="dxa" w:w="336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查看日志，必要时重新同步或执行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对象未进入评价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对象启用状态、模型绑定、组织权限</w:t>
            </w:r>
          </w:p>
        </w:tc>
        <w:tc>
          <w:tcPr>
            <w:tcW w:type="dxa" w:w="336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补齐关系或授权后重新生成任务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看板与列表不一致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周期、组织、状态筛选是否相同</w:t>
            </w:r>
          </w:p>
        </w:tc>
        <w:tc>
          <w:tcPr>
            <w:tcW w:type="dxa" w:w="3360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微软雅黑"/>
                <w:b w:val="0"/>
                <w:color w:val="1D2129"/>
                <w:sz w:val="18"/>
              </w:rPr>
              <w:t>统一条件后再比较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10. 结语：把评价结果转化为管理动作</w:t>
      </w:r>
    </w:p>
    <w:p>
      <w:r>
        <w:t>安全评价的价值不在于形成一个分数，而在于通过统一模型发现风险、通过数据证据定位问题、通过结果确认形成共识、通过整改复评推动改进。领导使用平台时，建议坚持“看全局、抓重点、查原因、促闭环”：先看总体和趋势，再抓高风险对象，区分业务问题与数据问题，最终将评价结果转化为责任清单和改进动作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3FF"/>
          </w:tcPr>
          <w:p>
            <w:r>
              <w:t>核心口诀：看总体、看趋势；抓高风险、抓低分维度；查数据、查责任；促确认、促整改、促复评。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6909C"/>
        <w:sz w:val="17"/>
      </w:rPr>
      <w:t>安全评价模块领导操作手册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6909C"/>
        <w:sz w:val="17"/>
      </w:rPr>
      <w:t>数智施工平台｜安全评价模块领导操作手册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微软雅黑"/>
      <w:b w:val="0"/>
      <w:color w:val="1D21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65D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65DF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605" w:hanging="288"/>
      <w:contextualSpacing/>
    </w:pPr>
    <w:rPr>
      <w:rFonts w:ascii="Microsoft YaHei" w:hAnsi="Microsoft YaHei" w:eastAsia="微软雅黑"/>
      <w:b w:val="0"/>
      <w:color w:val="1D2129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605" w:hanging="288"/>
      <w:contextualSpacing/>
    </w:pPr>
    <w:rPr>
      <w:rFonts w:ascii="Microsoft YaHei" w:hAnsi="Microsoft YaHei" w:eastAsia="微软雅黑"/>
      <w:b w:val="0"/>
      <w:color w:val="1D2129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安全评价模块领导操作手册</dc:title>
  <dc:subject>数智施工平台安全评价模块操作手册</dc:subject>
  <dc:creator>数智施工平台产品团队</dc:creator>
  <cp:keywords>安全评价,领导操作手册,评价结果,评价任务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