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650305">
      <w:pPr>
        <w:spacing w:after="280"/>
        <w:jc w:val="center"/>
      </w:pPr>
      <w:r>
        <w:rPr>
          <w:rFonts w:ascii="Times New Roman" w:hAnsi="Times New Roman" w:eastAsia="黑体"/>
          <w:b/>
          <w:sz w:val="36"/>
        </w:rPr>
        <w:t>基于机器学习的多因子选股策略复刻与改进研究</w:t>
      </w:r>
    </w:p>
    <w:p w14:paraId="3DF1907E">
      <w:pPr>
        <w:spacing w:after="360"/>
        <w:jc w:val="center"/>
      </w:pPr>
      <w:r>
        <w:rPr>
          <w:rFonts w:ascii="Times New Roman" w:hAnsi="Times New Roman" w:eastAsia="宋体"/>
          <w:sz w:val="24"/>
        </w:rPr>
        <w:t>以动态中证500股票池、验证集调参与样本外回测为核心</w:t>
      </w:r>
    </w:p>
    <w:p w14:paraId="140EF546">
      <w:pPr>
        <w:spacing w:before="280" w:after="160"/>
      </w:pPr>
      <w:r>
        <w:rPr>
          <w:rFonts w:ascii="Times New Roman" w:hAnsi="Times New Roman" w:eastAsia="黑体"/>
          <w:b/>
          <w:sz w:val="30"/>
        </w:rPr>
        <w:t>摘要</w:t>
      </w:r>
    </w:p>
    <w:p w14:paraId="06E599FD">
      <w:pPr>
        <w:spacing w:after="120" w:line="360" w:lineRule="auto"/>
        <w:ind w:firstLine="420"/>
        <w:jc w:val="both"/>
      </w:pPr>
      <w:r>
        <w:rPr>
          <w:rFonts w:ascii="Times New Roman" w:hAnsi="Times New Roman" w:eastAsia="宋体"/>
          <w:sz w:val="21"/>
        </w:rPr>
        <w:t>本文在复刻《基于随机森林的多因子选股模型构建》研报思想的基础上，构建了一套基于Tushare数据的机器学习多因子选股研究框架。研究以历史中证500成分股为股票池，使用估值、成长、盈利质量、杠杆、动量、换手率和技术指标等24个因子构造特征，预测个股下一调仓期相对中证500指数的超额收益排序。与早期复刻版本相比，本文进一步加入交易成本、动态股票池、验证集调参、XGBoost与LightGBM模型比较、十分组回测以及多种组合构造方式，从而提高研究的严谨性和可解释性。</w:t>
      </w:r>
    </w:p>
    <w:p w14:paraId="46FF4A9D">
      <w:pPr>
        <w:spacing w:after="120" w:line="360" w:lineRule="auto"/>
        <w:ind w:firstLine="420"/>
        <w:jc w:val="both"/>
      </w:pPr>
      <w:r>
        <w:rPr>
          <w:rFonts w:ascii="Times New Roman" w:hAnsi="Times New Roman" w:eastAsia="宋体"/>
          <w:sz w:val="21"/>
        </w:rPr>
        <w:t>实证结果显示，在验证集调参后的样本外回测中，Random Forest表现最稳健。其中，Random Forest的Long前10/Short中证500指数策略累计收益为121.67%，年化收益为19.24%，Sharpe为0.791，最大回撤为23.13%，在收益和风险之间取</w:t>
      </w:r>
      <w:bookmarkStart w:id="0" w:name="_GoBack"/>
      <w:bookmarkEnd w:id="0"/>
      <w:r>
        <w:rPr>
          <w:rFonts w:ascii="Times New Roman" w:hAnsi="Times New Roman" w:eastAsia="宋体"/>
          <w:sz w:val="21"/>
        </w:rPr>
        <w:t>得较好平衡。相比之下，Long前10/Short后10策略虽然可用于检验模型排序能力，但空头端风险极高，Random Forest版本最大回撤达到98.17%，不适合作为主推荐策略。研究同时修正了“十分组回测90%最大回撤”的口径问题：90%以上回撤来自多空后10策略，而不是十分组回测本身。</w:t>
      </w:r>
    </w:p>
    <w:p w14:paraId="3EBE997B">
      <w:pPr>
        <w:jc w:val="left"/>
      </w:pPr>
      <w:r>
        <w:rPr>
          <w:rFonts w:ascii="Times New Roman" w:hAnsi="Times New Roman" w:eastAsia="宋体"/>
          <w:b/>
          <w:sz w:val="21"/>
        </w:rPr>
        <w:t>关键词：多因子选股；随机森林；XGBoost；LightGBM；中证500；验证集调参；十分组回测</w:t>
      </w:r>
    </w:p>
    <w:p w14:paraId="1BEAB865">
      <w:pPr>
        <w:spacing w:before="280" w:after="160"/>
      </w:pPr>
      <w:r>
        <w:rPr>
          <w:rFonts w:ascii="Times New Roman" w:hAnsi="Times New Roman" w:eastAsia="黑体"/>
          <w:b/>
          <w:sz w:val="30"/>
        </w:rPr>
        <w:t>目录</w:t>
      </w:r>
    </w:p>
    <w:p w14:paraId="1EF01D55">
      <w:pPr>
        <w:spacing w:after="120" w:line="360" w:lineRule="auto"/>
        <w:jc w:val="both"/>
      </w:pPr>
      <w:r>
        <w:rPr>
          <w:rFonts w:ascii="Times New Roman" w:hAnsi="Times New Roman" w:eastAsia="宋体"/>
          <w:sz w:val="21"/>
        </w:rPr>
        <w:t>1 研究背景与目标</w:t>
      </w:r>
    </w:p>
    <w:p w14:paraId="4C14B634">
      <w:pPr>
        <w:spacing w:after="120" w:line="360" w:lineRule="auto"/>
        <w:jc w:val="both"/>
      </w:pPr>
      <w:r>
        <w:rPr>
          <w:rFonts w:ascii="Times New Roman" w:hAnsi="Times New Roman" w:eastAsia="宋体"/>
          <w:sz w:val="21"/>
        </w:rPr>
        <w:t>2 数据来源、股票池与样本切分</w:t>
      </w:r>
    </w:p>
    <w:p w14:paraId="016F6409">
      <w:pPr>
        <w:spacing w:after="120" w:line="360" w:lineRule="auto"/>
        <w:jc w:val="both"/>
      </w:pPr>
      <w:r>
        <w:rPr>
          <w:rFonts w:ascii="Times New Roman" w:hAnsi="Times New Roman" w:eastAsia="宋体"/>
          <w:sz w:val="21"/>
        </w:rPr>
        <w:t>3 因子体系与标签构造</w:t>
      </w:r>
    </w:p>
    <w:p w14:paraId="11B7F1B8">
      <w:pPr>
        <w:spacing w:after="120" w:line="360" w:lineRule="auto"/>
        <w:jc w:val="both"/>
      </w:pPr>
      <w:r>
        <w:rPr>
          <w:rFonts w:ascii="Times New Roman" w:hAnsi="Times New Roman" w:eastAsia="宋体"/>
          <w:sz w:val="21"/>
        </w:rPr>
        <w:t>4 机器学习模型与参数调优</w:t>
      </w:r>
    </w:p>
    <w:p w14:paraId="572D6D19">
      <w:pPr>
        <w:spacing w:after="120" w:line="360" w:lineRule="auto"/>
        <w:jc w:val="both"/>
      </w:pPr>
      <w:r>
        <w:rPr>
          <w:rFonts w:ascii="Times New Roman" w:hAnsi="Times New Roman" w:eastAsia="宋体"/>
          <w:sz w:val="21"/>
        </w:rPr>
        <w:t>5 回测设计与组合构造</w:t>
      </w:r>
    </w:p>
    <w:p w14:paraId="48CA460C">
      <w:pPr>
        <w:spacing w:after="120" w:line="360" w:lineRule="auto"/>
        <w:jc w:val="both"/>
      </w:pPr>
      <w:r>
        <w:rPr>
          <w:rFonts w:ascii="Times New Roman" w:hAnsi="Times New Roman" w:eastAsia="宋体"/>
          <w:sz w:val="21"/>
        </w:rPr>
        <w:t>6 实证结果与图表分析</w:t>
      </w:r>
    </w:p>
    <w:p w14:paraId="579C21F2">
      <w:pPr>
        <w:spacing w:after="120" w:line="360" w:lineRule="auto"/>
        <w:jc w:val="both"/>
      </w:pPr>
      <w:r>
        <w:rPr>
          <w:rFonts w:ascii="Times New Roman" w:hAnsi="Times New Roman" w:eastAsia="宋体"/>
          <w:sz w:val="21"/>
        </w:rPr>
        <w:t>7 风险解释与口径修正</w:t>
      </w:r>
    </w:p>
    <w:p w14:paraId="24605A58">
      <w:pPr>
        <w:spacing w:after="120" w:line="360" w:lineRule="auto"/>
        <w:jc w:val="both"/>
      </w:pPr>
      <w:r>
        <w:rPr>
          <w:rFonts w:ascii="Times New Roman" w:hAnsi="Times New Roman" w:eastAsia="宋体"/>
          <w:sz w:val="21"/>
        </w:rPr>
        <w:t>8 结论、局限与后续改进</w:t>
      </w:r>
    </w:p>
    <w:p w14:paraId="034C28D2">
      <w:pPr>
        <w:spacing w:after="120" w:line="360" w:lineRule="auto"/>
        <w:jc w:val="both"/>
      </w:pPr>
      <w:r>
        <w:rPr>
          <w:rFonts w:ascii="Times New Roman" w:hAnsi="Times New Roman" w:eastAsia="宋体"/>
          <w:sz w:val="21"/>
        </w:rPr>
        <w:t>附录：主要代码与输出文件说明</w:t>
      </w:r>
    </w:p>
    <w:p w14:paraId="1199423F">
      <w:r>
        <w:br w:type="page"/>
      </w:r>
    </w:p>
    <w:p w14:paraId="7DB52799">
      <w:pPr>
        <w:spacing w:before="280" w:after="160"/>
      </w:pPr>
      <w:r>
        <w:rPr>
          <w:rFonts w:ascii="Times New Roman" w:hAnsi="Times New Roman" w:eastAsia="黑体"/>
          <w:b/>
          <w:sz w:val="30"/>
        </w:rPr>
        <w:t>1 研究背景与目标</w:t>
      </w:r>
    </w:p>
    <w:p w14:paraId="634EFCE7">
      <w:pPr>
        <w:spacing w:after="120" w:line="360" w:lineRule="auto"/>
        <w:ind w:firstLine="420"/>
        <w:jc w:val="both"/>
      </w:pPr>
      <w:r>
        <w:rPr>
          <w:rFonts w:ascii="Times New Roman" w:hAnsi="Times New Roman" w:eastAsia="宋体"/>
          <w:sz w:val="21"/>
        </w:rPr>
        <w:t>原研报的核心思想是利用随机森林对多因子截面信息进行非线性建模，并据此筛选具有较高未来超额收益概率的股票。传统线性多因子模型通常假设因子收益关系较为稳定，而机器学习模型能够在一定程度上捕捉因子之间的非线性交互，例如估值与成长、动量与反转、规模与换手率之间的组合效应。因此，本研究首先复刻随机森林多因子选股框架，再在此基础上加入更严格的样本切分、模型比较和组合风险控制。</w:t>
      </w:r>
    </w:p>
    <w:p w14:paraId="1AF293F5">
      <w:pPr>
        <w:spacing w:after="120" w:line="360" w:lineRule="auto"/>
        <w:ind w:firstLine="420"/>
        <w:jc w:val="both"/>
      </w:pPr>
      <w:r>
        <w:rPr>
          <w:rFonts w:ascii="Times New Roman" w:hAnsi="Times New Roman" w:eastAsia="宋体"/>
          <w:sz w:val="21"/>
        </w:rPr>
        <w:t>本研究的目标包括四个方面：第一，形成从Tushare取数到回测评估的完整代码流水线；第二，验证随机森林、XGBoost和LightGBM三类树模型在A股截面排序任务上的差异；第三，将参数选择从回测Sharpe转移到验证集表现，减少回测选择偏差；第四，通过交易成本、十分组回测、Long前10/Short后10和Long前10/Short指数等策略设计，评估模型信号的可交易性和风险来源。</w:t>
      </w:r>
    </w:p>
    <w:p w14:paraId="4D0B2D46">
      <w:pPr>
        <w:spacing w:before="280" w:after="160"/>
      </w:pPr>
      <w:r>
        <w:rPr>
          <w:rFonts w:ascii="Times New Roman" w:hAnsi="Times New Roman" w:eastAsia="黑体"/>
          <w:b/>
          <w:sz w:val="30"/>
        </w:rPr>
        <w:t>2 数据来源、股票池与样本切分</w:t>
      </w:r>
    </w:p>
    <w:p w14:paraId="4DBEC112">
      <w:pPr>
        <w:spacing w:after="120" w:line="360" w:lineRule="auto"/>
        <w:ind w:firstLine="420"/>
        <w:jc w:val="both"/>
      </w:pPr>
      <w:r>
        <w:rPr>
          <w:rFonts w:ascii="Times New Roman" w:hAnsi="Times New Roman" w:eastAsia="宋体"/>
          <w:sz w:val="21"/>
        </w:rPr>
        <w:t>数据来自Tushare接口，主要包括A股日行情、复权因子、每日指标、财务指标、资产负债表、指数权重和交易日历等。为了减少幸存者偏差，改进版研究使用历史中证500成分构建动态股票池，而不是将当前中证500成分向历史回溯。具体而言，每个调仓日根据当期或邻近可得的指数权重信息确定股票池，再在该截面上计算因子、标签和模型分数。</w:t>
      </w:r>
    </w:p>
    <w:p w14:paraId="74CA8D4B">
      <w:pPr>
        <w:jc w:val="center"/>
      </w:pPr>
      <w:r>
        <w:drawing>
          <wp:inline distT="0" distB="0" distL="114300" distR="114300">
            <wp:extent cx="5303520" cy="2858135"/>
            <wp:effectExtent l="0" t="0" r="5080" b="120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303520" cy="2858300"/>
                    </a:xfrm>
                    <a:prstGeom prst="rect">
                      <a:avLst/>
                    </a:prstGeom>
                  </pic:spPr>
                </pic:pic>
              </a:graphicData>
            </a:graphic>
          </wp:inline>
        </w:drawing>
      </w:r>
    </w:p>
    <w:p w14:paraId="0FDA2F7D">
      <w:pPr>
        <w:spacing w:after="160"/>
        <w:jc w:val="center"/>
      </w:pPr>
      <w:r>
        <w:rPr>
          <w:rFonts w:ascii="Times New Roman" w:hAnsi="Times New Roman" w:eastAsia="宋体"/>
          <w:color w:val="666666"/>
          <w:sz w:val="18"/>
        </w:rPr>
        <w:t>图1 数据集按时间顺序切分</w:t>
      </w:r>
    </w:p>
    <w:p w14:paraId="3E84363F">
      <w:pPr>
        <w:spacing w:after="160"/>
        <w:jc w:val="center"/>
      </w:pPr>
      <w:r>
        <w:rPr>
          <w:rFonts w:ascii="Times New Roman" w:hAnsi="Times New Roman" w:eastAsia="宋体"/>
          <w:color w:val="666666"/>
          <w:sz w:val="18"/>
        </w:rPr>
        <w:t>表1 数据集切分与用途</w:t>
      </w:r>
    </w:p>
    <w:tbl>
      <w:tblPr>
        <w:tblStyle w:val="32"/>
        <w:tblW w:w="0" w:type="auto"/>
        <w:jc w:val="center"/>
        <w:tblLayout w:type="fixed"/>
        <w:tblCellMar>
          <w:top w:w="0" w:type="dxa"/>
          <w:left w:w="108" w:type="dxa"/>
          <w:bottom w:w="0" w:type="dxa"/>
          <w:right w:w="108" w:type="dxa"/>
        </w:tblCellMar>
      </w:tblPr>
      <w:tblGrid>
        <w:gridCol w:w="2211"/>
        <w:gridCol w:w="2211"/>
        <w:gridCol w:w="2211"/>
        <w:gridCol w:w="2211"/>
      </w:tblGrid>
      <w:tr w14:paraId="019BC638">
        <w:tblPrEx>
          <w:tblCellMar>
            <w:top w:w="0" w:type="dxa"/>
            <w:left w:w="108" w:type="dxa"/>
            <w:bottom w:w="0" w:type="dxa"/>
            <w:right w:w="108" w:type="dxa"/>
          </w:tblCellMar>
        </w:tblPrEx>
        <w:trPr>
          <w:jc w:val="center"/>
        </w:trPr>
        <w:tc>
          <w:tcPr>
            <w:tcW w:w="1361" w:type="dxa"/>
            <w:tcBorders>
              <w:top w:val="single" w:color="BFBFBF" w:sz="6" w:space="0"/>
              <w:left w:val="single" w:color="BFBFBF" w:sz="6" w:space="0"/>
              <w:bottom w:val="single" w:color="BFBFBF" w:sz="6" w:space="0"/>
              <w:right w:val="single" w:color="BFBFBF" w:sz="6" w:space="0"/>
              <w:insideH w:val="single" w:sz="6" w:space="0"/>
              <w:insideV w:val="single" w:sz="6" w:space="0"/>
            </w:tcBorders>
            <w:shd w:val="clear" w:color="auto" w:fill="222222"/>
            <w:vAlign w:val="center"/>
          </w:tcPr>
          <w:p w14:paraId="0EF1E973">
            <w:pPr>
              <w:jc w:val="center"/>
            </w:pPr>
            <w:r>
              <w:rPr>
                <w:rFonts w:ascii="Times New Roman" w:hAnsi="Times New Roman" w:eastAsia="黑体"/>
                <w:b/>
                <w:color w:val="FFFFFF"/>
                <w:sz w:val="18"/>
              </w:rPr>
              <w:t>数据集</w:t>
            </w:r>
          </w:p>
        </w:tc>
        <w:tc>
          <w:tcPr>
            <w:tcW w:w="2268" w:type="dxa"/>
            <w:tcBorders>
              <w:top w:val="single" w:color="BFBFBF" w:sz="6" w:space="0"/>
              <w:left w:val="single" w:color="BFBFBF" w:sz="6" w:space="0"/>
              <w:bottom w:val="single" w:color="BFBFBF" w:sz="6" w:space="0"/>
              <w:right w:val="single" w:color="BFBFBF" w:sz="6" w:space="0"/>
              <w:insideH w:val="single" w:sz="6" w:space="0"/>
              <w:insideV w:val="single" w:sz="6" w:space="0"/>
            </w:tcBorders>
            <w:shd w:val="clear" w:color="auto" w:fill="222222"/>
            <w:vAlign w:val="center"/>
          </w:tcPr>
          <w:p w14:paraId="73ADFCEE">
            <w:pPr>
              <w:jc w:val="center"/>
            </w:pPr>
            <w:r>
              <w:rPr>
                <w:rFonts w:ascii="Times New Roman" w:hAnsi="Times New Roman" w:eastAsia="黑体"/>
                <w:b/>
                <w:color w:val="FFFFFF"/>
                <w:sz w:val="18"/>
              </w:rPr>
              <w:t>时间范围</w:t>
            </w:r>
          </w:p>
        </w:tc>
        <w:tc>
          <w:tcPr>
            <w:tcW w:w="1701" w:type="dxa"/>
            <w:tcBorders>
              <w:top w:val="single" w:color="BFBFBF" w:sz="6" w:space="0"/>
              <w:left w:val="single" w:color="BFBFBF" w:sz="6" w:space="0"/>
              <w:bottom w:val="single" w:color="BFBFBF" w:sz="6" w:space="0"/>
              <w:right w:val="single" w:color="BFBFBF" w:sz="6" w:space="0"/>
              <w:insideH w:val="single" w:sz="6" w:space="0"/>
              <w:insideV w:val="single" w:sz="6" w:space="0"/>
            </w:tcBorders>
            <w:shd w:val="clear" w:color="auto" w:fill="222222"/>
            <w:vAlign w:val="center"/>
          </w:tcPr>
          <w:p w14:paraId="44D7BDF2">
            <w:pPr>
              <w:jc w:val="center"/>
            </w:pPr>
            <w:r>
              <w:rPr>
                <w:rFonts w:ascii="Times New Roman" w:hAnsi="Times New Roman" w:eastAsia="黑体"/>
                <w:b/>
                <w:color w:val="FFFFFF"/>
                <w:sz w:val="18"/>
              </w:rPr>
              <w:t>样本行数</w:t>
            </w:r>
          </w:p>
        </w:tc>
        <w:tc>
          <w:tcPr>
            <w:tcW w:w="2381" w:type="dxa"/>
            <w:tcBorders>
              <w:top w:val="single" w:color="BFBFBF" w:sz="6" w:space="0"/>
              <w:left w:val="single" w:color="BFBFBF" w:sz="6" w:space="0"/>
              <w:bottom w:val="single" w:color="BFBFBF" w:sz="6" w:space="0"/>
              <w:right w:val="single" w:color="BFBFBF" w:sz="6" w:space="0"/>
              <w:insideH w:val="single" w:sz="6" w:space="0"/>
              <w:insideV w:val="single" w:sz="6" w:space="0"/>
            </w:tcBorders>
            <w:shd w:val="clear" w:color="auto" w:fill="222222"/>
            <w:vAlign w:val="center"/>
          </w:tcPr>
          <w:p w14:paraId="6702AF5A">
            <w:pPr>
              <w:jc w:val="center"/>
            </w:pPr>
            <w:r>
              <w:rPr>
                <w:rFonts w:ascii="Times New Roman" w:hAnsi="Times New Roman" w:eastAsia="黑体"/>
                <w:b/>
                <w:color w:val="FFFFFF"/>
                <w:sz w:val="18"/>
              </w:rPr>
              <w:t>主要用途</w:t>
            </w:r>
          </w:p>
        </w:tc>
      </w:tr>
      <w:tr w14:paraId="34762A67">
        <w:tblPrEx>
          <w:tblCellMar>
            <w:top w:w="0" w:type="dxa"/>
            <w:left w:w="108" w:type="dxa"/>
            <w:bottom w:w="0" w:type="dxa"/>
            <w:right w:w="108" w:type="dxa"/>
          </w:tblCellMar>
        </w:tblPrEx>
        <w:trPr>
          <w:jc w:val="center"/>
        </w:trPr>
        <w:tc>
          <w:tcPr>
            <w:tcW w:w="1361"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center"/>
          </w:tcPr>
          <w:p w14:paraId="3AF8BFE9">
            <w:pPr>
              <w:jc w:val="center"/>
            </w:pPr>
            <w:r>
              <w:rPr>
                <w:rFonts w:ascii="Times New Roman" w:hAnsi="Times New Roman" w:eastAsia="宋体"/>
                <w:sz w:val="17"/>
              </w:rPr>
              <w:t>训练集</w:t>
            </w:r>
          </w:p>
        </w:tc>
        <w:tc>
          <w:tcPr>
            <w:tcW w:w="2268"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center"/>
          </w:tcPr>
          <w:p w14:paraId="757F98CC">
            <w:pPr>
              <w:jc w:val="center"/>
            </w:pPr>
            <w:r>
              <w:rPr>
                <w:rFonts w:ascii="Times New Roman" w:hAnsi="Times New Roman" w:eastAsia="宋体"/>
                <w:sz w:val="17"/>
              </w:rPr>
              <w:t>2010-02至2017-08</w:t>
            </w:r>
          </w:p>
        </w:tc>
        <w:tc>
          <w:tcPr>
            <w:tcW w:w="1701"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center"/>
          </w:tcPr>
          <w:p w14:paraId="74687746">
            <w:pPr>
              <w:jc w:val="center"/>
            </w:pPr>
            <w:r>
              <w:rPr>
                <w:rFonts w:ascii="Times New Roman" w:hAnsi="Times New Roman" w:eastAsia="宋体"/>
                <w:sz w:val="17"/>
              </w:rPr>
              <w:t>205,360</w:t>
            </w:r>
          </w:p>
        </w:tc>
        <w:tc>
          <w:tcPr>
            <w:tcW w:w="2381"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center"/>
          </w:tcPr>
          <w:p w14:paraId="42D58FDA">
            <w:pPr>
              <w:jc w:val="center"/>
            </w:pPr>
            <w:r>
              <w:rPr>
                <w:rFonts w:ascii="Times New Roman" w:hAnsi="Times New Roman" w:eastAsia="宋体"/>
                <w:sz w:val="17"/>
              </w:rPr>
              <w:t>模型拟合</w:t>
            </w:r>
          </w:p>
        </w:tc>
      </w:tr>
      <w:tr w14:paraId="14680810">
        <w:tblPrEx>
          <w:tblCellMar>
            <w:top w:w="0" w:type="dxa"/>
            <w:left w:w="108" w:type="dxa"/>
            <w:bottom w:w="0" w:type="dxa"/>
            <w:right w:w="108" w:type="dxa"/>
          </w:tblCellMar>
        </w:tblPrEx>
        <w:trPr>
          <w:jc w:val="center"/>
        </w:trPr>
        <w:tc>
          <w:tcPr>
            <w:tcW w:w="1361"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center"/>
          </w:tcPr>
          <w:p w14:paraId="7E5D9B46">
            <w:pPr>
              <w:jc w:val="center"/>
            </w:pPr>
            <w:r>
              <w:rPr>
                <w:rFonts w:ascii="Times New Roman" w:hAnsi="Times New Roman" w:eastAsia="宋体"/>
                <w:sz w:val="17"/>
              </w:rPr>
              <w:t>验证集</w:t>
            </w:r>
          </w:p>
        </w:tc>
        <w:tc>
          <w:tcPr>
            <w:tcW w:w="2268"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center"/>
          </w:tcPr>
          <w:p w14:paraId="6CA103ED">
            <w:pPr>
              <w:jc w:val="center"/>
            </w:pPr>
            <w:r>
              <w:rPr>
                <w:rFonts w:ascii="Times New Roman" w:hAnsi="Times New Roman" w:eastAsia="宋体"/>
                <w:sz w:val="17"/>
              </w:rPr>
              <w:t>2017-08至2019-01</w:t>
            </w:r>
          </w:p>
        </w:tc>
        <w:tc>
          <w:tcPr>
            <w:tcW w:w="1701"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center"/>
          </w:tcPr>
          <w:p w14:paraId="7CE3AAA7">
            <w:pPr>
              <w:jc w:val="center"/>
            </w:pPr>
            <w:r>
              <w:rPr>
                <w:rFonts w:ascii="Times New Roman" w:hAnsi="Times New Roman" w:eastAsia="宋体"/>
                <w:sz w:val="17"/>
              </w:rPr>
              <w:t>40,800</w:t>
            </w:r>
          </w:p>
        </w:tc>
        <w:tc>
          <w:tcPr>
            <w:tcW w:w="2381"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center"/>
          </w:tcPr>
          <w:p w14:paraId="28E26712">
            <w:pPr>
              <w:jc w:val="center"/>
            </w:pPr>
            <w:r>
              <w:rPr>
                <w:rFonts w:ascii="Times New Roman" w:hAnsi="Times New Roman" w:eastAsia="宋体"/>
                <w:sz w:val="17"/>
              </w:rPr>
              <w:t>超参数选择</w:t>
            </w:r>
          </w:p>
        </w:tc>
      </w:tr>
      <w:tr w14:paraId="043DABFD">
        <w:tblPrEx>
          <w:tblCellMar>
            <w:top w:w="0" w:type="dxa"/>
            <w:left w:w="108" w:type="dxa"/>
            <w:bottom w:w="0" w:type="dxa"/>
            <w:right w:w="108" w:type="dxa"/>
          </w:tblCellMar>
        </w:tblPrEx>
        <w:trPr>
          <w:jc w:val="center"/>
        </w:trPr>
        <w:tc>
          <w:tcPr>
            <w:tcW w:w="1361"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center"/>
          </w:tcPr>
          <w:p w14:paraId="6BF7128E">
            <w:pPr>
              <w:jc w:val="center"/>
            </w:pPr>
            <w:r>
              <w:rPr>
                <w:rFonts w:ascii="Times New Roman" w:hAnsi="Times New Roman" w:eastAsia="宋体"/>
                <w:sz w:val="17"/>
              </w:rPr>
              <w:t>测试集</w:t>
            </w:r>
          </w:p>
        </w:tc>
        <w:tc>
          <w:tcPr>
            <w:tcW w:w="2268"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center"/>
          </w:tcPr>
          <w:p w14:paraId="2D35CF24">
            <w:pPr>
              <w:jc w:val="center"/>
            </w:pPr>
            <w:r>
              <w:rPr>
                <w:rFonts w:ascii="Times New Roman" w:hAnsi="Times New Roman" w:eastAsia="宋体"/>
                <w:sz w:val="17"/>
              </w:rPr>
              <w:t>2019-02至2020-07</w:t>
            </w:r>
          </w:p>
        </w:tc>
        <w:tc>
          <w:tcPr>
            <w:tcW w:w="1701"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center"/>
          </w:tcPr>
          <w:p w14:paraId="34F03BD3">
            <w:pPr>
              <w:jc w:val="center"/>
            </w:pPr>
            <w:r>
              <w:rPr>
                <w:rFonts w:ascii="Times New Roman" w:hAnsi="Times New Roman" w:eastAsia="宋体"/>
                <w:sz w:val="17"/>
              </w:rPr>
              <w:t>43,208</w:t>
            </w:r>
          </w:p>
        </w:tc>
        <w:tc>
          <w:tcPr>
            <w:tcW w:w="2381"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center"/>
          </w:tcPr>
          <w:p w14:paraId="6B3A380F">
            <w:pPr>
              <w:jc w:val="center"/>
            </w:pPr>
            <w:r>
              <w:rPr>
                <w:rFonts w:ascii="Times New Roman" w:hAnsi="Times New Roman" w:eastAsia="宋体"/>
                <w:sz w:val="17"/>
              </w:rPr>
              <w:t>分类泛化评估</w:t>
            </w:r>
          </w:p>
        </w:tc>
      </w:tr>
      <w:tr w14:paraId="0C3E9AED">
        <w:tblPrEx>
          <w:tblCellMar>
            <w:top w:w="0" w:type="dxa"/>
            <w:left w:w="108" w:type="dxa"/>
            <w:bottom w:w="0" w:type="dxa"/>
            <w:right w:w="108" w:type="dxa"/>
          </w:tblCellMar>
        </w:tblPrEx>
        <w:trPr>
          <w:jc w:val="center"/>
        </w:trPr>
        <w:tc>
          <w:tcPr>
            <w:tcW w:w="1361"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center"/>
          </w:tcPr>
          <w:p w14:paraId="1AEA554F">
            <w:pPr>
              <w:jc w:val="center"/>
            </w:pPr>
            <w:r>
              <w:rPr>
                <w:rFonts w:ascii="Times New Roman" w:hAnsi="Times New Roman" w:eastAsia="宋体"/>
                <w:sz w:val="17"/>
              </w:rPr>
              <w:t>回测集</w:t>
            </w:r>
          </w:p>
        </w:tc>
        <w:tc>
          <w:tcPr>
            <w:tcW w:w="2268"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center"/>
          </w:tcPr>
          <w:p w14:paraId="2095312F">
            <w:pPr>
              <w:jc w:val="center"/>
            </w:pPr>
            <w:r>
              <w:rPr>
                <w:rFonts w:ascii="Times New Roman" w:hAnsi="Times New Roman" w:eastAsia="宋体"/>
                <w:sz w:val="17"/>
              </w:rPr>
              <w:t>2020-08至2025-04</w:t>
            </w:r>
          </w:p>
        </w:tc>
        <w:tc>
          <w:tcPr>
            <w:tcW w:w="1701"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center"/>
          </w:tcPr>
          <w:p w14:paraId="7A3106A3">
            <w:pPr>
              <w:jc w:val="center"/>
            </w:pPr>
            <w:r>
              <w:rPr>
                <w:rFonts w:ascii="Times New Roman" w:hAnsi="Times New Roman" w:eastAsia="宋体"/>
                <w:sz w:val="17"/>
              </w:rPr>
              <w:t>136,792</w:t>
            </w:r>
          </w:p>
        </w:tc>
        <w:tc>
          <w:tcPr>
            <w:tcW w:w="2381"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center"/>
          </w:tcPr>
          <w:p w14:paraId="192BDA51">
            <w:pPr>
              <w:jc w:val="center"/>
            </w:pPr>
            <w:r>
              <w:rPr>
                <w:rFonts w:ascii="Times New Roman" w:hAnsi="Times New Roman" w:eastAsia="宋体"/>
                <w:sz w:val="17"/>
              </w:rPr>
              <w:t>样本外策略回测</w:t>
            </w:r>
          </w:p>
        </w:tc>
      </w:tr>
    </w:tbl>
    <w:p w14:paraId="61F33148"/>
    <w:p w14:paraId="10D65E98">
      <w:pPr>
        <w:spacing w:before="280" w:after="160"/>
      </w:pPr>
      <w:r>
        <w:rPr>
          <w:rFonts w:ascii="Times New Roman" w:hAnsi="Times New Roman" w:eastAsia="黑体"/>
          <w:b/>
          <w:sz w:val="30"/>
        </w:rPr>
        <w:t>3 因子体系与标签构造</w:t>
      </w:r>
    </w:p>
    <w:p w14:paraId="3BB68C43">
      <w:pPr>
        <w:spacing w:after="120" w:line="360" w:lineRule="auto"/>
        <w:ind w:firstLine="420"/>
        <w:jc w:val="both"/>
      </w:pPr>
      <w:r>
        <w:rPr>
          <w:rFonts w:ascii="Times New Roman" w:hAnsi="Times New Roman" w:eastAsia="宋体"/>
          <w:sz w:val="21"/>
        </w:rPr>
        <w:t>本文共使用24个因子，覆盖估值、规模、交易行为、动量技术、成长、盈利质量和偿债能力等维度。估值类因子用于刻画价格相对基本面的高低，成长和盈利因子用于衡量公司经营扩张和盈利质量，杠杆与流动性因子用于描述财务风险，动量和技术类因子则补充市场交易行为信息。为了使不同量纲的因子可以被模型共同使用，研究过程中对因子进行截面去极值、缺失值填充和标准化处理。</w:t>
      </w:r>
    </w:p>
    <w:p w14:paraId="5BBE88C0">
      <w:pPr>
        <w:spacing w:after="160"/>
        <w:jc w:val="center"/>
      </w:pPr>
      <w:r>
        <w:rPr>
          <w:rFonts w:ascii="Times New Roman" w:hAnsi="Times New Roman" w:eastAsia="宋体"/>
          <w:color w:val="666666"/>
          <w:sz w:val="18"/>
        </w:rPr>
        <w:t>表2 因子体系</w:t>
      </w:r>
    </w:p>
    <w:tbl>
      <w:tblPr>
        <w:tblStyle w:val="32"/>
        <w:tblW w:w="0" w:type="auto"/>
        <w:jc w:val="center"/>
        <w:tblLayout w:type="fixed"/>
        <w:tblCellMar>
          <w:top w:w="0" w:type="dxa"/>
          <w:left w:w="108" w:type="dxa"/>
          <w:bottom w:w="0" w:type="dxa"/>
          <w:right w:w="108" w:type="dxa"/>
        </w:tblCellMar>
      </w:tblPr>
      <w:tblGrid>
        <w:gridCol w:w="4422"/>
        <w:gridCol w:w="4422"/>
      </w:tblGrid>
      <w:tr w14:paraId="2E0E0608">
        <w:tblPrEx>
          <w:tblCellMar>
            <w:top w:w="0" w:type="dxa"/>
            <w:left w:w="108" w:type="dxa"/>
            <w:bottom w:w="0" w:type="dxa"/>
            <w:right w:w="108" w:type="dxa"/>
          </w:tblCellMar>
        </w:tblPrEx>
        <w:trPr>
          <w:jc w:val="center"/>
        </w:trPr>
        <w:tc>
          <w:tcPr>
            <w:tcW w:w="1814" w:type="dxa"/>
            <w:tcBorders>
              <w:top w:val="single" w:color="BFBFBF" w:sz="6" w:space="0"/>
              <w:left w:val="single" w:color="BFBFBF" w:sz="6" w:space="0"/>
              <w:bottom w:val="single" w:color="BFBFBF" w:sz="6" w:space="0"/>
              <w:right w:val="single" w:color="BFBFBF" w:sz="6" w:space="0"/>
              <w:insideH w:val="single" w:sz="6" w:space="0"/>
              <w:insideV w:val="single" w:sz="6" w:space="0"/>
            </w:tcBorders>
            <w:shd w:val="clear" w:color="auto" w:fill="222222"/>
            <w:vAlign w:val="center"/>
          </w:tcPr>
          <w:p w14:paraId="66C625FE">
            <w:pPr>
              <w:jc w:val="center"/>
            </w:pPr>
            <w:r>
              <w:rPr>
                <w:rFonts w:ascii="Times New Roman" w:hAnsi="Times New Roman" w:eastAsia="黑体"/>
                <w:b/>
                <w:color w:val="FFFFFF"/>
                <w:sz w:val="18"/>
              </w:rPr>
              <w:t>因子类别</w:t>
            </w:r>
          </w:p>
        </w:tc>
        <w:tc>
          <w:tcPr>
            <w:tcW w:w="5783" w:type="dxa"/>
            <w:tcBorders>
              <w:top w:val="single" w:color="BFBFBF" w:sz="6" w:space="0"/>
              <w:left w:val="single" w:color="BFBFBF" w:sz="6" w:space="0"/>
              <w:bottom w:val="single" w:color="BFBFBF" w:sz="6" w:space="0"/>
              <w:right w:val="single" w:color="BFBFBF" w:sz="6" w:space="0"/>
              <w:insideH w:val="single" w:sz="6" w:space="0"/>
              <w:insideV w:val="single" w:sz="6" w:space="0"/>
            </w:tcBorders>
            <w:shd w:val="clear" w:color="auto" w:fill="222222"/>
            <w:vAlign w:val="center"/>
          </w:tcPr>
          <w:p w14:paraId="5F182F15">
            <w:pPr>
              <w:jc w:val="center"/>
            </w:pPr>
            <w:r>
              <w:rPr>
                <w:rFonts w:ascii="Times New Roman" w:hAnsi="Times New Roman" w:eastAsia="黑体"/>
                <w:b/>
                <w:color w:val="FFFFFF"/>
                <w:sz w:val="18"/>
              </w:rPr>
              <w:t>主要变量</w:t>
            </w:r>
          </w:p>
        </w:tc>
      </w:tr>
      <w:tr w14:paraId="050C5421">
        <w:tblPrEx>
          <w:tblCellMar>
            <w:top w:w="0" w:type="dxa"/>
            <w:left w:w="108" w:type="dxa"/>
            <w:bottom w:w="0" w:type="dxa"/>
            <w:right w:w="108" w:type="dxa"/>
          </w:tblCellMar>
        </w:tblPrEx>
        <w:trPr>
          <w:jc w:val="center"/>
        </w:trPr>
        <w:tc>
          <w:tcPr>
            <w:tcW w:w="1814"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center"/>
          </w:tcPr>
          <w:p w14:paraId="23EE91F4">
            <w:pPr>
              <w:jc w:val="center"/>
            </w:pPr>
            <w:r>
              <w:rPr>
                <w:rFonts w:ascii="Times New Roman" w:hAnsi="Times New Roman" w:eastAsia="宋体"/>
                <w:sz w:val="17"/>
              </w:rPr>
              <w:t>估值</w:t>
            </w:r>
          </w:p>
        </w:tc>
        <w:tc>
          <w:tcPr>
            <w:tcW w:w="5783"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center"/>
          </w:tcPr>
          <w:p w14:paraId="10D4A926">
            <w:pPr>
              <w:jc w:val="center"/>
            </w:pPr>
            <w:r>
              <w:rPr>
                <w:rFonts w:ascii="Times New Roman" w:hAnsi="Times New Roman" w:eastAsia="宋体"/>
                <w:sz w:val="17"/>
              </w:rPr>
              <w:t>profit_to_market, book_to_market, sales_to_market, cashflow_to_market</w:t>
            </w:r>
          </w:p>
        </w:tc>
      </w:tr>
      <w:tr w14:paraId="30D89392">
        <w:tblPrEx>
          <w:tblCellMar>
            <w:top w:w="0" w:type="dxa"/>
            <w:left w:w="108" w:type="dxa"/>
            <w:bottom w:w="0" w:type="dxa"/>
            <w:right w:w="108" w:type="dxa"/>
          </w:tblCellMar>
        </w:tblPrEx>
        <w:trPr>
          <w:jc w:val="center"/>
        </w:trPr>
        <w:tc>
          <w:tcPr>
            <w:tcW w:w="1814"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center"/>
          </w:tcPr>
          <w:p w14:paraId="403F4327">
            <w:pPr>
              <w:jc w:val="center"/>
            </w:pPr>
            <w:r>
              <w:rPr>
                <w:rFonts w:ascii="Times New Roman" w:hAnsi="Times New Roman" w:eastAsia="宋体"/>
                <w:sz w:val="17"/>
              </w:rPr>
              <w:t>规模与交易</w:t>
            </w:r>
          </w:p>
        </w:tc>
        <w:tc>
          <w:tcPr>
            <w:tcW w:w="5783"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center"/>
          </w:tcPr>
          <w:p w14:paraId="02239563">
            <w:pPr>
              <w:jc w:val="center"/>
            </w:pPr>
            <w:r>
              <w:rPr>
                <w:rFonts w:ascii="Times New Roman" w:hAnsi="Times New Roman" w:eastAsia="宋体"/>
                <w:sz w:val="17"/>
              </w:rPr>
              <w:t>log_mv, turnover20, turnover60, beta</w:t>
            </w:r>
          </w:p>
        </w:tc>
      </w:tr>
      <w:tr w14:paraId="2A4845E9">
        <w:tblPrEx>
          <w:tblCellMar>
            <w:top w:w="0" w:type="dxa"/>
            <w:left w:w="108" w:type="dxa"/>
            <w:bottom w:w="0" w:type="dxa"/>
            <w:right w:w="108" w:type="dxa"/>
          </w:tblCellMar>
        </w:tblPrEx>
        <w:trPr>
          <w:jc w:val="center"/>
        </w:trPr>
        <w:tc>
          <w:tcPr>
            <w:tcW w:w="1814"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center"/>
          </w:tcPr>
          <w:p w14:paraId="61BA3CB8">
            <w:pPr>
              <w:jc w:val="center"/>
            </w:pPr>
            <w:r>
              <w:rPr>
                <w:rFonts w:ascii="Times New Roman" w:hAnsi="Times New Roman" w:eastAsia="宋体"/>
                <w:sz w:val="17"/>
              </w:rPr>
              <w:t>动量与技术</w:t>
            </w:r>
          </w:p>
        </w:tc>
        <w:tc>
          <w:tcPr>
            <w:tcW w:w="5783"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center"/>
          </w:tcPr>
          <w:p w14:paraId="4462F85B">
            <w:pPr>
              <w:jc w:val="center"/>
            </w:pPr>
            <w:r>
              <w:rPr>
                <w:rFonts w:ascii="Times New Roman" w:hAnsi="Times New Roman" w:eastAsia="宋体"/>
                <w:sz w:val="17"/>
              </w:rPr>
              <w:t>mom20, mom60, macd_close, mfi</w:t>
            </w:r>
          </w:p>
        </w:tc>
      </w:tr>
      <w:tr w14:paraId="29EBA0B3">
        <w:tblPrEx>
          <w:tblCellMar>
            <w:top w:w="0" w:type="dxa"/>
            <w:left w:w="108" w:type="dxa"/>
            <w:bottom w:w="0" w:type="dxa"/>
            <w:right w:w="108" w:type="dxa"/>
          </w:tblCellMar>
        </w:tblPrEx>
        <w:trPr>
          <w:jc w:val="center"/>
        </w:trPr>
        <w:tc>
          <w:tcPr>
            <w:tcW w:w="1814"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center"/>
          </w:tcPr>
          <w:p w14:paraId="24E5F470">
            <w:pPr>
              <w:jc w:val="center"/>
            </w:pPr>
            <w:r>
              <w:rPr>
                <w:rFonts w:ascii="Times New Roman" w:hAnsi="Times New Roman" w:eastAsia="宋体"/>
                <w:sz w:val="17"/>
              </w:rPr>
              <w:t>成长</w:t>
            </w:r>
          </w:p>
        </w:tc>
        <w:tc>
          <w:tcPr>
            <w:tcW w:w="5783"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center"/>
          </w:tcPr>
          <w:p w14:paraId="696DAB69">
            <w:pPr>
              <w:jc w:val="center"/>
            </w:pPr>
            <w:r>
              <w:rPr>
                <w:rFonts w:ascii="Times New Roman" w:hAnsi="Times New Roman" w:eastAsia="宋体"/>
                <w:sz w:val="17"/>
              </w:rPr>
              <w:t>revenue_yoy, netprofit_yoy, ocf_yoy</w:t>
            </w:r>
          </w:p>
        </w:tc>
      </w:tr>
      <w:tr w14:paraId="5134708B">
        <w:tblPrEx>
          <w:tblCellMar>
            <w:top w:w="0" w:type="dxa"/>
            <w:left w:w="108" w:type="dxa"/>
            <w:bottom w:w="0" w:type="dxa"/>
            <w:right w:w="108" w:type="dxa"/>
          </w:tblCellMar>
        </w:tblPrEx>
        <w:trPr>
          <w:jc w:val="center"/>
        </w:trPr>
        <w:tc>
          <w:tcPr>
            <w:tcW w:w="1814"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center"/>
          </w:tcPr>
          <w:p w14:paraId="2A39A0A3">
            <w:pPr>
              <w:jc w:val="center"/>
            </w:pPr>
            <w:r>
              <w:rPr>
                <w:rFonts w:ascii="Times New Roman" w:hAnsi="Times New Roman" w:eastAsia="宋体"/>
                <w:sz w:val="17"/>
              </w:rPr>
              <w:t>盈利质量</w:t>
            </w:r>
          </w:p>
        </w:tc>
        <w:tc>
          <w:tcPr>
            <w:tcW w:w="5783"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center"/>
          </w:tcPr>
          <w:p w14:paraId="07B4DC15">
            <w:pPr>
              <w:jc w:val="center"/>
            </w:pPr>
            <w:r>
              <w:rPr>
                <w:rFonts w:ascii="Times New Roman" w:hAnsi="Times New Roman" w:eastAsia="宋体"/>
                <w:sz w:val="17"/>
              </w:rPr>
              <w:t>roe, roa, grossprofit_margin, netprofit_margin, assets_turn</w:t>
            </w:r>
          </w:p>
        </w:tc>
      </w:tr>
      <w:tr w14:paraId="55EDB1AB">
        <w:tblPrEx>
          <w:tblCellMar>
            <w:top w:w="0" w:type="dxa"/>
            <w:left w:w="108" w:type="dxa"/>
            <w:bottom w:w="0" w:type="dxa"/>
            <w:right w:w="108" w:type="dxa"/>
          </w:tblCellMar>
        </w:tblPrEx>
        <w:trPr>
          <w:jc w:val="center"/>
        </w:trPr>
        <w:tc>
          <w:tcPr>
            <w:tcW w:w="1814"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center"/>
          </w:tcPr>
          <w:p w14:paraId="097CEF56">
            <w:pPr>
              <w:jc w:val="center"/>
            </w:pPr>
            <w:r>
              <w:rPr>
                <w:rFonts w:ascii="Times New Roman" w:hAnsi="Times New Roman" w:eastAsia="宋体"/>
                <w:sz w:val="17"/>
              </w:rPr>
              <w:t>偿债能力</w:t>
            </w:r>
          </w:p>
        </w:tc>
        <w:tc>
          <w:tcPr>
            <w:tcW w:w="5783"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center"/>
          </w:tcPr>
          <w:p w14:paraId="3D52D37E">
            <w:pPr>
              <w:jc w:val="center"/>
            </w:pPr>
            <w:r>
              <w:rPr>
                <w:rFonts w:ascii="Times New Roman" w:hAnsi="Times New Roman" w:eastAsia="宋体"/>
                <w:sz w:val="17"/>
              </w:rPr>
              <w:t>debt_to_assets, longdebt_to_assets, current_ratio, cash_ratio</w:t>
            </w:r>
          </w:p>
        </w:tc>
      </w:tr>
    </w:tbl>
    <w:p w14:paraId="66E86090"/>
    <w:p w14:paraId="500FE4F0">
      <w:pPr>
        <w:spacing w:after="120" w:line="360" w:lineRule="auto"/>
        <w:ind w:firstLine="420"/>
        <w:jc w:val="both"/>
      </w:pPr>
      <w:r>
        <w:rPr>
          <w:rFonts w:ascii="Times New Roman" w:hAnsi="Times New Roman" w:eastAsia="宋体"/>
          <w:sz w:val="21"/>
        </w:rPr>
        <w:t>标签构造采用截面分类思路：在每个调仓截面中，先计算个股下一调仓期收益相对中证500指数收益的超额收益，再将超额收益排名前30%的股票记为正样本1，排名后30%的股票记为负样本0，中间40%样本剔除。该设计并不直接预测收益率数值，而是将任务转化为“哪些股票更可能进入未来超额收益较高组”的排序问题，更符合机器学习选股中按分数构建组合的使用方式。</w:t>
      </w:r>
    </w:p>
    <w:p w14:paraId="2F6138CB">
      <w:pPr>
        <w:spacing w:before="280" w:after="160"/>
      </w:pPr>
      <w:r>
        <w:rPr>
          <w:rFonts w:ascii="Times New Roman" w:hAnsi="Times New Roman" w:eastAsia="黑体"/>
          <w:b/>
          <w:sz w:val="30"/>
        </w:rPr>
        <w:t>4 机器学习模型与参数调优</w:t>
      </w:r>
    </w:p>
    <w:p w14:paraId="1BF62AC0">
      <w:pPr>
        <w:spacing w:after="120" w:line="360" w:lineRule="auto"/>
        <w:ind w:firstLine="420"/>
        <w:jc w:val="both"/>
      </w:pPr>
      <w:r>
        <w:rPr>
          <w:rFonts w:ascii="Times New Roman" w:hAnsi="Times New Roman" w:eastAsia="宋体"/>
          <w:sz w:val="21"/>
        </w:rPr>
        <w:t>研究使用Random Forest、XGBoost和LightGBM三类树模型。Random Forest属于Bagging框架，通过多棵树并行训练并平均投票降低方差，通常对噪声和异常样本更稳健。XGBoost和LightGBM属于Boosting框架，通过逐轮修正前一轮模型的残差或梯度方向提升拟合能力，理论上更适合捕捉复杂非线性关系和因子交互，但也更容易在金融噪声中出现过拟合。因此，本研究对Boosting模型重点控制树深、学习率、叶子样本数、列采样、行采样和正则化强度。</w:t>
      </w:r>
    </w:p>
    <w:p w14:paraId="157A269D">
      <w:pPr>
        <w:jc w:val="center"/>
      </w:pPr>
      <w:r>
        <w:drawing>
          <wp:inline distT="0" distB="0" distL="114300" distR="114300">
            <wp:extent cx="5486400" cy="271145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486400" cy="2711669"/>
                    </a:xfrm>
                    <a:prstGeom prst="rect">
                      <a:avLst/>
                    </a:prstGeom>
                  </pic:spPr>
                </pic:pic>
              </a:graphicData>
            </a:graphic>
          </wp:inline>
        </w:drawing>
      </w:r>
    </w:p>
    <w:p w14:paraId="01826CC6">
      <w:pPr>
        <w:spacing w:after="160"/>
        <w:jc w:val="center"/>
      </w:pPr>
      <w:r>
        <w:rPr>
          <w:rFonts w:ascii="Times New Roman" w:hAnsi="Times New Roman" w:eastAsia="宋体"/>
          <w:color w:val="666666"/>
          <w:sz w:val="18"/>
        </w:rPr>
        <w:t>图2 验证集选参后的训练、验证与测试准确率</w:t>
      </w:r>
    </w:p>
    <w:p w14:paraId="2F248C33">
      <w:pPr>
        <w:spacing w:after="160"/>
        <w:jc w:val="center"/>
      </w:pPr>
      <w:r>
        <w:rPr>
          <w:rFonts w:ascii="Times New Roman" w:hAnsi="Times New Roman" w:eastAsia="宋体"/>
          <w:color w:val="666666"/>
          <w:sz w:val="18"/>
        </w:rPr>
        <w:t>表3 验证集选出的主要模型参数</w:t>
      </w:r>
    </w:p>
    <w:tbl>
      <w:tblPr>
        <w:tblStyle w:val="32"/>
        <w:tblW w:w="0" w:type="auto"/>
        <w:jc w:val="center"/>
        <w:tblLayout w:type="fixed"/>
        <w:tblCellMar>
          <w:top w:w="0" w:type="dxa"/>
          <w:left w:w="108" w:type="dxa"/>
          <w:bottom w:w="0" w:type="dxa"/>
          <w:right w:w="108" w:type="dxa"/>
        </w:tblCellMar>
      </w:tblPr>
      <w:tblGrid>
        <w:gridCol w:w="1769"/>
        <w:gridCol w:w="1769"/>
        <w:gridCol w:w="1769"/>
        <w:gridCol w:w="1769"/>
        <w:gridCol w:w="1769"/>
      </w:tblGrid>
      <w:tr w14:paraId="4C1ACCA1">
        <w:tblPrEx>
          <w:tblCellMar>
            <w:top w:w="0" w:type="dxa"/>
            <w:left w:w="108" w:type="dxa"/>
            <w:bottom w:w="0" w:type="dxa"/>
            <w:right w:w="108" w:type="dxa"/>
          </w:tblCellMar>
        </w:tblPrEx>
        <w:trPr>
          <w:jc w:val="center"/>
        </w:trPr>
        <w:tc>
          <w:tcPr>
            <w:tcW w:w="1474" w:type="dxa"/>
            <w:tcBorders>
              <w:top w:val="single" w:color="BFBFBF" w:sz="6" w:space="0"/>
              <w:left w:val="single" w:color="BFBFBF" w:sz="6" w:space="0"/>
              <w:bottom w:val="single" w:color="BFBFBF" w:sz="6" w:space="0"/>
              <w:right w:val="single" w:color="BFBFBF" w:sz="6" w:space="0"/>
              <w:insideH w:val="single" w:sz="6" w:space="0"/>
              <w:insideV w:val="single" w:sz="6" w:space="0"/>
            </w:tcBorders>
            <w:shd w:val="clear" w:color="auto" w:fill="222222"/>
            <w:vAlign w:val="center"/>
          </w:tcPr>
          <w:p w14:paraId="1A802487">
            <w:pPr>
              <w:jc w:val="center"/>
            </w:pPr>
            <w:r>
              <w:rPr>
                <w:rFonts w:ascii="Times New Roman" w:hAnsi="Times New Roman" w:eastAsia="黑体"/>
                <w:b/>
                <w:color w:val="FFFFFF"/>
                <w:sz w:val="18"/>
              </w:rPr>
              <w:t>模型</w:t>
            </w:r>
          </w:p>
        </w:tc>
        <w:tc>
          <w:tcPr>
            <w:tcW w:w="1134" w:type="dxa"/>
            <w:tcBorders>
              <w:top w:val="single" w:color="BFBFBF" w:sz="6" w:space="0"/>
              <w:left w:val="single" w:color="BFBFBF" w:sz="6" w:space="0"/>
              <w:bottom w:val="single" w:color="BFBFBF" w:sz="6" w:space="0"/>
              <w:right w:val="single" w:color="BFBFBF" w:sz="6" w:space="0"/>
              <w:insideH w:val="single" w:sz="6" w:space="0"/>
              <w:insideV w:val="single" w:sz="6" w:space="0"/>
            </w:tcBorders>
            <w:shd w:val="clear" w:color="auto" w:fill="222222"/>
            <w:vAlign w:val="center"/>
          </w:tcPr>
          <w:p w14:paraId="246E683B">
            <w:pPr>
              <w:jc w:val="center"/>
            </w:pPr>
            <w:r>
              <w:rPr>
                <w:rFonts w:ascii="Times New Roman" w:hAnsi="Times New Roman" w:eastAsia="黑体"/>
                <w:b/>
                <w:color w:val="FFFFFF"/>
                <w:sz w:val="18"/>
              </w:rPr>
              <w:t>树数量</w:t>
            </w:r>
          </w:p>
        </w:tc>
        <w:tc>
          <w:tcPr>
            <w:tcW w:w="1134" w:type="dxa"/>
            <w:tcBorders>
              <w:top w:val="single" w:color="BFBFBF" w:sz="6" w:space="0"/>
              <w:left w:val="single" w:color="BFBFBF" w:sz="6" w:space="0"/>
              <w:bottom w:val="single" w:color="BFBFBF" w:sz="6" w:space="0"/>
              <w:right w:val="single" w:color="BFBFBF" w:sz="6" w:space="0"/>
              <w:insideH w:val="single" w:sz="6" w:space="0"/>
              <w:insideV w:val="single" w:sz="6" w:space="0"/>
            </w:tcBorders>
            <w:shd w:val="clear" w:color="auto" w:fill="222222"/>
            <w:vAlign w:val="center"/>
          </w:tcPr>
          <w:p w14:paraId="525AB877">
            <w:pPr>
              <w:jc w:val="center"/>
            </w:pPr>
            <w:r>
              <w:rPr>
                <w:rFonts w:ascii="Times New Roman" w:hAnsi="Times New Roman" w:eastAsia="黑体"/>
                <w:b/>
                <w:color w:val="FFFFFF"/>
                <w:sz w:val="18"/>
              </w:rPr>
              <w:t>最大深度</w:t>
            </w:r>
          </w:p>
        </w:tc>
        <w:tc>
          <w:tcPr>
            <w:tcW w:w="1701" w:type="dxa"/>
            <w:tcBorders>
              <w:top w:val="single" w:color="BFBFBF" w:sz="6" w:space="0"/>
              <w:left w:val="single" w:color="BFBFBF" w:sz="6" w:space="0"/>
              <w:bottom w:val="single" w:color="BFBFBF" w:sz="6" w:space="0"/>
              <w:right w:val="single" w:color="BFBFBF" w:sz="6" w:space="0"/>
              <w:insideH w:val="single" w:sz="6" w:space="0"/>
              <w:insideV w:val="single" w:sz="6" w:space="0"/>
            </w:tcBorders>
            <w:shd w:val="clear" w:color="auto" w:fill="222222"/>
            <w:vAlign w:val="center"/>
          </w:tcPr>
          <w:p w14:paraId="6B43AD3C">
            <w:pPr>
              <w:jc w:val="center"/>
            </w:pPr>
            <w:r>
              <w:rPr>
                <w:rFonts w:ascii="Times New Roman" w:hAnsi="Times New Roman" w:eastAsia="黑体"/>
                <w:b/>
                <w:color w:val="FFFFFF"/>
                <w:sz w:val="18"/>
              </w:rPr>
              <w:t>叶子/样本约束</w:t>
            </w:r>
          </w:p>
        </w:tc>
        <w:tc>
          <w:tcPr>
            <w:tcW w:w="2835" w:type="dxa"/>
            <w:tcBorders>
              <w:top w:val="single" w:color="BFBFBF" w:sz="6" w:space="0"/>
              <w:left w:val="single" w:color="BFBFBF" w:sz="6" w:space="0"/>
              <w:bottom w:val="single" w:color="BFBFBF" w:sz="6" w:space="0"/>
              <w:right w:val="single" w:color="BFBFBF" w:sz="6" w:space="0"/>
              <w:insideH w:val="single" w:sz="6" w:space="0"/>
              <w:insideV w:val="single" w:sz="6" w:space="0"/>
            </w:tcBorders>
            <w:shd w:val="clear" w:color="auto" w:fill="222222"/>
            <w:vAlign w:val="center"/>
          </w:tcPr>
          <w:p w14:paraId="68B1BFD7">
            <w:pPr>
              <w:jc w:val="center"/>
            </w:pPr>
            <w:r>
              <w:rPr>
                <w:rFonts w:ascii="Times New Roman" w:hAnsi="Times New Roman" w:eastAsia="黑体"/>
                <w:b/>
                <w:color w:val="FFFFFF"/>
                <w:sz w:val="18"/>
              </w:rPr>
              <w:t>其他约束</w:t>
            </w:r>
          </w:p>
        </w:tc>
      </w:tr>
      <w:tr w14:paraId="7D018E67">
        <w:tblPrEx>
          <w:tblCellMar>
            <w:top w:w="0" w:type="dxa"/>
            <w:left w:w="108" w:type="dxa"/>
            <w:bottom w:w="0" w:type="dxa"/>
            <w:right w:w="108" w:type="dxa"/>
          </w:tblCellMar>
        </w:tblPrEx>
        <w:trPr>
          <w:jc w:val="center"/>
        </w:trPr>
        <w:tc>
          <w:tcPr>
            <w:tcW w:w="1474"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center"/>
          </w:tcPr>
          <w:p w14:paraId="7F8D8777">
            <w:pPr>
              <w:jc w:val="center"/>
            </w:pPr>
            <w:r>
              <w:rPr>
                <w:rFonts w:ascii="Times New Roman" w:hAnsi="Times New Roman" w:eastAsia="宋体"/>
                <w:sz w:val="17"/>
              </w:rPr>
              <w:t>Random Forest</w:t>
            </w:r>
          </w:p>
        </w:tc>
        <w:tc>
          <w:tcPr>
            <w:tcW w:w="1134"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center"/>
          </w:tcPr>
          <w:p w14:paraId="25861119">
            <w:pPr>
              <w:jc w:val="center"/>
            </w:pPr>
            <w:r>
              <w:rPr>
                <w:rFonts w:ascii="Times New Roman" w:hAnsi="Times New Roman" w:eastAsia="宋体"/>
                <w:sz w:val="17"/>
              </w:rPr>
              <w:t>200</w:t>
            </w:r>
          </w:p>
        </w:tc>
        <w:tc>
          <w:tcPr>
            <w:tcW w:w="1134"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center"/>
          </w:tcPr>
          <w:p w14:paraId="78FD9A78">
            <w:pPr>
              <w:jc w:val="center"/>
            </w:pPr>
            <w:r>
              <w:rPr>
                <w:rFonts w:ascii="Times New Roman" w:hAnsi="Times New Roman" w:eastAsia="宋体"/>
                <w:sz w:val="17"/>
              </w:rPr>
              <w:t>6</w:t>
            </w:r>
          </w:p>
        </w:tc>
        <w:tc>
          <w:tcPr>
            <w:tcW w:w="1701"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center"/>
          </w:tcPr>
          <w:p w14:paraId="5E381608">
            <w:pPr>
              <w:jc w:val="center"/>
            </w:pPr>
            <w:r>
              <w:rPr>
                <w:rFonts w:ascii="Times New Roman" w:hAnsi="Times New Roman" w:eastAsia="宋体"/>
                <w:sz w:val="17"/>
              </w:rPr>
              <w:t>50</w:t>
            </w:r>
          </w:p>
        </w:tc>
        <w:tc>
          <w:tcPr>
            <w:tcW w:w="2835"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center"/>
          </w:tcPr>
          <w:p w14:paraId="31D1E576">
            <w:pPr>
              <w:jc w:val="center"/>
            </w:pPr>
            <w:r>
              <w:rPr>
                <w:rFonts w:ascii="Times New Roman" w:hAnsi="Times New Roman" w:eastAsia="宋体"/>
                <w:sz w:val="17"/>
              </w:rPr>
              <w:t>max_features=sqrt; class_weight=balanced_subsample</w:t>
            </w:r>
          </w:p>
        </w:tc>
      </w:tr>
      <w:tr w14:paraId="74A35597">
        <w:tblPrEx>
          <w:tblCellMar>
            <w:top w:w="0" w:type="dxa"/>
            <w:left w:w="108" w:type="dxa"/>
            <w:bottom w:w="0" w:type="dxa"/>
            <w:right w:w="108" w:type="dxa"/>
          </w:tblCellMar>
        </w:tblPrEx>
        <w:trPr>
          <w:jc w:val="center"/>
        </w:trPr>
        <w:tc>
          <w:tcPr>
            <w:tcW w:w="1474"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center"/>
          </w:tcPr>
          <w:p w14:paraId="0EB4F84C">
            <w:pPr>
              <w:jc w:val="center"/>
            </w:pPr>
            <w:r>
              <w:rPr>
                <w:rFonts w:ascii="Times New Roman" w:hAnsi="Times New Roman" w:eastAsia="宋体"/>
                <w:sz w:val="17"/>
              </w:rPr>
              <w:t>XGBoost</w:t>
            </w:r>
          </w:p>
        </w:tc>
        <w:tc>
          <w:tcPr>
            <w:tcW w:w="1134"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center"/>
          </w:tcPr>
          <w:p w14:paraId="2AC9EC0F">
            <w:pPr>
              <w:jc w:val="center"/>
            </w:pPr>
            <w:r>
              <w:rPr>
                <w:rFonts w:ascii="Times New Roman" w:hAnsi="Times New Roman" w:eastAsia="宋体"/>
                <w:sz w:val="17"/>
              </w:rPr>
              <w:t>120</w:t>
            </w:r>
          </w:p>
        </w:tc>
        <w:tc>
          <w:tcPr>
            <w:tcW w:w="1134"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center"/>
          </w:tcPr>
          <w:p w14:paraId="6D3FB213">
            <w:pPr>
              <w:jc w:val="center"/>
            </w:pPr>
            <w:r>
              <w:rPr>
                <w:rFonts w:ascii="Times New Roman" w:hAnsi="Times New Roman" w:eastAsia="宋体"/>
                <w:sz w:val="17"/>
              </w:rPr>
              <w:t>3</w:t>
            </w:r>
          </w:p>
        </w:tc>
        <w:tc>
          <w:tcPr>
            <w:tcW w:w="1701"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center"/>
          </w:tcPr>
          <w:p w14:paraId="602A1D9C">
            <w:pPr>
              <w:jc w:val="center"/>
            </w:pPr>
            <w:r>
              <w:rPr>
                <w:rFonts w:ascii="Times New Roman" w:hAnsi="Times New Roman" w:eastAsia="宋体"/>
                <w:sz w:val="17"/>
              </w:rPr>
              <w:t>50</w:t>
            </w:r>
          </w:p>
        </w:tc>
        <w:tc>
          <w:tcPr>
            <w:tcW w:w="2835"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center"/>
          </w:tcPr>
          <w:p w14:paraId="4E4842D4">
            <w:pPr>
              <w:jc w:val="center"/>
            </w:pPr>
            <w:r>
              <w:rPr>
                <w:rFonts w:ascii="Times New Roman" w:hAnsi="Times New Roman" w:eastAsia="宋体"/>
                <w:sz w:val="17"/>
              </w:rPr>
              <w:t>lr=0.03; subsample=0.7; lambda=12.0</w:t>
            </w:r>
          </w:p>
        </w:tc>
      </w:tr>
      <w:tr w14:paraId="4406A237">
        <w:tblPrEx>
          <w:tblCellMar>
            <w:top w:w="0" w:type="dxa"/>
            <w:left w:w="108" w:type="dxa"/>
            <w:bottom w:w="0" w:type="dxa"/>
            <w:right w:w="108" w:type="dxa"/>
          </w:tblCellMar>
        </w:tblPrEx>
        <w:trPr>
          <w:jc w:val="center"/>
        </w:trPr>
        <w:tc>
          <w:tcPr>
            <w:tcW w:w="1474"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center"/>
          </w:tcPr>
          <w:p w14:paraId="2C70EB95">
            <w:pPr>
              <w:jc w:val="center"/>
            </w:pPr>
            <w:r>
              <w:rPr>
                <w:rFonts w:ascii="Times New Roman" w:hAnsi="Times New Roman" w:eastAsia="宋体"/>
                <w:sz w:val="17"/>
              </w:rPr>
              <w:t>LightGBM</w:t>
            </w:r>
          </w:p>
        </w:tc>
        <w:tc>
          <w:tcPr>
            <w:tcW w:w="1134"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center"/>
          </w:tcPr>
          <w:p w14:paraId="5020C289">
            <w:pPr>
              <w:jc w:val="center"/>
            </w:pPr>
            <w:r>
              <w:rPr>
                <w:rFonts w:ascii="Times New Roman" w:hAnsi="Times New Roman" w:eastAsia="宋体"/>
                <w:sz w:val="17"/>
              </w:rPr>
              <w:t>120</w:t>
            </w:r>
          </w:p>
        </w:tc>
        <w:tc>
          <w:tcPr>
            <w:tcW w:w="1134"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center"/>
          </w:tcPr>
          <w:p w14:paraId="5DEA4F93">
            <w:pPr>
              <w:jc w:val="center"/>
            </w:pPr>
            <w:r>
              <w:rPr>
                <w:rFonts w:ascii="Times New Roman" w:hAnsi="Times New Roman" w:eastAsia="宋体"/>
                <w:sz w:val="17"/>
              </w:rPr>
              <w:t>3</w:t>
            </w:r>
          </w:p>
        </w:tc>
        <w:tc>
          <w:tcPr>
            <w:tcW w:w="1701"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center"/>
          </w:tcPr>
          <w:p w14:paraId="1C786821">
            <w:pPr>
              <w:jc w:val="center"/>
            </w:pPr>
            <w:r>
              <w:rPr>
                <w:rFonts w:ascii="Times New Roman" w:hAnsi="Times New Roman" w:eastAsia="宋体"/>
                <w:sz w:val="17"/>
              </w:rPr>
              <w:t>500</w:t>
            </w:r>
          </w:p>
        </w:tc>
        <w:tc>
          <w:tcPr>
            <w:tcW w:w="2835"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center"/>
          </w:tcPr>
          <w:p w14:paraId="513CE5A6">
            <w:pPr>
              <w:jc w:val="center"/>
            </w:pPr>
            <w:r>
              <w:rPr>
                <w:rFonts w:ascii="Times New Roman" w:hAnsi="Times New Roman" w:eastAsia="宋体"/>
                <w:sz w:val="17"/>
              </w:rPr>
              <w:t>num_leaves=7; lr=0.03; lambda=12.0</w:t>
            </w:r>
          </w:p>
        </w:tc>
      </w:tr>
    </w:tbl>
    <w:p w14:paraId="1AF0638E"/>
    <w:p w14:paraId="62F2B5DD">
      <w:pPr>
        <w:spacing w:after="120" w:line="360" w:lineRule="auto"/>
        <w:ind w:firstLine="420"/>
        <w:jc w:val="both"/>
      </w:pPr>
      <w:r>
        <w:rPr>
          <w:rFonts w:ascii="Times New Roman" w:hAnsi="Times New Roman" w:eastAsia="宋体"/>
          <w:sz w:val="21"/>
        </w:rPr>
        <w:t>需要特别说明的是，早期研究中曾出现XGBoost累计收益达到665.32%的结果，但该结果的参数选择依据包含回测区间的strategy_sharpe，因此更接近“基于回测表现的参数搜索”，存在回测选择偏差。改进版将参数选择改为验证集准确率，回测集仅保留为最终策略检验，因此结果更保守，也更适合写入正式研究报告。</w:t>
      </w:r>
    </w:p>
    <w:p w14:paraId="06305202">
      <w:pPr>
        <w:spacing w:before="280" w:after="160"/>
      </w:pPr>
      <w:r>
        <w:rPr>
          <w:rFonts w:ascii="Times New Roman" w:hAnsi="Times New Roman" w:eastAsia="黑体"/>
          <w:b/>
          <w:sz w:val="30"/>
        </w:rPr>
        <w:t>5 回测设计与组合构造</w:t>
      </w:r>
    </w:p>
    <w:p w14:paraId="3DB20EBE">
      <w:pPr>
        <w:spacing w:after="120" w:line="360" w:lineRule="auto"/>
        <w:ind w:firstLine="420"/>
        <w:jc w:val="both"/>
      </w:pPr>
      <w:r>
        <w:rPr>
          <w:rFonts w:ascii="Times New Roman" w:hAnsi="Times New Roman" w:eastAsia="宋体"/>
          <w:sz w:val="21"/>
        </w:rPr>
        <w:t>模型训练完成后，在每个回测调仓日对动态中证500股票池内所有股票计算正样本概率，并按概率由高到低排序。本文设计三类策略：第一，Long前10，即买入模型打分最高的10只股票，等权持有至下一调仓日；第二，Long前10/Short后10，即买入最高10只并做空最低10只，用于检验模型排序端到端能力；第三，Long前10/Short指数，即买入最高10只并做空中证500指数，用于降低市场方向风险。回测中加入交易成本，股票端按10个基点、指数空头按1个基点处理。</w:t>
      </w:r>
    </w:p>
    <w:p w14:paraId="46937977">
      <w:pPr>
        <w:spacing w:after="160"/>
        <w:jc w:val="center"/>
      </w:pPr>
      <w:r>
        <w:rPr>
          <w:rFonts w:ascii="Times New Roman" w:hAnsi="Times New Roman" w:eastAsia="宋体"/>
          <w:color w:val="666666"/>
          <w:sz w:val="18"/>
        </w:rPr>
        <w:t>表4 组合构造方式比较</w:t>
      </w:r>
    </w:p>
    <w:tbl>
      <w:tblPr>
        <w:tblStyle w:val="32"/>
        <w:tblW w:w="0" w:type="auto"/>
        <w:jc w:val="center"/>
        <w:tblLayout w:type="fixed"/>
        <w:tblCellMar>
          <w:top w:w="0" w:type="dxa"/>
          <w:left w:w="108" w:type="dxa"/>
          <w:bottom w:w="0" w:type="dxa"/>
          <w:right w:w="108" w:type="dxa"/>
        </w:tblCellMar>
      </w:tblPr>
      <w:tblGrid>
        <w:gridCol w:w="2211"/>
        <w:gridCol w:w="2211"/>
        <w:gridCol w:w="2211"/>
        <w:gridCol w:w="2211"/>
      </w:tblGrid>
      <w:tr w14:paraId="2DF2D258">
        <w:tblPrEx>
          <w:tblCellMar>
            <w:top w:w="0" w:type="dxa"/>
            <w:left w:w="108" w:type="dxa"/>
            <w:bottom w:w="0" w:type="dxa"/>
            <w:right w:w="108" w:type="dxa"/>
          </w:tblCellMar>
        </w:tblPrEx>
        <w:trPr>
          <w:jc w:val="center"/>
        </w:trPr>
        <w:tc>
          <w:tcPr>
            <w:tcW w:w="1814" w:type="dxa"/>
            <w:tcBorders>
              <w:top w:val="single" w:color="BFBFBF" w:sz="6" w:space="0"/>
              <w:left w:val="single" w:color="BFBFBF" w:sz="6" w:space="0"/>
              <w:bottom w:val="single" w:color="BFBFBF" w:sz="6" w:space="0"/>
              <w:right w:val="single" w:color="BFBFBF" w:sz="6" w:space="0"/>
              <w:insideH w:val="single" w:sz="6" w:space="0"/>
              <w:insideV w:val="single" w:sz="6" w:space="0"/>
            </w:tcBorders>
            <w:shd w:val="clear" w:color="auto" w:fill="222222"/>
            <w:vAlign w:val="center"/>
          </w:tcPr>
          <w:p w14:paraId="0929CCB3">
            <w:pPr>
              <w:jc w:val="center"/>
            </w:pPr>
            <w:r>
              <w:rPr>
                <w:rFonts w:ascii="Times New Roman" w:hAnsi="Times New Roman" w:eastAsia="黑体"/>
                <w:b/>
                <w:color w:val="FFFFFF"/>
                <w:sz w:val="18"/>
              </w:rPr>
              <w:t>策略</w:t>
            </w:r>
          </w:p>
        </w:tc>
        <w:tc>
          <w:tcPr>
            <w:tcW w:w="1814" w:type="dxa"/>
            <w:tcBorders>
              <w:top w:val="single" w:color="BFBFBF" w:sz="6" w:space="0"/>
              <w:left w:val="single" w:color="BFBFBF" w:sz="6" w:space="0"/>
              <w:bottom w:val="single" w:color="BFBFBF" w:sz="6" w:space="0"/>
              <w:right w:val="single" w:color="BFBFBF" w:sz="6" w:space="0"/>
              <w:insideH w:val="single" w:sz="6" w:space="0"/>
              <w:insideV w:val="single" w:sz="6" w:space="0"/>
            </w:tcBorders>
            <w:shd w:val="clear" w:color="auto" w:fill="222222"/>
            <w:vAlign w:val="center"/>
          </w:tcPr>
          <w:p w14:paraId="2DD3DDFE">
            <w:pPr>
              <w:jc w:val="center"/>
            </w:pPr>
            <w:r>
              <w:rPr>
                <w:rFonts w:ascii="Times New Roman" w:hAnsi="Times New Roman" w:eastAsia="黑体"/>
                <w:b/>
                <w:color w:val="FFFFFF"/>
                <w:sz w:val="18"/>
              </w:rPr>
              <w:t>策略含义</w:t>
            </w:r>
          </w:p>
        </w:tc>
        <w:tc>
          <w:tcPr>
            <w:tcW w:w="2268" w:type="dxa"/>
            <w:tcBorders>
              <w:top w:val="single" w:color="BFBFBF" w:sz="6" w:space="0"/>
              <w:left w:val="single" w:color="BFBFBF" w:sz="6" w:space="0"/>
              <w:bottom w:val="single" w:color="BFBFBF" w:sz="6" w:space="0"/>
              <w:right w:val="single" w:color="BFBFBF" w:sz="6" w:space="0"/>
              <w:insideH w:val="single" w:sz="6" w:space="0"/>
              <w:insideV w:val="single" w:sz="6" w:space="0"/>
            </w:tcBorders>
            <w:shd w:val="clear" w:color="auto" w:fill="222222"/>
            <w:vAlign w:val="center"/>
          </w:tcPr>
          <w:p w14:paraId="7921AEFB">
            <w:pPr>
              <w:jc w:val="center"/>
            </w:pPr>
            <w:r>
              <w:rPr>
                <w:rFonts w:ascii="Times New Roman" w:hAnsi="Times New Roman" w:eastAsia="黑体"/>
                <w:b/>
                <w:color w:val="FFFFFF"/>
                <w:sz w:val="18"/>
              </w:rPr>
              <w:t>主要风险</w:t>
            </w:r>
          </w:p>
        </w:tc>
        <w:tc>
          <w:tcPr>
            <w:tcW w:w="1701" w:type="dxa"/>
            <w:tcBorders>
              <w:top w:val="single" w:color="BFBFBF" w:sz="6" w:space="0"/>
              <w:left w:val="single" w:color="BFBFBF" w:sz="6" w:space="0"/>
              <w:bottom w:val="single" w:color="BFBFBF" w:sz="6" w:space="0"/>
              <w:right w:val="single" w:color="BFBFBF" w:sz="6" w:space="0"/>
              <w:insideH w:val="single" w:sz="6" w:space="0"/>
              <w:insideV w:val="single" w:sz="6" w:space="0"/>
            </w:tcBorders>
            <w:shd w:val="clear" w:color="auto" w:fill="222222"/>
            <w:vAlign w:val="center"/>
          </w:tcPr>
          <w:p w14:paraId="76B1BDE1">
            <w:pPr>
              <w:jc w:val="center"/>
            </w:pPr>
            <w:r>
              <w:rPr>
                <w:rFonts w:ascii="Times New Roman" w:hAnsi="Times New Roman" w:eastAsia="黑体"/>
                <w:b/>
                <w:color w:val="FFFFFF"/>
                <w:sz w:val="18"/>
              </w:rPr>
              <w:t>研究定位</w:t>
            </w:r>
          </w:p>
        </w:tc>
      </w:tr>
      <w:tr w14:paraId="6738790B">
        <w:tblPrEx>
          <w:tblCellMar>
            <w:top w:w="0" w:type="dxa"/>
            <w:left w:w="108" w:type="dxa"/>
            <w:bottom w:w="0" w:type="dxa"/>
            <w:right w:w="108" w:type="dxa"/>
          </w:tblCellMar>
        </w:tblPrEx>
        <w:trPr>
          <w:jc w:val="center"/>
        </w:trPr>
        <w:tc>
          <w:tcPr>
            <w:tcW w:w="1814"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center"/>
          </w:tcPr>
          <w:p w14:paraId="12248FA7">
            <w:pPr>
              <w:jc w:val="center"/>
            </w:pPr>
            <w:r>
              <w:rPr>
                <w:rFonts w:ascii="Times New Roman" w:hAnsi="Times New Roman" w:eastAsia="宋体"/>
                <w:sz w:val="17"/>
              </w:rPr>
              <w:t>Long前10</w:t>
            </w:r>
          </w:p>
        </w:tc>
        <w:tc>
          <w:tcPr>
            <w:tcW w:w="1814"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center"/>
          </w:tcPr>
          <w:p w14:paraId="1DB32772">
            <w:pPr>
              <w:jc w:val="center"/>
            </w:pPr>
            <w:r>
              <w:rPr>
                <w:rFonts w:ascii="Times New Roman" w:hAnsi="Times New Roman" w:eastAsia="宋体"/>
                <w:sz w:val="17"/>
              </w:rPr>
              <w:t>纯多头增强</w:t>
            </w:r>
          </w:p>
        </w:tc>
        <w:tc>
          <w:tcPr>
            <w:tcW w:w="2268"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center"/>
          </w:tcPr>
          <w:p w14:paraId="2E33D309">
            <w:pPr>
              <w:jc w:val="center"/>
            </w:pPr>
            <w:r>
              <w:rPr>
                <w:rFonts w:ascii="Times New Roman" w:hAnsi="Times New Roman" w:eastAsia="宋体"/>
                <w:sz w:val="17"/>
              </w:rPr>
              <w:t>市场Beta暴露较高</w:t>
            </w:r>
          </w:p>
        </w:tc>
        <w:tc>
          <w:tcPr>
            <w:tcW w:w="1701"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center"/>
          </w:tcPr>
          <w:p w14:paraId="732A801F">
            <w:pPr>
              <w:jc w:val="center"/>
            </w:pPr>
            <w:r>
              <w:rPr>
                <w:rFonts w:ascii="Times New Roman" w:hAnsi="Times New Roman" w:eastAsia="宋体"/>
                <w:sz w:val="17"/>
              </w:rPr>
              <w:t>可作为基础增强策略</w:t>
            </w:r>
          </w:p>
        </w:tc>
      </w:tr>
      <w:tr w14:paraId="714831DD">
        <w:tblPrEx>
          <w:tblCellMar>
            <w:top w:w="0" w:type="dxa"/>
            <w:left w:w="108" w:type="dxa"/>
            <w:bottom w:w="0" w:type="dxa"/>
            <w:right w:w="108" w:type="dxa"/>
          </w:tblCellMar>
        </w:tblPrEx>
        <w:trPr>
          <w:jc w:val="center"/>
        </w:trPr>
        <w:tc>
          <w:tcPr>
            <w:tcW w:w="1814"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center"/>
          </w:tcPr>
          <w:p w14:paraId="11776AB5">
            <w:pPr>
              <w:jc w:val="center"/>
            </w:pPr>
            <w:r>
              <w:rPr>
                <w:rFonts w:ascii="Times New Roman" w:hAnsi="Times New Roman" w:eastAsia="宋体"/>
                <w:sz w:val="17"/>
              </w:rPr>
              <w:t>Long前10/Short后10</w:t>
            </w:r>
          </w:p>
        </w:tc>
        <w:tc>
          <w:tcPr>
            <w:tcW w:w="1814"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center"/>
          </w:tcPr>
          <w:p w14:paraId="4FD636DF">
            <w:pPr>
              <w:jc w:val="center"/>
            </w:pPr>
            <w:r>
              <w:rPr>
                <w:rFonts w:ascii="Times New Roman" w:hAnsi="Times New Roman" w:eastAsia="宋体"/>
                <w:sz w:val="17"/>
              </w:rPr>
              <w:t>多空排序实验</w:t>
            </w:r>
          </w:p>
        </w:tc>
        <w:tc>
          <w:tcPr>
            <w:tcW w:w="2268"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center"/>
          </w:tcPr>
          <w:p w14:paraId="5126C007">
            <w:pPr>
              <w:jc w:val="center"/>
            </w:pPr>
            <w:r>
              <w:rPr>
                <w:rFonts w:ascii="Times New Roman" w:hAnsi="Times New Roman" w:eastAsia="宋体"/>
                <w:sz w:val="17"/>
              </w:rPr>
              <w:t>空头端反弹风险极高</w:t>
            </w:r>
          </w:p>
        </w:tc>
        <w:tc>
          <w:tcPr>
            <w:tcW w:w="1701"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center"/>
          </w:tcPr>
          <w:p w14:paraId="157E52C9">
            <w:pPr>
              <w:jc w:val="center"/>
            </w:pPr>
            <w:r>
              <w:rPr>
                <w:rFonts w:ascii="Times New Roman" w:hAnsi="Times New Roman" w:eastAsia="宋体"/>
                <w:sz w:val="17"/>
              </w:rPr>
              <w:t>不建议作为主策略</w:t>
            </w:r>
          </w:p>
        </w:tc>
      </w:tr>
      <w:tr w14:paraId="69B63C74">
        <w:tblPrEx>
          <w:tblCellMar>
            <w:top w:w="0" w:type="dxa"/>
            <w:left w:w="108" w:type="dxa"/>
            <w:bottom w:w="0" w:type="dxa"/>
            <w:right w:w="108" w:type="dxa"/>
          </w:tblCellMar>
        </w:tblPrEx>
        <w:trPr>
          <w:jc w:val="center"/>
        </w:trPr>
        <w:tc>
          <w:tcPr>
            <w:tcW w:w="1814"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center"/>
          </w:tcPr>
          <w:p w14:paraId="5C875491">
            <w:pPr>
              <w:jc w:val="center"/>
            </w:pPr>
            <w:r>
              <w:rPr>
                <w:rFonts w:ascii="Times New Roman" w:hAnsi="Times New Roman" w:eastAsia="宋体"/>
                <w:sz w:val="17"/>
              </w:rPr>
              <w:t>Long前10/Short指数</w:t>
            </w:r>
          </w:p>
        </w:tc>
        <w:tc>
          <w:tcPr>
            <w:tcW w:w="1814"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center"/>
          </w:tcPr>
          <w:p w14:paraId="5194AC34">
            <w:pPr>
              <w:jc w:val="center"/>
            </w:pPr>
            <w:r>
              <w:rPr>
                <w:rFonts w:ascii="Times New Roman" w:hAnsi="Times New Roman" w:eastAsia="宋体"/>
                <w:sz w:val="17"/>
              </w:rPr>
              <w:t>指数对冲增强</w:t>
            </w:r>
          </w:p>
        </w:tc>
        <w:tc>
          <w:tcPr>
            <w:tcW w:w="2268"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center"/>
          </w:tcPr>
          <w:p w14:paraId="0AA0B941">
            <w:pPr>
              <w:jc w:val="center"/>
            </w:pPr>
            <w:r>
              <w:rPr>
                <w:rFonts w:ascii="Times New Roman" w:hAnsi="Times New Roman" w:eastAsia="宋体"/>
                <w:sz w:val="17"/>
              </w:rPr>
              <w:t>降低市场方向风险</w:t>
            </w:r>
          </w:p>
        </w:tc>
        <w:tc>
          <w:tcPr>
            <w:tcW w:w="1701"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center"/>
          </w:tcPr>
          <w:p w14:paraId="5AAE6CD0">
            <w:pPr>
              <w:jc w:val="center"/>
            </w:pPr>
            <w:r>
              <w:rPr>
                <w:rFonts w:ascii="Times New Roman" w:hAnsi="Times New Roman" w:eastAsia="宋体"/>
                <w:sz w:val="17"/>
              </w:rPr>
              <w:t>推荐继续优化</w:t>
            </w:r>
          </w:p>
        </w:tc>
      </w:tr>
    </w:tbl>
    <w:p w14:paraId="6B636C26"/>
    <w:p w14:paraId="4E1CE1DB">
      <w:pPr>
        <w:spacing w:before="280" w:after="160"/>
      </w:pPr>
      <w:r>
        <w:rPr>
          <w:rFonts w:ascii="Times New Roman" w:hAnsi="Times New Roman" w:eastAsia="黑体"/>
          <w:b/>
          <w:sz w:val="30"/>
        </w:rPr>
        <w:t>6 实证结果与图表分析</w:t>
      </w:r>
    </w:p>
    <w:p w14:paraId="538CE352">
      <w:pPr>
        <w:spacing w:after="160"/>
        <w:jc w:val="center"/>
      </w:pPr>
      <w:r>
        <w:rPr>
          <w:rFonts w:ascii="Times New Roman" w:hAnsi="Times New Roman" w:eastAsia="宋体"/>
          <w:color w:val="666666"/>
          <w:sz w:val="18"/>
        </w:rPr>
        <w:t>表5 三类模型与三类组合策略的样本外绩效</w:t>
      </w:r>
    </w:p>
    <w:tbl>
      <w:tblPr>
        <w:tblStyle w:val="32"/>
        <w:tblW w:w="0" w:type="auto"/>
        <w:jc w:val="center"/>
        <w:tblLayout w:type="fixed"/>
        <w:tblCellMar>
          <w:top w:w="0" w:type="dxa"/>
          <w:left w:w="108" w:type="dxa"/>
          <w:bottom w:w="0" w:type="dxa"/>
          <w:right w:w="108" w:type="dxa"/>
        </w:tblCellMar>
      </w:tblPr>
      <w:tblGrid>
        <w:gridCol w:w="1474"/>
        <w:gridCol w:w="1474"/>
        <w:gridCol w:w="1474"/>
        <w:gridCol w:w="1474"/>
        <w:gridCol w:w="1474"/>
        <w:gridCol w:w="1474"/>
      </w:tblGrid>
      <w:tr w14:paraId="33681DCC">
        <w:tblPrEx>
          <w:tblCellMar>
            <w:top w:w="0" w:type="dxa"/>
            <w:left w:w="108" w:type="dxa"/>
            <w:bottom w:w="0" w:type="dxa"/>
            <w:right w:w="108" w:type="dxa"/>
          </w:tblCellMar>
        </w:tblPrEx>
        <w:trPr>
          <w:jc w:val="center"/>
        </w:trPr>
        <w:tc>
          <w:tcPr>
            <w:tcW w:w="1304" w:type="dxa"/>
            <w:tcBorders>
              <w:top w:val="single" w:color="BFBFBF" w:sz="6" w:space="0"/>
              <w:left w:val="single" w:color="BFBFBF" w:sz="6" w:space="0"/>
              <w:bottom w:val="single" w:color="BFBFBF" w:sz="6" w:space="0"/>
              <w:right w:val="single" w:color="BFBFBF" w:sz="6" w:space="0"/>
              <w:insideH w:val="single" w:sz="6" w:space="0"/>
              <w:insideV w:val="single" w:sz="6" w:space="0"/>
            </w:tcBorders>
            <w:shd w:val="clear" w:color="auto" w:fill="222222"/>
            <w:vAlign w:val="center"/>
          </w:tcPr>
          <w:p w14:paraId="2317467C">
            <w:pPr>
              <w:jc w:val="center"/>
            </w:pPr>
            <w:r>
              <w:rPr>
                <w:rFonts w:ascii="Times New Roman" w:hAnsi="Times New Roman" w:eastAsia="黑体"/>
                <w:b/>
                <w:color w:val="FFFFFF"/>
                <w:sz w:val="18"/>
              </w:rPr>
              <w:t>模型</w:t>
            </w:r>
          </w:p>
        </w:tc>
        <w:tc>
          <w:tcPr>
            <w:tcW w:w="2154" w:type="dxa"/>
            <w:tcBorders>
              <w:top w:val="single" w:color="BFBFBF" w:sz="6" w:space="0"/>
              <w:left w:val="single" w:color="BFBFBF" w:sz="6" w:space="0"/>
              <w:bottom w:val="single" w:color="BFBFBF" w:sz="6" w:space="0"/>
              <w:right w:val="single" w:color="BFBFBF" w:sz="6" w:space="0"/>
              <w:insideH w:val="single" w:sz="6" w:space="0"/>
              <w:insideV w:val="single" w:sz="6" w:space="0"/>
            </w:tcBorders>
            <w:shd w:val="clear" w:color="auto" w:fill="222222"/>
            <w:vAlign w:val="center"/>
          </w:tcPr>
          <w:p w14:paraId="3D12D656">
            <w:pPr>
              <w:jc w:val="center"/>
            </w:pPr>
            <w:r>
              <w:rPr>
                <w:rFonts w:ascii="Times New Roman" w:hAnsi="Times New Roman" w:eastAsia="黑体"/>
                <w:b/>
                <w:color w:val="FFFFFF"/>
                <w:sz w:val="18"/>
              </w:rPr>
              <w:t>策略</w:t>
            </w:r>
          </w:p>
        </w:tc>
        <w:tc>
          <w:tcPr>
            <w:tcW w:w="1247" w:type="dxa"/>
            <w:tcBorders>
              <w:top w:val="single" w:color="BFBFBF" w:sz="6" w:space="0"/>
              <w:left w:val="single" w:color="BFBFBF" w:sz="6" w:space="0"/>
              <w:bottom w:val="single" w:color="BFBFBF" w:sz="6" w:space="0"/>
              <w:right w:val="single" w:color="BFBFBF" w:sz="6" w:space="0"/>
              <w:insideH w:val="single" w:sz="6" w:space="0"/>
              <w:insideV w:val="single" w:sz="6" w:space="0"/>
            </w:tcBorders>
            <w:shd w:val="clear" w:color="auto" w:fill="222222"/>
            <w:vAlign w:val="center"/>
          </w:tcPr>
          <w:p w14:paraId="5A99E88D">
            <w:pPr>
              <w:jc w:val="center"/>
            </w:pPr>
            <w:r>
              <w:rPr>
                <w:rFonts w:ascii="Times New Roman" w:hAnsi="Times New Roman" w:eastAsia="黑体"/>
                <w:b/>
                <w:color w:val="FFFFFF"/>
                <w:sz w:val="18"/>
              </w:rPr>
              <w:t>累计收益</w:t>
            </w:r>
          </w:p>
        </w:tc>
        <w:tc>
          <w:tcPr>
            <w:tcW w:w="1247" w:type="dxa"/>
            <w:tcBorders>
              <w:top w:val="single" w:color="BFBFBF" w:sz="6" w:space="0"/>
              <w:left w:val="single" w:color="BFBFBF" w:sz="6" w:space="0"/>
              <w:bottom w:val="single" w:color="BFBFBF" w:sz="6" w:space="0"/>
              <w:right w:val="single" w:color="BFBFBF" w:sz="6" w:space="0"/>
              <w:insideH w:val="single" w:sz="6" w:space="0"/>
              <w:insideV w:val="single" w:sz="6" w:space="0"/>
            </w:tcBorders>
            <w:shd w:val="clear" w:color="auto" w:fill="222222"/>
            <w:vAlign w:val="center"/>
          </w:tcPr>
          <w:p w14:paraId="47273C59">
            <w:pPr>
              <w:jc w:val="center"/>
            </w:pPr>
            <w:r>
              <w:rPr>
                <w:rFonts w:ascii="Times New Roman" w:hAnsi="Times New Roman" w:eastAsia="黑体"/>
                <w:b/>
                <w:color w:val="FFFFFF"/>
                <w:sz w:val="18"/>
              </w:rPr>
              <w:t>年化收益</w:t>
            </w:r>
          </w:p>
        </w:tc>
        <w:tc>
          <w:tcPr>
            <w:tcW w:w="1020" w:type="dxa"/>
            <w:tcBorders>
              <w:top w:val="single" w:color="BFBFBF" w:sz="6" w:space="0"/>
              <w:left w:val="single" w:color="BFBFBF" w:sz="6" w:space="0"/>
              <w:bottom w:val="single" w:color="BFBFBF" w:sz="6" w:space="0"/>
              <w:right w:val="single" w:color="BFBFBF" w:sz="6" w:space="0"/>
              <w:insideH w:val="single" w:sz="6" w:space="0"/>
              <w:insideV w:val="single" w:sz="6" w:space="0"/>
            </w:tcBorders>
            <w:shd w:val="clear" w:color="auto" w:fill="222222"/>
            <w:vAlign w:val="center"/>
          </w:tcPr>
          <w:p w14:paraId="4B4BCCF2">
            <w:pPr>
              <w:jc w:val="center"/>
            </w:pPr>
            <w:r>
              <w:rPr>
                <w:rFonts w:ascii="Times New Roman" w:hAnsi="Times New Roman" w:eastAsia="黑体"/>
                <w:b/>
                <w:color w:val="FFFFFF"/>
                <w:sz w:val="18"/>
              </w:rPr>
              <w:t>Sharpe</w:t>
            </w:r>
          </w:p>
        </w:tc>
        <w:tc>
          <w:tcPr>
            <w:tcW w:w="1247" w:type="dxa"/>
            <w:tcBorders>
              <w:top w:val="single" w:color="BFBFBF" w:sz="6" w:space="0"/>
              <w:left w:val="single" w:color="BFBFBF" w:sz="6" w:space="0"/>
              <w:bottom w:val="single" w:color="BFBFBF" w:sz="6" w:space="0"/>
              <w:right w:val="single" w:color="BFBFBF" w:sz="6" w:space="0"/>
              <w:insideH w:val="single" w:sz="6" w:space="0"/>
              <w:insideV w:val="single" w:sz="6" w:space="0"/>
            </w:tcBorders>
            <w:shd w:val="clear" w:color="auto" w:fill="222222"/>
            <w:vAlign w:val="center"/>
          </w:tcPr>
          <w:p w14:paraId="75CE161E">
            <w:pPr>
              <w:jc w:val="center"/>
            </w:pPr>
            <w:r>
              <w:rPr>
                <w:rFonts w:ascii="Times New Roman" w:hAnsi="Times New Roman" w:eastAsia="黑体"/>
                <w:b/>
                <w:color w:val="FFFFFF"/>
                <w:sz w:val="18"/>
              </w:rPr>
              <w:t>最大回撤</w:t>
            </w:r>
          </w:p>
        </w:tc>
      </w:tr>
      <w:tr w14:paraId="54BB4824">
        <w:tblPrEx>
          <w:tblCellMar>
            <w:top w:w="0" w:type="dxa"/>
            <w:left w:w="108" w:type="dxa"/>
            <w:bottom w:w="0" w:type="dxa"/>
            <w:right w:w="108" w:type="dxa"/>
          </w:tblCellMar>
        </w:tblPrEx>
        <w:trPr>
          <w:jc w:val="center"/>
        </w:trPr>
        <w:tc>
          <w:tcPr>
            <w:tcW w:w="1304"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center"/>
          </w:tcPr>
          <w:p w14:paraId="633A1CFD">
            <w:pPr>
              <w:jc w:val="center"/>
            </w:pPr>
            <w:r>
              <w:rPr>
                <w:rFonts w:ascii="Times New Roman" w:hAnsi="Times New Roman" w:eastAsia="宋体"/>
                <w:sz w:val="17"/>
              </w:rPr>
              <w:t>LightGBM</w:t>
            </w:r>
          </w:p>
        </w:tc>
        <w:tc>
          <w:tcPr>
            <w:tcW w:w="2154"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center"/>
          </w:tcPr>
          <w:p w14:paraId="43D3CE2F">
            <w:pPr>
              <w:jc w:val="center"/>
            </w:pPr>
            <w:r>
              <w:rPr>
                <w:rFonts w:ascii="Times New Roman" w:hAnsi="Times New Roman" w:eastAsia="宋体"/>
                <w:sz w:val="17"/>
              </w:rPr>
              <w:t>Long前10</w:t>
            </w:r>
          </w:p>
        </w:tc>
        <w:tc>
          <w:tcPr>
            <w:tcW w:w="1247"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center"/>
          </w:tcPr>
          <w:p w14:paraId="73E1BA35">
            <w:pPr>
              <w:jc w:val="center"/>
            </w:pPr>
            <w:r>
              <w:rPr>
                <w:rFonts w:ascii="Times New Roman" w:hAnsi="Times New Roman" w:eastAsia="宋体"/>
                <w:sz w:val="17"/>
              </w:rPr>
              <w:t>45.72%</w:t>
            </w:r>
          </w:p>
        </w:tc>
        <w:tc>
          <w:tcPr>
            <w:tcW w:w="1247"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center"/>
          </w:tcPr>
          <w:p w14:paraId="36B2B776">
            <w:pPr>
              <w:jc w:val="center"/>
            </w:pPr>
            <w:r>
              <w:rPr>
                <w:rFonts w:ascii="Times New Roman" w:hAnsi="Times New Roman" w:eastAsia="宋体"/>
                <w:sz w:val="17"/>
              </w:rPr>
              <w:t>8.68%</w:t>
            </w:r>
          </w:p>
        </w:tc>
        <w:tc>
          <w:tcPr>
            <w:tcW w:w="1020"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center"/>
          </w:tcPr>
          <w:p w14:paraId="32D93733">
            <w:pPr>
              <w:jc w:val="center"/>
            </w:pPr>
            <w:r>
              <w:rPr>
                <w:rFonts w:ascii="Times New Roman" w:hAnsi="Times New Roman" w:eastAsia="宋体"/>
                <w:sz w:val="17"/>
              </w:rPr>
              <w:t>0.427</w:t>
            </w:r>
          </w:p>
        </w:tc>
        <w:tc>
          <w:tcPr>
            <w:tcW w:w="1247"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center"/>
          </w:tcPr>
          <w:p w14:paraId="63D18C0C">
            <w:pPr>
              <w:jc w:val="center"/>
            </w:pPr>
            <w:r>
              <w:rPr>
                <w:rFonts w:ascii="Times New Roman" w:hAnsi="Times New Roman" w:eastAsia="宋体"/>
                <w:sz w:val="17"/>
              </w:rPr>
              <w:t>43.75%</w:t>
            </w:r>
          </w:p>
        </w:tc>
      </w:tr>
      <w:tr w14:paraId="61D74248">
        <w:tblPrEx>
          <w:tblCellMar>
            <w:top w:w="0" w:type="dxa"/>
            <w:left w:w="108" w:type="dxa"/>
            <w:bottom w:w="0" w:type="dxa"/>
            <w:right w:w="108" w:type="dxa"/>
          </w:tblCellMar>
        </w:tblPrEx>
        <w:trPr>
          <w:jc w:val="center"/>
        </w:trPr>
        <w:tc>
          <w:tcPr>
            <w:tcW w:w="1304"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center"/>
          </w:tcPr>
          <w:p w14:paraId="0FF03BE5">
            <w:pPr>
              <w:jc w:val="center"/>
            </w:pPr>
            <w:r>
              <w:rPr>
                <w:rFonts w:ascii="Times New Roman" w:hAnsi="Times New Roman" w:eastAsia="宋体"/>
                <w:sz w:val="17"/>
              </w:rPr>
              <w:t>LightGBM</w:t>
            </w:r>
          </w:p>
        </w:tc>
        <w:tc>
          <w:tcPr>
            <w:tcW w:w="2154"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center"/>
          </w:tcPr>
          <w:p w14:paraId="74FC897E">
            <w:pPr>
              <w:jc w:val="center"/>
            </w:pPr>
            <w:r>
              <w:rPr>
                <w:rFonts w:ascii="Times New Roman" w:hAnsi="Times New Roman" w:eastAsia="宋体"/>
                <w:sz w:val="17"/>
              </w:rPr>
              <w:t>Long前10/Short后10</w:t>
            </w:r>
          </w:p>
        </w:tc>
        <w:tc>
          <w:tcPr>
            <w:tcW w:w="1247"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center"/>
          </w:tcPr>
          <w:p w14:paraId="6C991E4A">
            <w:pPr>
              <w:jc w:val="center"/>
            </w:pPr>
            <w:r>
              <w:rPr>
                <w:rFonts w:ascii="Times New Roman" w:hAnsi="Times New Roman" w:eastAsia="宋体"/>
                <w:sz w:val="17"/>
              </w:rPr>
              <w:t>-78.40%</w:t>
            </w:r>
          </w:p>
        </w:tc>
        <w:tc>
          <w:tcPr>
            <w:tcW w:w="1247"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center"/>
          </w:tcPr>
          <w:p w14:paraId="6B252951">
            <w:pPr>
              <w:jc w:val="center"/>
            </w:pPr>
            <w:r>
              <w:rPr>
                <w:rFonts w:ascii="Times New Roman" w:hAnsi="Times New Roman" w:eastAsia="宋体"/>
                <w:sz w:val="17"/>
              </w:rPr>
              <w:t>-28.74%</w:t>
            </w:r>
          </w:p>
        </w:tc>
        <w:tc>
          <w:tcPr>
            <w:tcW w:w="1020"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center"/>
          </w:tcPr>
          <w:p w14:paraId="123EC7C0">
            <w:pPr>
              <w:jc w:val="center"/>
            </w:pPr>
            <w:r>
              <w:rPr>
                <w:rFonts w:ascii="Times New Roman" w:hAnsi="Times New Roman" w:eastAsia="宋体"/>
                <w:sz w:val="17"/>
              </w:rPr>
              <w:t>-0.133</w:t>
            </w:r>
          </w:p>
        </w:tc>
        <w:tc>
          <w:tcPr>
            <w:tcW w:w="1247"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center"/>
          </w:tcPr>
          <w:p w14:paraId="649B4DEB">
            <w:pPr>
              <w:jc w:val="center"/>
            </w:pPr>
            <w:r>
              <w:rPr>
                <w:rFonts w:ascii="Times New Roman" w:hAnsi="Times New Roman" w:eastAsia="宋体"/>
                <w:sz w:val="17"/>
              </w:rPr>
              <w:t>86.65%</w:t>
            </w:r>
          </w:p>
        </w:tc>
      </w:tr>
      <w:tr w14:paraId="57B16DB3">
        <w:tblPrEx>
          <w:tblCellMar>
            <w:top w:w="0" w:type="dxa"/>
            <w:left w:w="108" w:type="dxa"/>
            <w:bottom w:w="0" w:type="dxa"/>
            <w:right w:w="108" w:type="dxa"/>
          </w:tblCellMar>
        </w:tblPrEx>
        <w:trPr>
          <w:jc w:val="center"/>
        </w:trPr>
        <w:tc>
          <w:tcPr>
            <w:tcW w:w="1304"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center"/>
          </w:tcPr>
          <w:p w14:paraId="4A81A739">
            <w:pPr>
              <w:jc w:val="center"/>
            </w:pPr>
            <w:r>
              <w:rPr>
                <w:rFonts w:ascii="Times New Roman" w:hAnsi="Times New Roman" w:eastAsia="宋体"/>
                <w:sz w:val="17"/>
              </w:rPr>
              <w:t>LightGBM</w:t>
            </w:r>
          </w:p>
        </w:tc>
        <w:tc>
          <w:tcPr>
            <w:tcW w:w="2154"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center"/>
          </w:tcPr>
          <w:p w14:paraId="455022CD">
            <w:pPr>
              <w:jc w:val="center"/>
            </w:pPr>
            <w:r>
              <w:rPr>
                <w:rFonts w:ascii="Times New Roman" w:hAnsi="Times New Roman" w:eastAsia="宋体"/>
                <w:sz w:val="17"/>
              </w:rPr>
              <w:t>Long前10/Short指数</w:t>
            </w:r>
          </w:p>
        </w:tc>
        <w:tc>
          <w:tcPr>
            <w:tcW w:w="1247"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center"/>
          </w:tcPr>
          <w:p w14:paraId="44D7AA74">
            <w:pPr>
              <w:jc w:val="center"/>
            </w:pPr>
            <w:r>
              <w:rPr>
                <w:rFonts w:ascii="Times New Roman" w:hAnsi="Times New Roman" w:eastAsia="宋体"/>
                <w:sz w:val="17"/>
              </w:rPr>
              <w:t>63.58%</w:t>
            </w:r>
          </w:p>
        </w:tc>
        <w:tc>
          <w:tcPr>
            <w:tcW w:w="1247"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center"/>
          </w:tcPr>
          <w:p w14:paraId="3AB5CF4F">
            <w:pPr>
              <w:jc w:val="center"/>
            </w:pPr>
            <w:r>
              <w:rPr>
                <w:rFonts w:ascii="Times New Roman" w:hAnsi="Times New Roman" w:eastAsia="宋体"/>
                <w:sz w:val="17"/>
              </w:rPr>
              <w:t>11.49%</w:t>
            </w:r>
          </w:p>
        </w:tc>
        <w:tc>
          <w:tcPr>
            <w:tcW w:w="1020"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center"/>
          </w:tcPr>
          <w:p w14:paraId="0A4C2001">
            <w:pPr>
              <w:jc w:val="center"/>
            </w:pPr>
            <w:r>
              <w:rPr>
                <w:rFonts w:ascii="Times New Roman" w:hAnsi="Times New Roman" w:eastAsia="宋体"/>
                <w:sz w:val="17"/>
              </w:rPr>
              <w:t>0.529</w:t>
            </w:r>
          </w:p>
        </w:tc>
        <w:tc>
          <w:tcPr>
            <w:tcW w:w="1247"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center"/>
          </w:tcPr>
          <w:p w14:paraId="667A0616">
            <w:pPr>
              <w:jc w:val="center"/>
            </w:pPr>
            <w:r>
              <w:rPr>
                <w:rFonts w:ascii="Times New Roman" w:hAnsi="Times New Roman" w:eastAsia="宋体"/>
                <w:sz w:val="17"/>
              </w:rPr>
              <w:t>42.18%</w:t>
            </w:r>
          </w:p>
        </w:tc>
      </w:tr>
      <w:tr w14:paraId="237E1BB1">
        <w:tblPrEx>
          <w:tblCellMar>
            <w:top w:w="0" w:type="dxa"/>
            <w:left w:w="108" w:type="dxa"/>
            <w:bottom w:w="0" w:type="dxa"/>
            <w:right w:w="108" w:type="dxa"/>
          </w:tblCellMar>
        </w:tblPrEx>
        <w:trPr>
          <w:jc w:val="center"/>
        </w:trPr>
        <w:tc>
          <w:tcPr>
            <w:tcW w:w="1304"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center"/>
          </w:tcPr>
          <w:p w14:paraId="3A197F36">
            <w:pPr>
              <w:jc w:val="center"/>
            </w:pPr>
            <w:r>
              <w:rPr>
                <w:rFonts w:ascii="Times New Roman" w:hAnsi="Times New Roman" w:eastAsia="宋体"/>
                <w:sz w:val="17"/>
              </w:rPr>
              <w:t>Random Forest</w:t>
            </w:r>
          </w:p>
        </w:tc>
        <w:tc>
          <w:tcPr>
            <w:tcW w:w="2154"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center"/>
          </w:tcPr>
          <w:p w14:paraId="3D5842E2">
            <w:pPr>
              <w:jc w:val="center"/>
            </w:pPr>
            <w:r>
              <w:rPr>
                <w:rFonts w:ascii="Times New Roman" w:hAnsi="Times New Roman" w:eastAsia="宋体"/>
                <w:sz w:val="17"/>
              </w:rPr>
              <w:t>Long前10</w:t>
            </w:r>
          </w:p>
        </w:tc>
        <w:tc>
          <w:tcPr>
            <w:tcW w:w="1247"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center"/>
          </w:tcPr>
          <w:p w14:paraId="75CE76F5">
            <w:pPr>
              <w:jc w:val="center"/>
            </w:pPr>
            <w:r>
              <w:rPr>
                <w:rFonts w:ascii="Times New Roman" w:hAnsi="Times New Roman" w:eastAsia="宋体"/>
                <w:sz w:val="17"/>
              </w:rPr>
              <w:t>104.84%</w:t>
            </w:r>
          </w:p>
        </w:tc>
        <w:tc>
          <w:tcPr>
            <w:tcW w:w="1247"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center"/>
          </w:tcPr>
          <w:p w14:paraId="305C6569">
            <w:pPr>
              <w:jc w:val="center"/>
            </w:pPr>
            <w:r>
              <w:rPr>
                <w:rFonts w:ascii="Times New Roman" w:hAnsi="Times New Roman" w:eastAsia="宋体"/>
                <w:sz w:val="17"/>
              </w:rPr>
              <w:t>17.18%</w:t>
            </w:r>
          </w:p>
        </w:tc>
        <w:tc>
          <w:tcPr>
            <w:tcW w:w="1020"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center"/>
          </w:tcPr>
          <w:p w14:paraId="23498B16">
            <w:pPr>
              <w:jc w:val="center"/>
            </w:pPr>
            <w:r>
              <w:rPr>
                <w:rFonts w:ascii="Times New Roman" w:hAnsi="Times New Roman" w:eastAsia="宋体"/>
                <w:sz w:val="17"/>
              </w:rPr>
              <w:t>0.741</w:t>
            </w:r>
          </w:p>
        </w:tc>
        <w:tc>
          <w:tcPr>
            <w:tcW w:w="1247"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center"/>
          </w:tcPr>
          <w:p w14:paraId="21B05216">
            <w:pPr>
              <w:jc w:val="center"/>
            </w:pPr>
            <w:r>
              <w:rPr>
                <w:rFonts w:ascii="Times New Roman" w:hAnsi="Times New Roman" w:eastAsia="宋体"/>
                <w:sz w:val="17"/>
              </w:rPr>
              <w:t>35.73%</w:t>
            </w:r>
          </w:p>
        </w:tc>
      </w:tr>
      <w:tr w14:paraId="382D9584">
        <w:tblPrEx>
          <w:tblCellMar>
            <w:top w:w="0" w:type="dxa"/>
            <w:left w:w="108" w:type="dxa"/>
            <w:bottom w:w="0" w:type="dxa"/>
            <w:right w:w="108" w:type="dxa"/>
          </w:tblCellMar>
        </w:tblPrEx>
        <w:trPr>
          <w:jc w:val="center"/>
        </w:trPr>
        <w:tc>
          <w:tcPr>
            <w:tcW w:w="1304"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center"/>
          </w:tcPr>
          <w:p w14:paraId="4B5583F1">
            <w:pPr>
              <w:jc w:val="center"/>
            </w:pPr>
            <w:r>
              <w:rPr>
                <w:rFonts w:ascii="Times New Roman" w:hAnsi="Times New Roman" w:eastAsia="宋体"/>
                <w:sz w:val="17"/>
              </w:rPr>
              <w:t>Random Forest</w:t>
            </w:r>
          </w:p>
        </w:tc>
        <w:tc>
          <w:tcPr>
            <w:tcW w:w="2154"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center"/>
          </w:tcPr>
          <w:p w14:paraId="75DEB244">
            <w:pPr>
              <w:jc w:val="center"/>
            </w:pPr>
            <w:r>
              <w:rPr>
                <w:rFonts w:ascii="Times New Roman" w:hAnsi="Times New Roman" w:eastAsia="宋体"/>
                <w:sz w:val="17"/>
              </w:rPr>
              <w:t>Long前10/Short后10</w:t>
            </w:r>
          </w:p>
        </w:tc>
        <w:tc>
          <w:tcPr>
            <w:tcW w:w="1247"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center"/>
          </w:tcPr>
          <w:p w14:paraId="6AE1AF93">
            <w:pPr>
              <w:jc w:val="center"/>
            </w:pPr>
            <w:r>
              <w:rPr>
                <w:rFonts w:ascii="Times New Roman" w:hAnsi="Times New Roman" w:eastAsia="宋体"/>
                <w:sz w:val="17"/>
              </w:rPr>
              <w:t>-96.52%</w:t>
            </w:r>
          </w:p>
        </w:tc>
        <w:tc>
          <w:tcPr>
            <w:tcW w:w="1247"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center"/>
          </w:tcPr>
          <w:p w14:paraId="2FECCF66">
            <w:pPr>
              <w:jc w:val="center"/>
            </w:pPr>
            <w:r>
              <w:rPr>
                <w:rFonts w:ascii="Times New Roman" w:hAnsi="Times New Roman" w:eastAsia="宋体"/>
                <w:sz w:val="17"/>
              </w:rPr>
              <w:t>-52.41%</w:t>
            </w:r>
          </w:p>
        </w:tc>
        <w:tc>
          <w:tcPr>
            <w:tcW w:w="1020"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center"/>
          </w:tcPr>
          <w:p w14:paraId="089D24F4">
            <w:pPr>
              <w:jc w:val="center"/>
            </w:pPr>
            <w:r>
              <w:rPr>
                <w:rFonts w:ascii="Times New Roman" w:hAnsi="Times New Roman" w:eastAsia="宋体"/>
                <w:sz w:val="17"/>
              </w:rPr>
              <w:t>-0.370</w:t>
            </w:r>
          </w:p>
        </w:tc>
        <w:tc>
          <w:tcPr>
            <w:tcW w:w="1247"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center"/>
          </w:tcPr>
          <w:p w14:paraId="6A56A51B">
            <w:pPr>
              <w:jc w:val="center"/>
            </w:pPr>
            <w:r>
              <w:rPr>
                <w:rFonts w:ascii="Times New Roman" w:hAnsi="Times New Roman" w:eastAsia="宋体"/>
                <w:sz w:val="17"/>
              </w:rPr>
              <w:t>98.17%</w:t>
            </w:r>
          </w:p>
        </w:tc>
      </w:tr>
      <w:tr w14:paraId="513C9E71">
        <w:tblPrEx>
          <w:tblCellMar>
            <w:top w:w="0" w:type="dxa"/>
            <w:left w:w="108" w:type="dxa"/>
            <w:bottom w:w="0" w:type="dxa"/>
            <w:right w:w="108" w:type="dxa"/>
          </w:tblCellMar>
        </w:tblPrEx>
        <w:trPr>
          <w:jc w:val="center"/>
        </w:trPr>
        <w:tc>
          <w:tcPr>
            <w:tcW w:w="1304"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center"/>
          </w:tcPr>
          <w:p w14:paraId="6095855F">
            <w:pPr>
              <w:jc w:val="center"/>
            </w:pPr>
            <w:r>
              <w:rPr>
                <w:rFonts w:ascii="Times New Roman" w:hAnsi="Times New Roman" w:eastAsia="宋体"/>
                <w:sz w:val="17"/>
              </w:rPr>
              <w:t>Random Forest</w:t>
            </w:r>
          </w:p>
        </w:tc>
        <w:tc>
          <w:tcPr>
            <w:tcW w:w="2154"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center"/>
          </w:tcPr>
          <w:p w14:paraId="1C95D687">
            <w:pPr>
              <w:jc w:val="center"/>
            </w:pPr>
            <w:r>
              <w:rPr>
                <w:rFonts w:ascii="Times New Roman" w:hAnsi="Times New Roman" w:eastAsia="宋体"/>
                <w:sz w:val="17"/>
              </w:rPr>
              <w:t>Long前10/Short指数</w:t>
            </w:r>
          </w:p>
        </w:tc>
        <w:tc>
          <w:tcPr>
            <w:tcW w:w="1247"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center"/>
          </w:tcPr>
          <w:p w14:paraId="10EBCFD0">
            <w:pPr>
              <w:jc w:val="center"/>
            </w:pPr>
            <w:r>
              <w:rPr>
                <w:rFonts w:ascii="Times New Roman" w:hAnsi="Times New Roman" w:eastAsia="宋体"/>
                <w:sz w:val="17"/>
              </w:rPr>
              <w:t>121.67%</w:t>
            </w:r>
          </w:p>
        </w:tc>
        <w:tc>
          <w:tcPr>
            <w:tcW w:w="1247"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center"/>
          </w:tcPr>
          <w:p w14:paraId="48FB9360">
            <w:pPr>
              <w:jc w:val="center"/>
            </w:pPr>
            <w:r>
              <w:rPr>
                <w:rFonts w:ascii="Times New Roman" w:hAnsi="Times New Roman" w:eastAsia="宋体"/>
                <w:sz w:val="17"/>
              </w:rPr>
              <w:t>19.24%</w:t>
            </w:r>
          </w:p>
        </w:tc>
        <w:tc>
          <w:tcPr>
            <w:tcW w:w="1020"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center"/>
          </w:tcPr>
          <w:p w14:paraId="6D8CF9B8">
            <w:pPr>
              <w:jc w:val="center"/>
            </w:pPr>
            <w:r>
              <w:rPr>
                <w:rFonts w:ascii="Times New Roman" w:hAnsi="Times New Roman" w:eastAsia="宋体"/>
                <w:sz w:val="17"/>
              </w:rPr>
              <w:t>0.791</w:t>
            </w:r>
          </w:p>
        </w:tc>
        <w:tc>
          <w:tcPr>
            <w:tcW w:w="1247"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center"/>
          </w:tcPr>
          <w:p w14:paraId="58787B7B">
            <w:pPr>
              <w:jc w:val="center"/>
            </w:pPr>
            <w:r>
              <w:rPr>
                <w:rFonts w:ascii="Times New Roman" w:hAnsi="Times New Roman" w:eastAsia="宋体"/>
                <w:sz w:val="17"/>
              </w:rPr>
              <w:t>23.13%</w:t>
            </w:r>
          </w:p>
        </w:tc>
      </w:tr>
      <w:tr w14:paraId="354B606C">
        <w:tblPrEx>
          <w:tblCellMar>
            <w:top w:w="0" w:type="dxa"/>
            <w:left w:w="108" w:type="dxa"/>
            <w:bottom w:w="0" w:type="dxa"/>
            <w:right w:w="108" w:type="dxa"/>
          </w:tblCellMar>
        </w:tblPrEx>
        <w:trPr>
          <w:jc w:val="center"/>
        </w:trPr>
        <w:tc>
          <w:tcPr>
            <w:tcW w:w="1304"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center"/>
          </w:tcPr>
          <w:p w14:paraId="1B58E1CB">
            <w:pPr>
              <w:jc w:val="center"/>
            </w:pPr>
            <w:r>
              <w:rPr>
                <w:rFonts w:ascii="Times New Roman" w:hAnsi="Times New Roman" w:eastAsia="宋体"/>
                <w:sz w:val="17"/>
              </w:rPr>
              <w:t>XGBoost</w:t>
            </w:r>
          </w:p>
        </w:tc>
        <w:tc>
          <w:tcPr>
            <w:tcW w:w="2154"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center"/>
          </w:tcPr>
          <w:p w14:paraId="3C9F8A71">
            <w:pPr>
              <w:jc w:val="center"/>
            </w:pPr>
            <w:r>
              <w:rPr>
                <w:rFonts w:ascii="Times New Roman" w:hAnsi="Times New Roman" w:eastAsia="宋体"/>
                <w:sz w:val="17"/>
              </w:rPr>
              <w:t>Long前10</w:t>
            </w:r>
          </w:p>
        </w:tc>
        <w:tc>
          <w:tcPr>
            <w:tcW w:w="1247"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center"/>
          </w:tcPr>
          <w:p w14:paraId="32A85DA4">
            <w:pPr>
              <w:jc w:val="center"/>
            </w:pPr>
            <w:r>
              <w:rPr>
                <w:rFonts w:ascii="Times New Roman" w:hAnsi="Times New Roman" w:eastAsia="宋体"/>
                <w:sz w:val="17"/>
              </w:rPr>
              <w:t>24.90%</w:t>
            </w:r>
          </w:p>
        </w:tc>
        <w:tc>
          <w:tcPr>
            <w:tcW w:w="1247"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center"/>
          </w:tcPr>
          <w:p w14:paraId="3DB568CE">
            <w:pPr>
              <w:jc w:val="center"/>
            </w:pPr>
            <w:r>
              <w:rPr>
                <w:rFonts w:ascii="Times New Roman" w:hAnsi="Times New Roman" w:eastAsia="宋体"/>
                <w:sz w:val="17"/>
              </w:rPr>
              <w:t>5.04%</w:t>
            </w:r>
          </w:p>
        </w:tc>
        <w:tc>
          <w:tcPr>
            <w:tcW w:w="1020"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center"/>
          </w:tcPr>
          <w:p w14:paraId="54828092">
            <w:pPr>
              <w:jc w:val="center"/>
            </w:pPr>
            <w:r>
              <w:rPr>
                <w:rFonts w:ascii="Times New Roman" w:hAnsi="Times New Roman" w:eastAsia="宋体"/>
                <w:sz w:val="17"/>
              </w:rPr>
              <w:t>0.309</w:t>
            </w:r>
          </w:p>
        </w:tc>
        <w:tc>
          <w:tcPr>
            <w:tcW w:w="1247"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center"/>
          </w:tcPr>
          <w:p w14:paraId="2ECDE998">
            <w:pPr>
              <w:jc w:val="center"/>
            </w:pPr>
            <w:r>
              <w:rPr>
                <w:rFonts w:ascii="Times New Roman" w:hAnsi="Times New Roman" w:eastAsia="宋体"/>
                <w:sz w:val="17"/>
              </w:rPr>
              <w:t>50.25%</w:t>
            </w:r>
          </w:p>
        </w:tc>
      </w:tr>
      <w:tr w14:paraId="4F5AA3E0">
        <w:tblPrEx>
          <w:tblCellMar>
            <w:top w:w="0" w:type="dxa"/>
            <w:left w:w="108" w:type="dxa"/>
            <w:bottom w:w="0" w:type="dxa"/>
            <w:right w:w="108" w:type="dxa"/>
          </w:tblCellMar>
        </w:tblPrEx>
        <w:trPr>
          <w:jc w:val="center"/>
        </w:trPr>
        <w:tc>
          <w:tcPr>
            <w:tcW w:w="1304"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center"/>
          </w:tcPr>
          <w:p w14:paraId="34EA284E">
            <w:pPr>
              <w:jc w:val="center"/>
            </w:pPr>
            <w:r>
              <w:rPr>
                <w:rFonts w:ascii="Times New Roman" w:hAnsi="Times New Roman" w:eastAsia="宋体"/>
                <w:sz w:val="17"/>
              </w:rPr>
              <w:t>XGBoost</w:t>
            </w:r>
          </w:p>
        </w:tc>
        <w:tc>
          <w:tcPr>
            <w:tcW w:w="2154"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center"/>
          </w:tcPr>
          <w:p w14:paraId="534C074D">
            <w:pPr>
              <w:jc w:val="center"/>
            </w:pPr>
            <w:r>
              <w:rPr>
                <w:rFonts w:ascii="Times New Roman" w:hAnsi="Times New Roman" w:eastAsia="宋体"/>
                <w:sz w:val="17"/>
              </w:rPr>
              <w:t>Long前10/Short后10</w:t>
            </w:r>
          </w:p>
        </w:tc>
        <w:tc>
          <w:tcPr>
            <w:tcW w:w="1247"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center"/>
          </w:tcPr>
          <w:p w14:paraId="7A7FF5A8">
            <w:pPr>
              <w:jc w:val="center"/>
            </w:pPr>
            <w:r>
              <w:rPr>
                <w:rFonts w:ascii="Times New Roman" w:hAnsi="Times New Roman" w:eastAsia="宋体"/>
                <w:sz w:val="17"/>
              </w:rPr>
              <w:t>-87.19%</w:t>
            </w:r>
          </w:p>
        </w:tc>
        <w:tc>
          <w:tcPr>
            <w:tcW w:w="1247"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center"/>
          </w:tcPr>
          <w:p w14:paraId="7C731AFA">
            <w:pPr>
              <w:jc w:val="center"/>
            </w:pPr>
            <w:r>
              <w:rPr>
                <w:rFonts w:ascii="Times New Roman" w:hAnsi="Times New Roman" w:eastAsia="宋体"/>
                <w:sz w:val="17"/>
              </w:rPr>
              <w:t>-36.50%</w:t>
            </w:r>
          </w:p>
        </w:tc>
        <w:tc>
          <w:tcPr>
            <w:tcW w:w="1020"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center"/>
          </w:tcPr>
          <w:p w14:paraId="0A0957E8">
            <w:pPr>
              <w:jc w:val="center"/>
            </w:pPr>
            <w:r>
              <w:rPr>
                <w:rFonts w:ascii="Times New Roman" w:hAnsi="Times New Roman" w:eastAsia="宋体"/>
                <w:sz w:val="17"/>
              </w:rPr>
              <w:t>-0.345</w:t>
            </w:r>
          </w:p>
        </w:tc>
        <w:tc>
          <w:tcPr>
            <w:tcW w:w="1247"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center"/>
          </w:tcPr>
          <w:p w14:paraId="221DBE16">
            <w:pPr>
              <w:jc w:val="center"/>
            </w:pPr>
            <w:r>
              <w:rPr>
                <w:rFonts w:ascii="Times New Roman" w:hAnsi="Times New Roman" w:eastAsia="宋体"/>
                <w:sz w:val="17"/>
              </w:rPr>
              <w:t>88.73%</w:t>
            </w:r>
          </w:p>
        </w:tc>
      </w:tr>
      <w:tr w14:paraId="0EFC8457">
        <w:tblPrEx>
          <w:tblCellMar>
            <w:top w:w="0" w:type="dxa"/>
            <w:left w:w="108" w:type="dxa"/>
            <w:bottom w:w="0" w:type="dxa"/>
            <w:right w:w="108" w:type="dxa"/>
          </w:tblCellMar>
        </w:tblPrEx>
        <w:trPr>
          <w:jc w:val="center"/>
        </w:trPr>
        <w:tc>
          <w:tcPr>
            <w:tcW w:w="1304"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center"/>
          </w:tcPr>
          <w:p w14:paraId="0D6BFC6D">
            <w:pPr>
              <w:jc w:val="center"/>
            </w:pPr>
            <w:r>
              <w:rPr>
                <w:rFonts w:ascii="Times New Roman" w:hAnsi="Times New Roman" w:eastAsia="宋体"/>
                <w:sz w:val="17"/>
              </w:rPr>
              <w:t>XGBoost</w:t>
            </w:r>
          </w:p>
        </w:tc>
        <w:tc>
          <w:tcPr>
            <w:tcW w:w="2154"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center"/>
          </w:tcPr>
          <w:p w14:paraId="2036A549">
            <w:pPr>
              <w:jc w:val="center"/>
            </w:pPr>
            <w:r>
              <w:rPr>
                <w:rFonts w:ascii="Times New Roman" w:hAnsi="Times New Roman" w:eastAsia="宋体"/>
                <w:sz w:val="17"/>
              </w:rPr>
              <w:t>Long前10/Short指数</w:t>
            </w:r>
          </w:p>
        </w:tc>
        <w:tc>
          <w:tcPr>
            <w:tcW w:w="1247"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center"/>
          </w:tcPr>
          <w:p w14:paraId="37282EC1">
            <w:pPr>
              <w:jc w:val="center"/>
            </w:pPr>
            <w:r>
              <w:rPr>
                <w:rFonts w:ascii="Times New Roman" w:hAnsi="Times New Roman" w:eastAsia="宋体"/>
                <w:sz w:val="17"/>
              </w:rPr>
              <w:t>41.60%</w:t>
            </w:r>
          </w:p>
        </w:tc>
        <w:tc>
          <w:tcPr>
            <w:tcW w:w="1247"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center"/>
          </w:tcPr>
          <w:p w14:paraId="6141B8D7">
            <w:pPr>
              <w:jc w:val="center"/>
            </w:pPr>
            <w:r>
              <w:rPr>
                <w:rFonts w:ascii="Times New Roman" w:hAnsi="Times New Roman" w:eastAsia="宋体"/>
                <w:sz w:val="17"/>
              </w:rPr>
              <w:t>7.99%</w:t>
            </w:r>
          </w:p>
        </w:tc>
        <w:tc>
          <w:tcPr>
            <w:tcW w:w="1020"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center"/>
          </w:tcPr>
          <w:p w14:paraId="07D46ACA">
            <w:pPr>
              <w:jc w:val="center"/>
            </w:pPr>
            <w:r>
              <w:rPr>
                <w:rFonts w:ascii="Times New Roman" w:hAnsi="Times New Roman" w:eastAsia="宋体"/>
                <w:sz w:val="17"/>
              </w:rPr>
              <w:t>0.408</w:t>
            </w:r>
          </w:p>
        </w:tc>
        <w:tc>
          <w:tcPr>
            <w:tcW w:w="1247"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center"/>
          </w:tcPr>
          <w:p w14:paraId="3E935CE9">
            <w:pPr>
              <w:jc w:val="center"/>
            </w:pPr>
            <w:r>
              <w:rPr>
                <w:rFonts w:ascii="Times New Roman" w:hAnsi="Times New Roman" w:eastAsia="宋体"/>
                <w:sz w:val="17"/>
              </w:rPr>
              <w:t>40.57%</w:t>
            </w:r>
          </w:p>
        </w:tc>
      </w:tr>
    </w:tbl>
    <w:p w14:paraId="4A6011DD"/>
    <w:p w14:paraId="0D94E554">
      <w:pPr>
        <w:jc w:val="center"/>
      </w:pPr>
      <w:r>
        <w:drawing>
          <wp:inline distT="0" distB="0" distL="114300" distR="114300">
            <wp:extent cx="5486400" cy="3086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486400" cy="3086100"/>
                    </a:xfrm>
                    <a:prstGeom prst="rect">
                      <a:avLst/>
                    </a:prstGeom>
                  </pic:spPr>
                </pic:pic>
              </a:graphicData>
            </a:graphic>
          </wp:inline>
        </w:drawing>
      </w:r>
    </w:p>
    <w:p w14:paraId="32A1FF25">
      <w:pPr>
        <w:spacing w:after="160"/>
        <w:jc w:val="center"/>
      </w:pPr>
      <w:r>
        <w:rPr>
          <w:rFonts w:ascii="Times New Roman" w:hAnsi="Times New Roman" w:eastAsia="宋体"/>
          <w:color w:val="666666"/>
          <w:sz w:val="18"/>
        </w:rPr>
        <w:t>图3 Random Forest三类策略样本外净值曲线</w:t>
      </w:r>
    </w:p>
    <w:p w14:paraId="6D9CFFCF">
      <w:pPr>
        <w:spacing w:after="120" w:line="360" w:lineRule="auto"/>
        <w:ind w:firstLine="420"/>
        <w:jc w:val="both"/>
      </w:pPr>
      <w:r>
        <w:rPr>
          <w:rFonts w:ascii="Times New Roman" w:hAnsi="Times New Roman" w:eastAsia="宋体"/>
          <w:sz w:val="21"/>
        </w:rPr>
        <w:t>从表5和图3可以看出，Random Forest在三类模型中表现最稳健。其Long前10策略累计收益为104.84%，年化收益为17.18%，Sharpe为0.741，最大回撤为35.73%；加入指数对冲后，累计收益进一步提升至121.67%，年化收益为19.24%，Sharpe提升至0.791，最大回撤下降至23.13%。这说明在本样本中，指数对冲不仅降低了市场方向暴露，也改善了组合风险收益比。</w:t>
      </w:r>
    </w:p>
    <w:p w14:paraId="7851FB7D">
      <w:pPr>
        <w:jc w:val="center"/>
      </w:pPr>
      <w:r>
        <w:drawing>
          <wp:inline distT="0" distB="0" distL="114300" distR="114300">
            <wp:extent cx="5669280" cy="5215890"/>
            <wp:effectExtent l="0" t="0" r="762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669280" cy="5216104"/>
                    </a:xfrm>
                    <a:prstGeom prst="rect">
                      <a:avLst/>
                    </a:prstGeom>
                  </pic:spPr>
                </pic:pic>
              </a:graphicData>
            </a:graphic>
          </wp:inline>
        </w:drawing>
      </w:r>
    </w:p>
    <w:p w14:paraId="6D23D08C">
      <w:pPr>
        <w:spacing w:after="160"/>
        <w:jc w:val="center"/>
      </w:pPr>
      <w:r>
        <w:rPr>
          <w:rFonts w:ascii="Times New Roman" w:hAnsi="Times New Roman" w:eastAsia="宋体"/>
          <w:color w:val="666666"/>
          <w:sz w:val="18"/>
        </w:rPr>
        <w:t>图4 主要可落地策略绩效对比</w:t>
      </w:r>
    </w:p>
    <w:p w14:paraId="6DAC7810">
      <w:pPr>
        <w:spacing w:after="120" w:line="360" w:lineRule="auto"/>
        <w:ind w:firstLine="420"/>
        <w:jc w:val="both"/>
      </w:pPr>
      <w:r>
        <w:rPr>
          <w:rFonts w:ascii="Times New Roman" w:hAnsi="Times New Roman" w:eastAsia="宋体"/>
          <w:sz w:val="21"/>
        </w:rPr>
        <w:t>XGBoost和LightGBM在理论上具有更强的非线性拟合能力，但在验证集调参后的回测表现弱于Random Forest。这并不意味着Boosting模型无效，而是说明在当前因子体系、样本切分和组合构造下，Boosting对噪声、样本阶段和参数约束更敏感。金融数据的信噪比较低，过强的拟合能力如果没有足够稳健的正则化和滚动验证，可能难以转化为更好的样本外组合收益。</w:t>
      </w:r>
    </w:p>
    <w:p w14:paraId="69ECD2F1">
      <w:pPr>
        <w:spacing w:before="280" w:after="160"/>
      </w:pPr>
      <w:r>
        <w:rPr>
          <w:rFonts w:ascii="Times New Roman" w:hAnsi="Times New Roman" w:eastAsia="黑体"/>
          <w:b/>
          <w:sz w:val="30"/>
        </w:rPr>
        <w:t>7 十分组回测与排序能力</w:t>
      </w:r>
    </w:p>
    <w:p w14:paraId="6A284306">
      <w:pPr>
        <w:spacing w:after="120" w:line="360" w:lineRule="auto"/>
        <w:ind w:firstLine="420"/>
        <w:jc w:val="both"/>
      </w:pPr>
      <w:r>
        <w:rPr>
          <w:rFonts w:ascii="Times New Roman" w:hAnsi="Times New Roman" w:eastAsia="宋体"/>
          <w:sz w:val="21"/>
        </w:rPr>
        <w:t>十分组回测的目的是检验模型分数是否具有单调排序能力。具体做法是在每个调仓截面中按模型预测概率从低到高分为10组，分别等权持有各组股票。如果模型具有有效排序能力，则高分组的长期净值应显著高于低分组。该方法相比只观察Top10组合更全面，因为它能展示模型在整个截面上的分层效果。</w:t>
      </w:r>
    </w:p>
    <w:p w14:paraId="3C42563C">
      <w:pPr>
        <w:jc w:val="center"/>
      </w:pPr>
      <w:r>
        <w:drawing>
          <wp:inline distT="0" distB="0" distL="114300" distR="114300">
            <wp:extent cx="5486400" cy="271018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486400" cy="2710422"/>
                    </a:xfrm>
                    <a:prstGeom prst="rect">
                      <a:avLst/>
                    </a:prstGeom>
                  </pic:spPr>
                </pic:pic>
              </a:graphicData>
            </a:graphic>
          </wp:inline>
        </w:drawing>
      </w:r>
    </w:p>
    <w:p w14:paraId="74175848">
      <w:pPr>
        <w:spacing w:after="160"/>
        <w:jc w:val="center"/>
      </w:pPr>
      <w:r>
        <w:rPr>
          <w:rFonts w:ascii="Times New Roman" w:hAnsi="Times New Roman" w:eastAsia="宋体"/>
          <w:color w:val="666666"/>
          <w:sz w:val="18"/>
        </w:rPr>
        <w:t>图5 三类模型十分组期末净值</w:t>
      </w:r>
    </w:p>
    <w:p w14:paraId="462AA01E">
      <w:pPr>
        <w:spacing w:after="160"/>
        <w:jc w:val="center"/>
      </w:pPr>
      <w:r>
        <w:rPr>
          <w:rFonts w:ascii="Times New Roman" w:hAnsi="Times New Roman" w:eastAsia="宋体"/>
          <w:color w:val="666666"/>
          <w:sz w:val="18"/>
        </w:rPr>
        <w:t>表6 十分组排序能力摘要</w:t>
      </w:r>
    </w:p>
    <w:tbl>
      <w:tblPr>
        <w:tblStyle w:val="32"/>
        <w:tblW w:w="0" w:type="auto"/>
        <w:jc w:val="center"/>
        <w:tblLayout w:type="fixed"/>
        <w:tblCellMar>
          <w:top w:w="0" w:type="dxa"/>
          <w:left w:w="108" w:type="dxa"/>
          <w:bottom w:w="0" w:type="dxa"/>
          <w:right w:w="108" w:type="dxa"/>
        </w:tblCellMar>
      </w:tblPr>
      <w:tblGrid>
        <w:gridCol w:w="1474"/>
        <w:gridCol w:w="1474"/>
        <w:gridCol w:w="1474"/>
        <w:gridCol w:w="1474"/>
        <w:gridCol w:w="1474"/>
        <w:gridCol w:w="1474"/>
      </w:tblGrid>
      <w:tr w14:paraId="652B595C">
        <w:tblPrEx>
          <w:tblCellMar>
            <w:top w:w="0" w:type="dxa"/>
            <w:left w:w="108" w:type="dxa"/>
            <w:bottom w:w="0" w:type="dxa"/>
            <w:right w:w="108" w:type="dxa"/>
          </w:tblCellMar>
        </w:tblPrEx>
        <w:trPr>
          <w:jc w:val="center"/>
        </w:trPr>
        <w:tc>
          <w:tcPr>
            <w:tcW w:w="1474" w:type="dxa"/>
            <w:tcBorders>
              <w:top w:val="single" w:color="BFBFBF" w:sz="6" w:space="0"/>
              <w:left w:val="single" w:color="BFBFBF" w:sz="6" w:space="0"/>
              <w:bottom w:val="single" w:color="BFBFBF" w:sz="6" w:space="0"/>
              <w:right w:val="single" w:color="BFBFBF" w:sz="6" w:space="0"/>
              <w:insideH w:val="single" w:sz="6" w:space="0"/>
              <w:insideV w:val="single" w:sz="6" w:space="0"/>
            </w:tcBorders>
            <w:shd w:val="clear" w:color="auto" w:fill="222222"/>
            <w:vAlign w:val="center"/>
          </w:tcPr>
          <w:p w14:paraId="2680AF63">
            <w:pPr>
              <w:jc w:val="center"/>
            </w:pPr>
            <w:r>
              <w:rPr>
                <w:rFonts w:ascii="Times New Roman" w:hAnsi="Times New Roman" w:eastAsia="黑体"/>
                <w:b/>
                <w:color w:val="FFFFFF"/>
                <w:sz w:val="18"/>
              </w:rPr>
              <w:t>模型</w:t>
            </w:r>
          </w:p>
        </w:tc>
        <w:tc>
          <w:tcPr>
            <w:tcW w:w="1134" w:type="dxa"/>
            <w:tcBorders>
              <w:top w:val="single" w:color="BFBFBF" w:sz="6" w:space="0"/>
              <w:left w:val="single" w:color="BFBFBF" w:sz="6" w:space="0"/>
              <w:bottom w:val="single" w:color="BFBFBF" w:sz="6" w:space="0"/>
              <w:right w:val="single" w:color="BFBFBF" w:sz="6" w:space="0"/>
              <w:insideH w:val="single" w:sz="6" w:space="0"/>
              <w:insideV w:val="single" w:sz="6" w:space="0"/>
            </w:tcBorders>
            <w:shd w:val="clear" w:color="auto" w:fill="222222"/>
            <w:vAlign w:val="center"/>
          </w:tcPr>
          <w:p w14:paraId="634C92C2">
            <w:pPr>
              <w:jc w:val="center"/>
            </w:pPr>
            <w:r>
              <w:rPr>
                <w:rFonts w:ascii="Times New Roman" w:hAnsi="Times New Roman" w:eastAsia="黑体"/>
                <w:b/>
                <w:color w:val="FFFFFF"/>
                <w:sz w:val="18"/>
              </w:rPr>
              <w:t>D1净值</w:t>
            </w:r>
          </w:p>
        </w:tc>
        <w:tc>
          <w:tcPr>
            <w:tcW w:w="1134" w:type="dxa"/>
            <w:tcBorders>
              <w:top w:val="single" w:color="BFBFBF" w:sz="6" w:space="0"/>
              <w:left w:val="single" w:color="BFBFBF" w:sz="6" w:space="0"/>
              <w:bottom w:val="single" w:color="BFBFBF" w:sz="6" w:space="0"/>
              <w:right w:val="single" w:color="BFBFBF" w:sz="6" w:space="0"/>
              <w:insideH w:val="single" w:sz="6" w:space="0"/>
              <w:insideV w:val="single" w:sz="6" w:space="0"/>
            </w:tcBorders>
            <w:shd w:val="clear" w:color="auto" w:fill="222222"/>
            <w:vAlign w:val="center"/>
          </w:tcPr>
          <w:p w14:paraId="51267109">
            <w:pPr>
              <w:jc w:val="center"/>
            </w:pPr>
            <w:r>
              <w:rPr>
                <w:rFonts w:ascii="Times New Roman" w:hAnsi="Times New Roman" w:eastAsia="黑体"/>
                <w:b/>
                <w:color w:val="FFFFFF"/>
                <w:sz w:val="18"/>
              </w:rPr>
              <w:t>D10净值</w:t>
            </w:r>
          </w:p>
        </w:tc>
        <w:tc>
          <w:tcPr>
            <w:tcW w:w="1134" w:type="dxa"/>
            <w:tcBorders>
              <w:top w:val="single" w:color="BFBFBF" w:sz="6" w:space="0"/>
              <w:left w:val="single" w:color="BFBFBF" w:sz="6" w:space="0"/>
              <w:bottom w:val="single" w:color="BFBFBF" w:sz="6" w:space="0"/>
              <w:right w:val="single" w:color="BFBFBF" w:sz="6" w:space="0"/>
              <w:insideH w:val="single" w:sz="6" w:space="0"/>
              <w:insideV w:val="single" w:sz="6" w:space="0"/>
            </w:tcBorders>
            <w:shd w:val="clear" w:color="auto" w:fill="222222"/>
            <w:vAlign w:val="center"/>
          </w:tcPr>
          <w:p w14:paraId="72A22ADE">
            <w:pPr>
              <w:jc w:val="center"/>
            </w:pPr>
            <w:r>
              <w:rPr>
                <w:rFonts w:ascii="Times New Roman" w:hAnsi="Times New Roman" w:eastAsia="黑体"/>
                <w:b/>
                <w:color w:val="FFFFFF"/>
                <w:sz w:val="18"/>
              </w:rPr>
              <w:t>D10/D1</w:t>
            </w:r>
          </w:p>
        </w:tc>
        <w:tc>
          <w:tcPr>
            <w:tcW w:w="1361" w:type="dxa"/>
            <w:tcBorders>
              <w:top w:val="single" w:color="BFBFBF" w:sz="6" w:space="0"/>
              <w:left w:val="single" w:color="BFBFBF" w:sz="6" w:space="0"/>
              <w:bottom w:val="single" w:color="BFBFBF" w:sz="6" w:space="0"/>
              <w:right w:val="single" w:color="BFBFBF" w:sz="6" w:space="0"/>
              <w:insideH w:val="single" w:sz="6" w:space="0"/>
              <w:insideV w:val="single" w:sz="6" w:space="0"/>
            </w:tcBorders>
            <w:shd w:val="clear" w:color="auto" w:fill="222222"/>
            <w:vAlign w:val="center"/>
          </w:tcPr>
          <w:p w14:paraId="7AED830D">
            <w:pPr>
              <w:jc w:val="center"/>
            </w:pPr>
            <w:r>
              <w:rPr>
                <w:rFonts w:ascii="Times New Roman" w:hAnsi="Times New Roman" w:eastAsia="黑体"/>
                <w:b/>
                <w:color w:val="FFFFFF"/>
                <w:sz w:val="18"/>
              </w:rPr>
              <w:t>D1最大回撤</w:t>
            </w:r>
          </w:p>
        </w:tc>
        <w:tc>
          <w:tcPr>
            <w:tcW w:w="1361" w:type="dxa"/>
            <w:tcBorders>
              <w:top w:val="single" w:color="BFBFBF" w:sz="6" w:space="0"/>
              <w:left w:val="single" w:color="BFBFBF" w:sz="6" w:space="0"/>
              <w:bottom w:val="single" w:color="BFBFBF" w:sz="6" w:space="0"/>
              <w:right w:val="single" w:color="BFBFBF" w:sz="6" w:space="0"/>
              <w:insideH w:val="single" w:sz="6" w:space="0"/>
              <w:insideV w:val="single" w:sz="6" w:space="0"/>
            </w:tcBorders>
            <w:shd w:val="clear" w:color="auto" w:fill="222222"/>
            <w:vAlign w:val="center"/>
          </w:tcPr>
          <w:p w14:paraId="6F8FB67D">
            <w:pPr>
              <w:jc w:val="center"/>
            </w:pPr>
            <w:r>
              <w:rPr>
                <w:rFonts w:ascii="Times New Roman" w:hAnsi="Times New Roman" w:eastAsia="黑体"/>
                <w:b/>
                <w:color w:val="FFFFFF"/>
                <w:sz w:val="18"/>
              </w:rPr>
              <w:t>D10最大回撤</w:t>
            </w:r>
          </w:p>
        </w:tc>
      </w:tr>
      <w:tr w14:paraId="3B77D889">
        <w:tblPrEx>
          <w:tblCellMar>
            <w:top w:w="0" w:type="dxa"/>
            <w:left w:w="108" w:type="dxa"/>
            <w:bottom w:w="0" w:type="dxa"/>
            <w:right w:w="108" w:type="dxa"/>
          </w:tblCellMar>
        </w:tblPrEx>
        <w:trPr>
          <w:jc w:val="center"/>
        </w:trPr>
        <w:tc>
          <w:tcPr>
            <w:tcW w:w="1474"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center"/>
          </w:tcPr>
          <w:p w14:paraId="1CF59086">
            <w:pPr>
              <w:jc w:val="center"/>
            </w:pPr>
            <w:r>
              <w:rPr>
                <w:rFonts w:ascii="Times New Roman" w:hAnsi="Times New Roman" w:eastAsia="宋体"/>
                <w:sz w:val="17"/>
              </w:rPr>
              <w:t>LightGBM</w:t>
            </w:r>
          </w:p>
        </w:tc>
        <w:tc>
          <w:tcPr>
            <w:tcW w:w="1134"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center"/>
          </w:tcPr>
          <w:p w14:paraId="422F2A8D">
            <w:pPr>
              <w:jc w:val="center"/>
            </w:pPr>
            <w:r>
              <w:rPr>
                <w:rFonts w:ascii="Times New Roman" w:hAnsi="Times New Roman" w:eastAsia="宋体"/>
                <w:sz w:val="17"/>
              </w:rPr>
              <w:t>0.686</w:t>
            </w:r>
          </w:p>
        </w:tc>
        <w:tc>
          <w:tcPr>
            <w:tcW w:w="1134"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center"/>
          </w:tcPr>
          <w:p w14:paraId="7827D2B2">
            <w:pPr>
              <w:jc w:val="center"/>
            </w:pPr>
            <w:r>
              <w:rPr>
                <w:rFonts w:ascii="Times New Roman" w:hAnsi="Times New Roman" w:eastAsia="宋体"/>
                <w:sz w:val="17"/>
              </w:rPr>
              <w:t>2.881</w:t>
            </w:r>
          </w:p>
        </w:tc>
        <w:tc>
          <w:tcPr>
            <w:tcW w:w="1134"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center"/>
          </w:tcPr>
          <w:p w14:paraId="157A6A48">
            <w:pPr>
              <w:jc w:val="center"/>
            </w:pPr>
            <w:r>
              <w:rPr>
                <w:rFonts w:ascii="Times New Roman" w:hAnsi="Times New Roman" w:eastAsia="宋体"/>
                <w:sz w:val="17"/>
              </w:rPr>
              <w:t>4.20</w:t>
            </w:r>
          </w:p>
        </w:tc>
        <w:tc>
          <w:tcPr>
            <w:tcW w:w="1361"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center"/>
          </w:tcPr>
          <w:p w14:paraId="35D37DCE">
            <w:pPr>
              <w:jc w:val="center"/>
            </w:pPr>
            <w:r>
              <w:rPr>
                <w:rFonts w:ascii="Times New Roman" w:hAnsi="Times New Roman" w:eastAsia="宋体"/>
                <w:sz w:val="17"/>
              </w:rPr>
              <w:t>60.91%</w:t>
            </w:r>
          </w:p>
        </w:tc>
        <w:tc>
          <w:tcPr>
            <w:tcW w:w="1361"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center"/>
          </w:tcPr>
          <w:p w14:paraId="7CD23708">
            <w:pPr>
              <w:jc w:val="center"/>
            </w:pPr>
            <w:r>
              <w:rPr>
                <w:rFonts w:ascii="Times New Roman" w:hAnsi="Times New Roman" w:eastAsia="宋体"/>
                <w:sz w:val="17"/>
              </w:rPr>
              <w:t>18.23%</w:t>
            </w:r>
          </w:p>
        </w:tc>
      </w:tr>
      <w:tr w14:paraId="57CF1356">
        <w:tblPrEx>
          <w:tblCellMar>
            <w:top w:w="0" w:type="dxa"/>
            <w:left w:w="108" w:type="dxa"/>
            <w:bottom w:w="0" w:type="dxa"/>
            <w:right w:w="108" w:type="dxa"/>
          </w:tblCellMar>
        </w:tblPrEx>
        <w:trPr>
          <w:jc w:val="center"/>
        </w:trPr>
        <w:tc>
          <w:tcPr>
            <w:tcW w:w="1474"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center"/>
          </w:tcPr>
          <w:p w14:paraId="3918F6F6">
            <w:pPr>
              <w:jc w:val="center"/>
            </w:pPr>
            <w:r>
              <w:rPr>
                <w:rFonts w:ascii="Times New Roman" w:hAnsi="Times New Roman" w:eastAsia="宋体"/>
                <w:sz w:val="17"/>
              </w:rPr>
              <w:t>Random Forest</w:t>
            </w:r>
          </w:p>
        </w:tc>
        <w:tc>
          <w:tcPr>
            <w:tcW w:w="1134"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center"/>
          </w:tcPr>
          <w:p w14:paraId="79A7E9F0">
            <w:pPr>
              <w:jc w:val="center"/>
            </w:pPr>
            <w:r>
              <w:rPr>
                <w:rFonts w:ascii="Times New Roman" w:hAnsi="Times New Roman" w:eastAsia="宋体"/>
                <w:sz w:val="17"/>
              </w:rPr>
              <w:t>0.656</w:t>
            </w:r>
          </w:p>
        </w:tc>
        <w:tc>
          <w:tcPr>
            <w:tcW w:w="1134"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center"/>
          </w:tcPr>
          <w:p w14:paraId="3D32AC47">
            <w:pPr>
              <w:jc w:val="center"/>
            </w:pPr>
            <w:r>
              <w:rPr>
                <w:rFonts w:ascii="Times New Roman" w:hAnsi="Times New Roman" w:eastAsia="宋体"/>
                <w:sz w:val="17"/>
              </w:rPr>
              <w:t>3.200</w:t>
            </w:r>
          </w:p>
        </w:tc>
        <w:tc>
          <w:tcPr>
            <w:tcW w:w="1134"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center"/>
          </w:tcPr>
          <w:p w14:paraId="0D1BE375">
            <w:pPr>
              <w:jc w:val="center"/>
            </w:pPr>
            <w:r>
              <w:rPr>
                <w:rFonts w:ascii="Times New Roman" w:hAnsi="Times New Roman" w:eastAsia="宋体"/>
                <w:sz w:val="17"/>
              </w:rPr>
              <w:t>4.88</w:t>
            </w:r>
          </w:p>
        </w:tc>
        <w:tc>
          <w:tcPr>
            <w:tcW w:w="1361"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center"/>
          </w:tcPr>
          <w:p w14:paraId="766A6E22">
            <w:pPr>
              <w:jc w:val="center"/>
            </w:pPr>
            <w:r>
              <w:rPr>
                <w:rFonts w:ascii="Times New Roman" w:hAnsi="Times New Roman" w:eastAsia="宋体"/>
                <w:sz w:val="17"/>
              </w:rPr>
              <w:t>64.71%</w:t>
            </w:r>
          </w:p>
        </w:tc>
        <w:tc>
          <w:tcPr>
            <w:tcW w:w="1361"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center"/>
          </w:tcPr>
          <w:p w14:paraId="7238B906">
            <w:pPr>
              <w:jc w:val="center"/>
            </w:pPr>
            <w:r>
              <w:rPr>
                <w:rFonts w:ascii="Times New Roman" w:hAnsi="Times New Roman" w:eastAsia="宋体"/>
                <w:sz w:val="17"/>
              </w:rPr>
              <w:t>18.58%</w:t>
            </w:r>
          </w:p>
        </w:tc>
      </w:tr>
      <w:tr w14:paraId="2A5227FF">
        <w:tblPrEx>
          <w:tblCellMar>
            <w:top w:w="0" w:type="dxa"/>
            <w:left w:w="108" w:type="dxa"/>
            <w:bottom w:w="0" w:type="dxa"/>
            <w:right w:w="108" w:type="dxa"/>
          </w:tblCellMar>
        </w:tblPrEx>
        <w:trPr>
          <w:jc w:val="center"/>
        </w:trPr>
        <w:tc>
          <w:tcPr>
            <w:tcW w:w="1474"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center"/>
          </w:tcPr>
          <w:p w14:paraId="677CE1F0">
            <w:pPr>
              <w:jc w:val="center"/>
            </w:pPr>
            <w:r>
              <w:rPr>
                <w:rFonts w:ascii="Times New Roman" w:hAnsi="Times New Roman" w:eastAsia="宋体"/>
                <w:sz w:val="17"/>
              </w:rPr>
              <w:t>XGBoost</w:t>
            </w:r>
          </w:p>
        </w:tc>
        <w:tc>
          <w:tcPr>
            <w:tcW w:w="1134"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center"/>
          </w:tcPr>
          <w:p w14:paraId="795A2645">
            <w:pPr>
              <w:jc w:val="center"/>
            </w:pPr>
            <w:r>
              <w:rPr>
                <w:rFonts w:ascii="Times New Roman" w:hAnsi="Times New Roman" w:eastAsia="宋体"/>
                <w:sz w:val="17"/>
              </w:rPr>
              <w:t>0.734</w:t>
            </w:r>
          </w:p>
        </w:tc>
        <w:tc>
          <w:tcPr>
            <w:tcW w:w="1134"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center"/>
          </w:tcPr>
          <w:p w14:paraId="272BB5A1">
            <w:pPr>
              <w:jc w:val="center"/>
            </w:pPr>
            <w:r>
              <w:rPr>
                <w:rFonts w:ascii="Times New Roman" w:hAnsi="Times New Roman" w:eastAsia="宋体"/>
                <w:sz w:val="17"/>
              </w:rPr>
              <w:t>3.076</w:t>
            </w:r>
          </w:p>
        </w:tc>
        <w:tc>
          <w:tcPr>
            <w:tcW w:w="1134"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center"/>
          </w:tcPr>
          <w:p w14:paraId="2121791A">
            <w:pPr>
              <w:jc w:val="center"/>
            </w:pPr>
            <w:r>
              <w:rPr>
                <w:rFonts w:ascii="Times New Roman" w:hAnsi="Times New Roman" w:eastAsia="宋体"/>
                <w:sz w:val="17"/>
              </w:rPr>
              <w:t>4.19</w:t>
            </w:r>
          </w:p>
        </w:tc>
        <w:tc>
          <w:tcPr>
            <w:tcW w:w="1361"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center"/>
          </w:tcPr>
          <w:p w14:paraId="1441E939">
            <w:pPr>
              <w:jc w:val="center"/>
            </w:pPr>
            <w:r>
              <w:rPr>
                <w:rFonts w:ascii="Times New Roman" w:hAnsi="Times New Roman" w:eastAsia="宋体"/>
                <w:sz w:val="17"/>
              </w:rPr>
              <w:t>57.41%</w:t>
            </w:r>
          </w:p>
        </w:tc>
        <w:tc>
          <w:tcPr>
            <w:tcW w:w="1361"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center"/>
          </w:tcPr>
          <w:p w14:paraId="4E488E0E">
            <w:pPr>
              <w:jc w:val="center"/>
            </w:pPr>
            <w:r>
              <w:rPr>
                <w:rFonts w:ascii="Times New Roman" w:hAnsi="Times New Roman" w:eastAsia="宋体"/>
                <w:sz w:val="17"/>
              </w:rPr>
              <w:t>18.46%</w:t>
            </w:r>
          </w:p>
        </w:tc>
      </w:tr>
    </w:tbl>
    <w:p w14:paraId="41D3D6B0"/>
    <w:p w14:paraId="62FEA544">
      <w:pPr>
        <w:jc w:val="center"/>
      </w:pPr>
      <w:r>
        <w:drawing>
          <wp:inline distT="0" distB="0" distL="114300" distR="114300">
            <wp:extent cx="5486400" cy="30861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5486400" cy="3086100"/>
                    </a:xfrm>
                    <a:prstGeom prst="rect">
                      <a:avLst/>
                    </a:prstGeom>
                  </pic:spPr>
                </pic:pic>
              </a:graphicData>
            </a:graphic>
          </wp:inline>
        </w:drawing>
      </w:r>
    </w:p>
    <w:p w14:paraId="65975C49">
      <w:pPr>
        <w:spacing w:after="160"/>
        <w:jc w:val="center"/>
      </w:pPr>
      <w:r>
        <w:rPr>
          <w:rFonts w:ascii="Times New Roman" w:hAnsi="Times New Roman" w:eastAsia="宋体"/>
          <w:color w:val="666666"/>
          <w:sz w:val="18"/>
        </w:rPr>
        <w:t>图6 Random Forest十分组收益表现</w:t>
      </w:r>
    </w:p>
    <w:p w14:paraId="69D2B2FF">
      <w:pPr>
        <w:spacing w:after="120" w:line="360" w:lineRule="auto"/>
        <w:ind w:firstLine="420"/>
        <w:jc w:val="both"/>
      </w:pPr>
      <w:r>
        <w:rPr>
          <w:rFonts w:ascii="Times New Roman" w:hAnsi="Times New Roman" w:eastAsia="宋体"/>
          <w:sz w:val="21"/>
        </w:rPr>
        <w:t>从十分组结果看，三类模型的高分组整体优于低分组。Random Forest的第10组期末净值为3.200，第1组为0.656，D10/D1约为4.88；LightGBM和XGBoost的D10/D1也分别达到约4.20和4.19。这说明模型输出概率并非随机排序，而是对未来相对收益具有一定区分度。</w:t>
      </w:r>
    </w:p>
    <w:p w14:paraId="2568AB68">
      <w:pPr>
        <w:spacing w:before="280" w:after="160"/>
      </w:pPr>
      <w:r>
        <w:rPr>
          <w:rFonts w:ascii="Times New Roman" w:hAnsi="Times New Roman" w:eastAsia="黑体"/>
          <w:b/>
          <w:sz w:val="30"/>
        </w:rPr>
        <w:t>8 风险解释与回撤口径修正</w:t>
      </w:r>
    </w:p>
    <w:p w14:paraId="45030D9A">
      <w:pPr>
        <w:spacing w:after="120" w:line="360" w:lineRule="auto"/>
        <w:ind w:firstLine="420"/>
        <w:jc w:val="both"/>
      </w:pPr>
      <w:r>
        <w:rPr>
          <w:rFonts w:ascii="Times New Roman" w:hAnsi="Times New Roman" w:eastAsia="宋体"/>
          <w:sz w:val="21"/>
        </w:rPr>
        <w:t>老师提出“十分组回测90%的最大回撤不合理”后，研究对回撤来源进行了复查。复查结果表明，90%以上最大回撤并非来自十分组回测本身，而是来自Long前10/Short后10多空策略。十分组中低分组的最大回撤确实较高，例如Random Forest最低分组最大回撤约64.71%，但并未达到90%以上。Random Forest的Long前10/Short后10策略最大回撤为98.17%，主要由做空低分股票组合在局部时期出现剧烈反弹导致。</w:t>
      </w:r>
    </w:p>
    <w:p w14:paraId="212D561F">
      <w:pPr>
        <w:jc w:val="center"/>
      </w:pPr>
      <w:r>
        <w:drawing>
          <wp:inline distT="0" distB="0" distL="114300" distR="114300">
            <wp:extent cx="5303520" cy="2970530"/>
            <wp:effectExtent l="0" t="0" r="508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5303520" cy="2970661"/>
                    </a:xfrm>
                    <a:prstGeom prst="rect">
                      <a:avLst/>
                    </a:prstGeom>
                  </pic:spPr>
                </pic:pic>
              </a:graphicData>
            </a:graphic>
          </wp:inline>
        </w:drawing>
      </w:r>
    </w:p>
    <w:p w14:paraId="08043E99">
      <w:pPr>
        <w:spacing w:after="160"/>
        <w:jc w:val="center"/>
      </w:pPr>
      <w:r>
        <w:rPr>
          <w:rFonts w:ascii="Times New Roman" w:hAnsi="Times New Roman" w:eastAsia="宋体"/>
          <w:color w:val="666666"/>
          <w:sz w:val="18"/>
        </w:rPr>
        <w:t>图7 最大回撤口径修正</w:t>
      </w:r>
    </w:p>
    <w:p w14:paraId="365CA86D">
      <w:pPr>
        <w:spacing w:after="120" w:line="360" w:lineRule="auto"/>
        <w:ind w:firstLine="420"/>
        <w:jc w:val="both"/>
      </w:pPr>
      <w:r>
        <w:rPr>
          <w:rFonts w:ascii="Times New Roman" w:hAnsi="Times New Roman" w:eastAsia="宋体"/>
          <w:sz w:val="21"/>
        </w:rPr>
        <w:t>这一修正具有重要含义。低分股票并不等于未来一定下跌，尤其在A股市场中，低价、小市值或短期超跌股票可能在流动性改善、政策预期或风格切换时出现快速反弹。若直接做空低分组，组合会暴露在高波动、融券约束、涨跌停、借券成本和空头挤压等风险中。因此，Long前10/Short后10更适合作为研究实验，用于检验排序能力，而不应作为当前版本的主推荐策略。相比之下，Long前10/Short指数通过对冲中证500指数暴露，更接近可落地的风险控制方式。</w:t>
      </w:r>
    </w:p>
    <w:p w14:paraId="732FD979">
      <w:pPr>
        <w:spacing w:before="280" w:after="160"/>
      </w:pPr>
      <w:r>
        <w:rPr>
          <w:rFonts w:ascii="Times New Roman" w:hAnsi="Times New Roman" w:eastAsia="黑体"/>
          <w:b/>
          <w:sz w:val="30"/>
        </w:rPr>
        <w:t>9 结论、局限与后续改进</w:t>
      </w:r>
    </w:p>
    <w:p w14:paraId="6C7BDDF5">
      <w:pPr>
        <w:spacing w:after="120" w:line="360" w:lineRule="auto"/>
        <w:ind w:firstLine="420"/>
        <w:jc w:val="both"/>
      </w:pPr>
      <w:r>
        <w:rPr>
          <w:rFonts w:ascii="Times New Roman" w:hAnsi="Times New Roman" w:eastAsia="宋体"/>
          <w:sz w:val="21"/>
        </w:rPr>
        <w:t>本文完成了从研报复刻到策略改进的完整研究过程。首先，项目打通了Tushare数据下载、动态股票池、因子工程、标签构造、训练集/验证集/测试集/回测集切分、模型训练、回测评估和报告生成流程。其次，研究将早期基于回测Sharpe选参的做法改为验证集调参，使参数选择更加严谨。第三，实证结果表明Random Forest在当前数据和因子体系下最稳健，尤其是Long前10/Short中证500指数策略，在收益、Sharpe和最大回撤之间表现最好。第四，风险复查说明Long前10/Short后10策略的极端回撤来自空头端，而非十分组回测本身，后续应谨慎使用裸做空低分个股策略。</w:t>
      </w:r>
    </w:p>
    <w:p w14:paraId="709BCB91">
      <w:pPr>
        <w:spacing w:after="120" w:line="360" w:lineRule="auto"/>
        <w:ind w:firstLine="420"/>
        <w:jc w:val="both"/>
      </w:pPr>
      <w:r>
        <w:rPr>
          <w:rFonts w:ascii="Times New Roman" w:hAnsi="Times New Roman" w:eastAsia="宋体"/>
          <w:sz w:val="21"/>
        </w:rPr>
        <w:t>本文仍存在若干局限。第一，当前因子体系虽然覆盖多个维度，但仍可进一步加入行业中性因子、分析师预期、资金流、情绪和高频交易行为特征。第二，验证集调参采用固定时间切分，未来可以改为滚动训练和滚动验证，以更好适应市场状态变化。第三，回测中交易成本已加入，但尚未完整模拟冲击成本、成交量约束、涨跌停不可成交和融券可得性。第四，模型解释仍可进一步补充SHAP值、因子重要性稳定性和不同市场阶段的归因分析。</w:t>
      </w:r>
    </w:p>
    <w:p w14:paraId="22A12663">
      <w:pPr>
        <w:spacing w:after="120" w:line="360" w:lineRule="auto"/>
        <w:ind w:firstLine="420"/>
        <w:jc w:val="both"/>
      </w:pPr>
      <w:r>
        <w:rPr>
          <w:rFonts w:ascii="Times New Roman" w:hAnsi="Times New Roman" w:eastAsia="宋体"/>
          <w:sz w:val="21"/>
        </w:rPr>
        <w:t>后续推荐的改进方向包括：在组合层面加入行业中性和市值中性约束；对调仓换手率设置上限并引入更细致的交易成本模型；使用滚动窗口重新训练模型；补充市场风格分段回测；将模型分数转化为更稳定的组合权重，而不是只选择Top10；进一步研究指数对冲比例和风险预算。通过这些改进，策略可以从研究型复刻进一步向可实盘评估的量化选股框架靠近。</w:t>
      </w:r>
    </w:p>
    <w:p w14:paraId="5449AF83">
      <w:pPr>
        <w:spacing w:before="280" w:after="160"/>
      </w:pPr>
      <w:r>
        <w:rPr>
          <w:rFonts w:ascii="Times New Roman" w:hAnsi="Times New Roman" w:eastAsia="黑体"/>
          <w:b/>
          <w:sz w:val="30"/>
        </w:rPr>
        <w:t>附录：主要代码与输出文件说明</w:t>
      </w:r>
    </w:p>
    <w:tbl>
      <w:tblPr>
        <w:tblStyle w:val="32"/>
        <w:tblW w:w="0" w:type="auto"/>
        <w:jc w:val="center"/>
        <w:tblLayout w:type="fixed"/>
        <w:tblCellMar>
          <w:top w:w="0" w:type="dxa"/>
          <w:left w:w="108" w:type="dxa"/>
          <w:bottom w:w="0" w:type="dxa"/>
          <w:right w:w="108" w:type="dxa"/>
        </w:tblCellMar>
      </w:tblPr>
      <w:tblGrid>
        <w:gridCol w:w="4422"/>
        <w:gridCol w:w="4422"/>
      </w:tblGrid>
      <w:tr w14:paraId="76D48539">
        <w:tblPrEx>
          <w:tblCellMar>
            <w:top w:w="0" w:type="dxa"/>
            <w:left w:w="108" w:type="dxa"/>
            <w:bottom w:w="0" w:type="dxa"/>
            <w:right w:w="108" w:type="dxa"/>
          </w:tblCellMar>
        </w:tblPrEx>
        <w:trPr>
          <w:jc w:val="center"/>
        </w:trPr>
        <w:tc>
          <w:tcPr>
            <w:tcW w:w="4082" w:type="dxa"/>
            <w:tcBorders>
              <w:top w:val="single" w:color="BFBFBF" w:sz="6" w:space="0"/>
              <w:left w:val="single" w:color="BFBFBF" w:sz="6" w:space="0"/>
              <w:bottom w:val="single" w:color="BFBFBF" w:sz="6" w:space="0"/>
              <w:right w:val="single" w:color="BFBFBF" w:sz="6" w:space="0"/>
              <w:insideH w:val="single" w:sz="6" w:space="0"/>
              <w:insideV w:val="single" w:sz="6" w:space="0"/>
            </w:tcBorders>
            <w:shd w:val="clear" w:color="auto" w:fill="222222"/>
            <w:vAlign w:val="center"/>
          </w:tcPr>
          <w:p w14:paraId="7D95AE92">
            <w:pPr>
              <w:jc w:val="center"/>
            </w:pPr>
            <w:r>
              <w:rPr>
                <w:rFonts w:ascii="Times New Roman" w:hAnsi="Times New Roman" w:eastAsia="黑体"/>
                <w:b/>
                <w:color w:val="FFFFFF"/>
                <w:sz w:val="18"/>
              </w:rPr>
              <w:t>文件</w:t>
            </w:r>
          </w:p>
        </w:tc>
        <w:tc>
          <w:tcPr>
            <w:tcW w:w="3515" w:type="dxa"/>
            <w:tcBorders>
              <w:top w:val="single" w:color="BFBFBF" w:sz="6" w:space="0"/>
              <w:left w:val="single" w:color="BFBFBF" w:sz="6" w:space="0"/>
              <w:bottom w:val="single" w:color="BFBFBF" w:sz="6" w:space="0"/>
              <w:right w:val="single" w:color="BFBFBF" w:sz="6" w:space="0"/>
              <w:insideH w:val="single" w:sz="6" w:space="0"/>
              <w:insideV w:val="single" w:sz="6" w:space="0"/>
            </w:tcBorders>
            <w:shd w:val="clear" w:color="auto" w:fill="222222"/>
            <w:vAlign w:val="center"/>
          </w:tcPr>
          <w:p w14:paraId="70A7706A">
            <w:pPr>
              <w:jc w:val="center"/>
            </w:pPr>
            <w:r>
              <w:rPr>
                <w:rFonts w:ascii="Times New Roman" w:hAnsi="Times New Roman" w:eastAsia="黑体"/>
                <w:b/>
                <w:color w:val="FFFFFF"/>
                <w:sz w:val="18"/>
              </w:rPr>
              <w:t>作用</w:t>
            </w:r>
          </w:p>
        </w:tc>
      </w:tr>
      <w:tr w14:paraId="76B0DA33">
        <w:tblPrEx>
          <w:tblCellMar>
            <w:top w:w="0" w:type="dxa"/>
            <w:left w:w="108" w:type="dxa"/>
            <w:bottom w:w="0" w:type="dxa"/>
            <w:right w:w="108" w:type="dxa"/>
          </w:tblCellMar>
        </w:tblPrEx>
        <w:trPr>
          <w:jc w:val="center"/>
        </w:trPr>
        <w:tc>
          <w:tcPr>
            <w:tcW w:w="4082"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center"/>
          </w:tcPr>
          <w:p w14:paraId="05568352">
            <w:pPr>
              <w:jc w:val="center"/>
            </w:pPr>
            <w:r>
              <w:rPr>
                <w:rFonts w:ascii="Times New Roman" w:hAnsi="Times New Roman" w:eastAsia="宋体"/>
                <w:sz w:val="17"/>
              </w:rPr>
              <w:t>strategy_upgrade_v2/src/01_make_dataset_with_validation.py</w:t>
            </w:r>
          </w:p>
        </w:tc>
        <w:tc>
          <w:tcPr>
            <w:tcW w:w="3515"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center"/>
          </w:tcPr>
          <w:p w14:paraId="792DC98B">
            <w:pPr>
              <w:jc w:val="center"/>
            </w:pPr>
            <w:r>
              <w:rPr>
                <w:rFonts w:ascii="Times New Roman" w:hAnsi="Times New Roman" w:eastAsia="宋体"/>
                <w:sz w:val="17"/>
              </w:rPr>
              <w:t>重新构造训练、验证、测试和回测数据集。</w:t>
            </w:r>
          </w:p>
        </w:tc>
      </w:tr>
      <w:tr w14:paraId="3C2D21E9">
        <w:tblPrEx>
          <w:tblCellMar>
            <w:top w:w="0" w:type="dxa"/>
            <w:left w:w="108" w:type="dxa"/>
            <w:bottom w:w="0" w:type="dxa"/>
            <w:right w:w="108" w:type="dxa"/>
          </w:tblCellMar>
        </w:tblPrEx>
        <w:trPr>
          <w:jc w:val="center"/>
        </w:trPr>
        <w:tc>
          <w:tcPr>
            <w:tcW w:w="4082"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center"/>
          </w:tcPr>
          <w:p w14:paraId="4C5B778A">
            <w:pPr>
              <w:jc w:val="center"/>
            </w:pPr>
            <w:r>
              <w:rPr>
                <w:rFonts w:ascii="Times New Roman" w:hAnsi="Times New Roman" w:eastAsia="宋体"/>
                <w:sz w:val="17"/>
              </w:rPr>
              <w:t>strategy_upgrade_v2/src/02_tune_models_on_validation.py</w:t>
            </w:r>
          </w:p>
        </w:tc>
        <w:tc>
          <w:tcPr>
            <w:tcW w:w="3515"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center"/>
          </w:tcPr>
          <w:p w14:paraId="3F3E75A9">
            <w:pPr>
              <w:jc w:val="center"/>
            </w:pPr>
            <w:r>
              <w:rPr>
                <w:rFonts w:ascii="Times New Roman" w:hAnsi="Times New Roman" w:eastAsia="宋体"/>
                <w:sz w:val="17"/>
              </w:rPr>
              <w:t>在训练集拟合模型，并用验证集选择XGBoost与LightGBM参数。</w:t>
            </w:r>
          </w:p>
        </w:tc>
      </w:tr>
      <w:tr w14:paraId="17FEFFBF">
        <w:tblPrEx>
          <w:tblCellMar>
            <w:top w:w="0" w:type="dxa"/>
            <w:left w:w="108" w:type="dxa"/>
            <w:bottom w:w="0" w:type="dxa"/>
            <w:right w:w="108" w:type="dxa"/>
          </w:tblCellMar>
        </w:tblPrEx>
        <w:trPr>
          <w:jc w:val="center"/>
        </w:trPr>
        <w:tc>
          <w:tcPr>
            <w:tcW w:w="4082"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center"/>
          </w:tcPr>
          <w:p w14:paraId="3592F94F">
            <w:pPr>
              <w:jc w:val="center"/>
            </w:pPr>
            <w:r>
              <w:rPr>
                <w:rFonts w:ascii="Times New Roman" w:hAnsi="Times New Roman" w:eastAsia="宋体"/>
                <w:sz w:val="17"/>
              </w:rPr>
              <w:t>strategy_upgrade_v2/src/03_backtest_extended_strategies.py</w:t>
            </w:r>
          </w:p>
        </w:tc>
        <w:tc>
          <w:tcPr>
            <w:tcW w:w="3515"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center"/>
          </w:tcPr>
          <w:p w14:paraId="6084692D">
            <w:pPr>
              <w:jc w:val="center"/>
            </w:pPr>
            <w:r>
              <w:rPr>
                <w:rFonts w:ascii="Times New Roman" w:hAnsi="Times New Roman" w:eastAsia="宋体"/>
                <w:sz w:val="17"/>
              </w:rPr>
              <w:t>执行十分组回测、Long前10、Long前10/Short后10和Long前10/Short指数回测。</w:t>
            </w:r>
          </w:p>
        </w:tc>
      </w:tr>
      <w:tr w14:paraId="40D4B754">
        <w:tblPrEx>
          <w:tblCellMar>
            <w:top w:w="0" w:type="dxa"/>
            <w:left w:w="108" w:type="dxa"/>
            <w:bottom w:w="0" w:type="dxa"/>
            <w:right w:w="108" w:type="dxa"/>
          </w:tblCellMar>
        </w:tblPrEx>
        <w:trPr>
          <w:jc w:val="center"/>
        </w:trPr>
        <w:tc>
          <w:tcPr>
            <w:tcW w:w="4082"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center"/>
          </w:tcPr>
          <w:p w14:paraId="0F932893">
            <w:pPr>
              <w:jc w:val="center"/>
            </w:pPr>
            <w:r>
              <w:rPr>
                <w:rFonts w:ascii="Times New Roman" w:hAnsi="Times New Roman" w:eastAsia="宋体"/>
                <w:sz w:val="17"/>
              </w:rPr>
              <w:t>outputs/improved_v2/extended_strategy_summary.csv</w:t>
            </w:r>
          </w:p>
        </w:tc>
        <w:tc>
          <w:tcPr>
            <w:tcW w:w="3515"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center"/>
          </w:tcPr>
          <w:p w14:paraId="5BD6E6EC">
            <w:pPr>
              <w:jc w:val="center"/>
            </w:pPr>
            <w:r>
              <w:rPr>
                <w:rFonts w:ascii="Times New Roman" w:hAnsi="Times New Roman" w:eastAsia="宋体"/>
                <w:sz w:val="17"/>
              </w:rPr>
              <w:t>三类模型与三类策略的核心绩效指标。</w:t>
            </w:r>
          </w:p>
        </w:tc>
      </w:tr>
      <w:tr w14:paraId="42031DD7">
        <w:tblPrEx>
          <w:tblCellMar>
            <w:top w:w="0" w:type="dxa"/>
            <w:left w:w="108" w:type="dxa"/>
            <w:bottom w:w="0" w:type="dxa"/>
            <w:right w:w="108" w:type="dxa"/>
          </w:tblCellMar>
        </w:tblPrEx>
        <w:trPr>
          <w:jc w:val="center"/>
        </w:trPr>
        <w:tc>
          <w:tcPr>
            <w:tcW w:w="4082"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center"/>
          </w:tcPr>
          <w:p w14:paraId="491CC100">
            <w:pPr>
              <w:jc w:val="center"/>
            </w:pPr>
            <w:r>
              <w:rPr>
                <w:rFonts w:ascii="Times New Roman" w:hAnsi="Times New Roman" w:eastAsia="宋体"/>
                <w:sz w:val="17"/>
              </w:rPr>
              <w:t>outputs/improved_v2/decile_summary_checked.csv</w:t>
            </w:r>
          </w:p>
        </w:tc>
        <w:tc>
          <w:tcPr>
            <w:tcW w:w="3515"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center"/>
          </w:tcPr>
          <w:p w14:paraId="343B25E1">
            <w:pPr>
              <w:jc w:val="center"/>
            </w:pPr>
            <w:r>
              <w:rPr>
                <w:rFonts w:ascii="Times New Roman" w:hAnsi="Times New Roman" w:eastAsia="宋体"/>
                <w:sz w:val="17"/>
              </w:rPr>
              <w:t>十分组期末净值、累计收益和最大回撤修正结果。</w:t>
            </w:r>
          </w:p>
        </w:tc>
      </w:tr>
      <w:tr w14:paraId="153DDD13">
        <w:tblPrEx>
          <w:tblCellMar>
            <w:top w:w="0" w:type="dxa"/>
            <w:left w:w="108" w:type="dxa"/>
            <w:bottom w:w="0" w:type="dxa"/>
            <w:right w:w="108" w:type="dxa"/>
          </w:tblCellMar>
        </w:tblPrEx>
        <w:trPr>
          <w:jc w:val="center"/>
        </w:trPr>
        <w:tc>
          <w:tcPr>
            <w:tcW w:w="4082"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center"/>
          </w:tcPr>
          <w:p w14:paraId="5782D288">
            <w:pPr>
              <w:jc w:val="center"/>
            </w:pPr>
            <w:r>
              <w:rPr>
                <w:rFonts w:ascii="Times New Roman" w:hAnsi="Times New Roman" w:eastAsia="宋体"/>
                <w:sz w:val="17"/>
              </w:rPr>
              <w:t>reports/improved_v2/figures_report_v2_extra</w:t>
            </w:r>
          </w:p>
        </w:tc>
        <w:tc>
          <w:tcPr>
            <w:tcW w:w="3515"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center"/>
          </w:tcPr>
          <w:p w14:paraId="3FDC3F02">
            <w:pPr>
              <w:jc w:val="center"/>
            </w:pPr>
            <w:r>
              <w:rPr>
                <w:rFonts w:ascii="Times New Roman" w:hAnsi="Times New Roman" w:eastAsia="宋体"/>
                <w:sz w:val="17"/>
              </w:rPr>
              <w:t>本报告新增的补充图表。</w:t>
            </w:r>
          </w:p>
        </w:tc>
      </w:tr>
    </w:tbl>
    <w:p w14:paraId="276D0E6A"/>
    <w:sectPr>
      <w:footerReference r:id="rId5" w:type="default"/>
      <w:pgSz w:w="11906" w:h="16838"/>
      <w:pgMar w:top="1474" w:right="1474" w:bottom="1361" w:left="1587" w:header="850" w:footer="85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Ohhige113"/>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9CE36E">
    <w:pPr>
      <w:pStyle w:val="24"/>
      <w:jc w:val="center"/>
    </w:pPr>
    <w:r>
      <w:rPr>
        <w:rFonts w:ascii="Times New Roman" w:hAnsi="Times New Roman" w:eastAsia="宋体"/>
        <w:color w:val="666666"/>
        <w:sz w:val="18"/>
      </w:rPr>
      <w:t>机器学习多因子选股策略研究报告</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461B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2584</Words>
  <Characters>3792</Characters>
  <Lines>0</Lines>
  <Paragraphs>0</Paragraphs>
  <TotalTime>0</TotalTime>
  <ScaleCrop>false</ScaleCrop>
  <LinksUpToDate>false</LinksUpToDate>
  <CharactersWithSpaces>3857</CharactersWithSpaces>
  <Application>WPS Office_12.1.0.28488_F1E327BC-269C-435d-A152-05C5408002CA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RUSS.W</cp:lastModifiedBy>
  <dcterms:modified xsi:type="dcterms:W3CDTF">2026-09-15T05:45:49Z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eyJoZGlkIjoiNTE4YmZjMTM0MGJhYTMwYTI2ZjYxNTRkZTVkMjI4M2QiLCJ1c2VySWQiOiI4NjMwNTEzMDgifQ==</vt:lpwstr>
  </property>
  <property fmtid="{D5CDD505-2E9C-101B-9397-08002B2CF9AE}" pid="3" name="KSOProductBuildVer">
    <vt:lpwstr>2052-12.1.0.28488</vt:lpwstr>
  </property>
  <property fmtid="{D5CDD505-2E9C-101B-9397-08002B2CF9AE}" pid="4" name="ICV">
    <vt:lpwstr>3A5D870DF497461C82EB27072CB57DD2_12</vt:lpwstr>
  </property>
</Properties>
</file>