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60"/>
      </w:pPr>
      <w:r>
        <w:rPr>
          <w:rFonts w:ascii="Malgun Gothic" w:hAnsi="Malgun Gothic" w:eastAsia="Malgun Gothic"/>
          <w:b/>
          <w:color w:val="087F8C"/>
          <w:sz w:val="20"/>
        </w:rPr>
        <w:t>SOODAL LIFE</w:t>
      </w:r>
    </w:p>
    <w:p>
      <w:pPr>
        <w:pStyle w:val="Title"/>
      </w:pPr>
      <w:r>
        <w:t>인테리어 공급자 수수료 정책</w:t>
      </w:r>
    </w:p>
    <w:p>
      <w:pPr>
        <w:pStyle w:val="Subtitle"/>
      </w:pPr>
      <w:r>
        <w:t>FEE-I1 · 고객의 최종 시공업체 선택 시 공급자 지갑 차감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tblHeader w:val="true"/>
        </w:trPr>
        <w:tc>
          <w:tcPr>
            <w:tcW w:type="dxa" w:w="22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16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문서 버전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v1.0</w:t>
            </w:r>
          </w:p>
        </w:tc>
      </w:tr>
      <w:tr>
        <w:tc>
          <w:tcPr>
            <w:tcW w:type="dxa" w:w="220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정책코드</w:t>
            </w:r>
          </w:p>
        </w:tc>
        <w:tc>
          <w:tcPr>
            <w:tcW w:type="dxa" w:w="716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FEE-I1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시행 예정일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2026년 9월 1일</w:t>
            </w:r>
          </w:p>
        </w:tc>
      </w:tr>
      <w:tr>
        <w:tc>
          <w:tcPr>
            <w:tcW w:type="dxa" w:w="220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운영 주체</w:t>
            </w:r>
          </w:p>
        </w:tc>
        <w:tc>
          <w:tcPr>
            <w:tcW w:type="dxa" w:w="716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(주)디에이치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적용 서비스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수달 라이프 인테리어 최종 시공업체 선택 거래</w:t>
            </w:r>
          </w:p>
        </w:tc>
      </w:tr>
      <w:tr>
        <w:tc>
          <w:tcPr>
            <w:tcW w:type="dxa" w:w="220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정책 상태</w:t>
            </w:r>
          </w:p>
        </w:tc>
        <w:tc>
          <w:tcPr>
            <w:tcW w:type="dxa" w:w="716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확정 · 기존 POLICY_PENDING 해제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4F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20"/>
              </w:rPr>
            </w:r>
            <w:r>
              <w:rPr>
                <w:rFonts w:ascii="Malgun Gothic" w:hAnsi="Malgun Gothic" w:eastAsia="Malgun Gothic"/>
                <w:b/>
                <w:color w:val="087F8C"/>
                <w:sz w:val="20"/>
              </w:rPr>
              <w:t xml:space="preserve">정책 결정  </w:t>
            </w:r>
            <w:r>
              <w:rPr>
                <w:rFonts w:ascii="Malgun Gothic" w:hAnsi="Malgun Gothic" w:eastAsia="Malgun Gothic"/>
                <w:b w:val="0"/>
                <w:color w:val="24323D"/>
                <w:sz w:val="20"/>
              </w:rPr>
              <w:t>실측업체 선택·실측 완료·예비견적 제출 단계에는 수수료를 부과하지 않습니다. 고객이 실측 후 최종 시공 공급자를 선택하는 단계에서 선택된 공급자 한 곳에만 수수료를 부과합니다.</w:t>
            </w:r>
          </w:p>
        </w:tc>
      </w:tr>
    </w:tbl>
    <w:p>
      <w:pPr>
        <w:spacing w:after="0"/>
      </w:pPr>
    </w:p>
    <w:p>
      <w:pPr>
        <w:pStyle w:val="Heading1"/>
      </w:pPr>
      <w:r>
        <w:t>1. 목적과 기본 원칙</w:t>
      </w:r>
    </w:p>
    <w:p>
      <w:pPr>
        <w:pStyle w:val="ListNumber"/>
      </w:pPr>
      <w:r>
        <w:t>FEE-I1은 인테리어 견적 제출 수수료나 현장 실측 수수료가 아니라, 고객이 최종 시공업체를 선택한 결과에 대해 부과하는 플랫폼 중개 수수료입니다.</w:t>
      </w:r>
    </w:p>
    <w:p>
      <w:pPr>
        <w:pStyle w:val="ListNumber"/>
      </w:pPr>
      <w:r>
        <w:t>서비스 계약과 공사대금 지급의 당사자는 고객과 공급자이며, 고객은 공사대금을 공급자에게 직접 지급합니다.</w:t>
      </w:r>
    </w:p>
    <w:p>
      <w:pPr>
        <w:pStyle w:val="ListNumber"/>
      </w:pPr>
      <w:r>
        <w:t>수달 라이프는 최종 선택 시 공급자 지갑에서 정해진 수수료만 차감하고 원장·복원·분쟁처리 이력을 보존합니다.</w:t>
      </w:r>
    </w:p>
    <w:p>
      <w:pPr>
        <w:pStyle w:val="Heading1"/>
      </w:pPr>
      <w:r>
        <w:t>2. 부과 대상과 시점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tblHeader w:val="true"/>
        </w:trPr>
        <w:tc>
          <w:tcPr>
            <w:tcW w:type="dxa" w:w="25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86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확정 기준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부과 대상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고객이 최종 선택한 인테리어 시공 공급자 1곳</w:t>
            </w:r>
          </w:p>
        </w:tc>
      </w:tr>
      <w:tr>
        <w:tc>
          <w:tcPr>
            <w:tcW w:type="dxa" w:w="250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부과 시점</w:t>
            </w:r>
          </w:p>
        </w:tc>
        <w:tc>
          <w:tcPr>
            <w:tcW w:type="dxa" w:w="686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고객이 유효한 POST_SITE_VISIT 또는 CONTRACT_ESTIMATE 최신 견적을 최종 선택하는 즉시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산정 기준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부가가치세를 포함한 최종 선택 견적의 총금액</w:t>
            </w:r>
          </w:p>
        </w:tc>
      </w:tr>
      <w:tr>
        <w:tc>
          <w:tcPr>
            <w:tcW w:type="dxa" w:w="250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차감 방식</w:t>
            </w:r>
          </w:p>
        </w:tc>
        <w:tc>
          <w:tcPr>
            <w:tcW w:type="dxa" w:w="686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공급자 지갑에서 해당 거래당 한 번만 원자적으로 차감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부과하지 않는 단계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실측 후보 제안, 실측업체 선택, 실측 완료, 예비견적 제출, 견적 수정, 미선택 공급자</w:t>
            </w:r>
          </w:p>
        </w:tc>
      </w:tr>
      <w:tr>
        <w:tc>
          <w:tcPr>
            <w:tcW w:type="dxa" w:w="250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추가공사</w:t>
            </w:r>
          </w:p>
        </w:tc>
        <w:tc>
          <w:tcPr>
            <w:tcW w:type="dxa" w:w="686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최종 선택 이후 계약 변경·추가공사가 발생해도 FEE-I1을 추가로 부과하지 않음</w:t>
            </w:r>
          </w:p>
        </w:tc>
      </w:tr>
    </w:tbl>
    <w:p>
      <w:pPr>
        <w:spacing w:after="0"/>
      </w:pPr>
    </w:p>
    <w:p>
      <w:pPr>
        <w:pStyle w:val="Heading1"/>
      </w:pPr>
      <w:r>
        <w:t>3. 견적금액별 수수료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200"/>
        <w:gridCol w:w="3160"/>
      </w:tblGrid>
      <w:tr>
        <w:trPr>
          <w:tblHeader w:val="true"/>
          <w:tblHeader w:val="true"/>
        </w:trPr>
        <w:tc>
          <w:tcPr>
            <w:tcW w:type="dxa" w:w="62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최종 선택 견적금액</w:t>
            </w:r>
          </w:p>
        </w:tc>
        <w:tc>
          <w:tcPr>
            <w:tcW w:type="dxa" w:w="316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공급자 수수료</w:t>
            </w:r>
          </w:p>
        </w:tc>
      </w:tr>
      <w:tr>
        <w:tc>
          <w:tcPr>
            <w:tcW w:type="dxa" w:w="6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50,000원 미만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1,000원</w:t>
            </w:r>
          </w:p>
        </w:tc>
      </w:tr>
      <w:tr>
        <w:tc>
          <w:tcPr>
            <w:tcW w:type="dxa" w:w="620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50,000원 이상 100,000원 미만</w:t>
            </w:r>
          </w:p>
        </w:tc>
        <w:tc>
          <w:tcPr>
            <w:tcW w:type="dxa" w:w="316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2,000원</w:t>
            </w:r>
          </w:p>
        </w:tc>
      </w:tr>
      <w:tr>
        <w:tc>
          <w:tcPr>
            <w:tcW w:type="dxa" w:w="6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100,000원 이상 200,000원 미만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3,000원</w:t>
            </w:r>
          </w:p>
        </w:tc>
      </w:tr>
      <w:tr>
        <w:tc>
          <w:tcPr>
            <w:tcW w:type="dxa" w:w="620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200,000원 이상 500,000원 미만</w:t>
            </w:r>
          </w:p>
        </w:tc>
        <w:tc>
          <w:tcPr>
            <w:tcW w:type="dxa" w:w="316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5,000원</w:t>
            </w:r>
          </w:p>
        </w:tc>
      </w:tr>
      <w:tr>
        <w:tc>
          <w:tcPr>
            <w:tcW w:type="dxa" w:w="6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500,000원 이상 1,000,000원 미만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10,000원</w:t>
            </w:r>
          </w:p>
        </w:tc>
      </w:tr>
      <w:tr>
        <w:tc>
          <w:tcPr>
            <w:tcW w:type="dxa" w:w="620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1,000,000원 이상 3,000,000원 미만</w:t>
            </w:r>
          </w:p>
        </w:tc>
        <w:tc>
          <w:tcPr>
            <w:tcW w:type="dxa" w:w="316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20,000원</w:t>
            </w:r>
          </w:p>
        </w:tc>
      </w:tr>
      <w:tr>
        <w:tc>
          <w:tcPr>
            <w:tcW w:type="dxa" w:w="6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3,000,000원 이상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30,000원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3F5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20"/>
              </w:rPr>
            </w:r>
            <w:r>
              <w:rPr>
                <w:rFonts w:ascii="Malgun Gothic" w:hAnsi="Malgun Gothic" w:eastAsia="Malgun Gothic"/>
                <w:b/>
                <w:color w:val="087F8C"/>
                <w:sz w:val="20"/>
              </w:rPr>
              <w:t xml:space="preserve">구간 판정  </w:t>
            </w:r>
            <w:r>
              <w:rPr>
                <w:rFonts w:ascii="Malgun Gothic" w:hAnsi="Malgun Gothic" w:eastAsia="Malgun Gothic"/>
                <w:b w:val="0"/>
                <w:color w:val="24323D"/>
                <w:sz w:val="20"/>
              </w:rPr>
              <w:t>최종 선택 견적의 TotalAmount를 사용합니다. 경계 금액은 상위 구간에 포함하며, 3,000,000원 이상은 금액과 관계없이 30,000원을 적용합니다.</w:t>
            </w:r>
          </w:p>
        </w:tc>
      </w:tr>
    </w:tbl>
    <w:p>
      <w:pPr>
        <w:spacing w:after="0"/>
      </w:pPr>
    </w:p>
    <w:p>
      <w:pPr>
        <w:pStyle w:val="Heading1"/>
      </w:pPr>
      <w:r>
        <w:t>4. 선택 및 차감 처리</w:t>
      </w:r>
    </w:p>
    <w:p>
      <w:pPr>
        <w:pStyle w:val="ListNumber"/>
      </w:pPr>
      <w:r>
        <w:t>고객이 선택할 수 있는 견적이 제출·미철회·미만료 상태인지 확인합니다.</w:t>
      </w:r>
    </w:p>
    <w:p>
      <w:pPr>
        <w:pStyle w:val="ListNumber"/>
      </w:pPr>
      <w:r>
        <w:t>POST_SITE_VISIT 또는 CONTRACT_ESTIMATE 목적의 최신 견적 Version인지 확인합니다.</w:t>
      </w:r>
    </w:p>
    <w:p>
      <w:pPr>
        <w:pStyle w:val="ListNumber"/>
      </w:pPr>
      <w:r>
        <w:t>공급자의 서비스 승인, 출장지역, 자격요건, 활동상태 및 고객과의 차단관계를 재검증합니다.</w:t>
      </w:r>
    </w:p>
    <w:p>
      <w:pPr>
        <w:pStyle w:val="ListNumber"/>
      </w:pPr>
      <w:r>
        <w:t>견적 총금액에 해당하는 FEE-I1 구간 수수료와 공급자 지갑 잔액을 확인합니다.</w:t>
      </w:r>
    </w:p>
    <w:p>
      <w:pPr>
        <w:pStyle w:val="ListNumber"/>
      </w:pPr>
      <w:r>
        <w:t>선택 거래와 견적·정책 Snapshot을 생성하고 공급자 지갑에서 수수료를 원자적으로 차감합니다.</w:t>
      </w:r>
    </w:p>
    <w:p>
      <w:pPr>
        <w:pStyle w:val="ListNumber"/>
      </w:pPr>
      <w:r>
        <w:t>차감 성공 후 최종 시공 공급자와 견적 Version을 확정하고 프로젝트 수수료 상태를 ASSESSED로 변경합니다.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4C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20"/>
              </w:rPr>
            </w:r>
            <w:r>
              <w:rPr>
                <w:rFonts w:ascii="Malgun Gothic" w:hAnsi="Malgun Gothic" w:eastAsia="Malgun Gothic"/>
                <w:b/>
                <w:color w:val="087F8C"/>
                <w:sz w:val="20"/>
              </w:rPr>
              <w:t xml:space="preserve">잔액 부족  </w:t>
            </w:r>
            <w:r>
              <w:rPr>
                <w:rFonts w:ascii="Malgun Gothic" w:hAnsi="Malgun Gothic" w:eastAsia="Malgun Gothic"/>
                <w:b w:val="0"/>
                <w:color w:val="24323D"/>
                <w:sz w:val="20"/>
              </w:rPr>
              <w:t>공급자 지갑이 비활성 상태이거나 수수료를 차감할 잔액이 부족하면 최종 선택을 완료하지 않습니다. 고객에게는 선택 실패를 안내하고 공급자에게 충전 필요 상태가 표시되어야 합니다.</w:t>
            </w:r>
          </w:p>
        </w:tc>
      </w:tr>
    </w:tbl>
    <w:p>
      <w:pPr>
        <w:spacing w:after="0"/>
      </w:pPr>
    </w:p>
    <w:p>
      <w:pPr>
        <w:pStyle w:val="Heading1"/>
      </w:pPr>
      <w:r>
        <w:t>5. 중복 차감 방지와 원장</w:t>
      </w:r>
    </w:p>
    <w:p>
      <w:pPr>
        <w:pStyle w:val="ListBullet"/>
      </w:pPr>
      <w:r>
        <w:t>동일한 선택 요청이 재전송되거나 네트워크 재시도가 발생해도 IdempotencyKey를 기준으로 동일 결과를 반환합니다.</w:t>
      </w:r>
    </w:p>
    <w:p>
      <w:pPr>
        <w:pStyle w:val="ListBullet"/>
      </w:pPr>
      <w:r>
        <w:t>동일 거래와 FEE-I1 정책 조합에는 FeeCharge를 한 건만 생성합니다.</w:t>
      </w:r>
    </w:p>
    <w:p>
      <w:pPr>
        <w:pStyle w:val="ListBullet"/>
      </w:pPr>
      <w:r>
        <w:t>WalletLedgerEntry는 USE 유형의 음수 금액으로 기록하고 수정하거나 삭제하지 않습니다.</w:t>
      </w:r>
    </w:p>
    <w:p>
      <w:pPr>
        <w:pStyle w:val="ListBullet"/>
      </w:pPr>
      <w:r>
        <w:t>거래에는 선택 견적, 수수료 정책, 계산구간, 계산금액, 실제 차감금액 및 Trust 점수 Snapshot을 보존합니다.</w:t>
      </w:r>
    </w:p>
    <w:p>
      <w:pPr>
        <w:pStyle w:val="Heading1"/>
      </w:pPr>
      <w:r>
        <w:t>6. 수수료 복원</w:t>
      </w:r>
    </w:p>
    <w:p>
      <w:pPr>
        <w:pStyle w:val="Heading2"/>
      </w:pPr>
      <w:r>
        <w:t>6.1 전액 복원 사유</w:t>
      </w:r>
    </w:p>
    <w:p>
      <w:pPr>
        <w:pStyle w:val="ListBullet"/>
      </w:pPr>
      <w:r>
        <w:t>허위·중복 요청 또는 존재하지 않는 고객 요청</w:t>
      </w:r>
    </w:p>
    <w:p>
      <w:pPr>
        <w:pStyle w:val="ListBullet"/>
      </w:pPr>
      <w:r>
        <w:t>고객의 법정 청약철회</w:t>
      </w:r>
    </w:p>
    <w:p>
      <w:pPr>
        <w:pStyle w:val="ListBullet"/>
      </w:pPr>
      <w:r>
        <w:t>공급자가 출동·자재준비·상담 등 실질적인 업무를 시작하기 전 고객 취소</w:t>
      </w:r>
    </w:p>
    <w:p>
      <w:pPr>
        <w:pStyle w:val="ListBullet"/>
      </w:pPr>
      <w:r>
        <w:t>시스템 오류 또는 중복 차감</w:t>
      </w:r>
    </w:p>
    <w:p>
      <w:pPr>
        <w:pStyle w:val="ListBullet"/>
      </w:pPr>
      <w:r>
        <w:t>고객 연락처·주소 오류로 거래 진행이 객관적으로 불가능한 경우</w:t>
      </w:r>
    </w:p>
    <w:p>
      <w:pPr>
        <w:pStyle w:val="ListBullet"/>
      </w:pPr>
      <w:r>
        <w:t>천재지변·입원·사고 등 관리자 승인 불가항력</w:t>
      </w:r>
    </w:p>
    <w:p>
      <w:pPr>
        <w:pStyle w:val="ListBullet"/>
      </w:pPr>
      <w:r>
        <w:t>회사가 승인한 거래 무효 또는 관리자 취소</w:t>
      </w:r>
    </w:p>
    <w:p>
      <w:pPr>
        <w:pStyle w:val="Heading2"/>
      </w:pPr>
      <w:r>
        <w:t>6.2 복원하지 않는 경우</w:t>
      </w:r>
    </w:p>
    <w:p>
      <w:pPr>
        <w:pStyle w:val="ListBullet"/>
      </w:pPr>
      <w:r>
        <w:t>서비스가 정상 완료된 경우</w:t>
      </w:r>
    </w:p>
    <w:p>
      <w:pPr>
        <w:pStyle w:val="ListBullet"/>
      </w:pPr>
      <w:r>
        <w:t>공급자 귀책으로 취소·미방문한 경우</w:t>
      </w:r>
    </w:p>
    <w:p>
      <w:pPr>
        <w:pStyle w:val="ListBullet"/>
      </w:pPr>
      <w:r>
        <w:t>공급자가 고객과 합의하여 플랫폼 밖에서 거래한 경우</w:t>
      </w:r>
    </w:p>
    <w:p>
      <w:pPr>
        <w:pStyle w:val="ListBullet"/>
      </w:pPr>
      <w:r>
        <w:t>공급자가 실질적인 업무를 시작한 후 발생한 단순 고객 변심</w:t>
      </w:r>
    </w:p>
    <w:p>
      <w:pPr>
        <w:pStyle w:val="ListBullet"/>
      </w:pPr>
      <w:r>
        <w:t>허위견적, 가격변경 유도 또는 정책 위반으로 거래가 취소된 경우</w:t>
      </w:r>
    </w:p>
    <w:p>
      <w:r>
        <w:t>복원 시 기존 차감내역을 삭제하지 않고 별도의 FeeRestore 및 복원 원장으로 전액을 기록합니다.</w:t>
      </w:r>
    </w:p>
    <w:p>
      <w:pPr>
        <w:pStyle w:val="Heading1"/>
      </w:pPr>
      <w:r>
        <w:t>7. 기존 프로젝트 적용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tblHeader w:val="true"/>
        </w:trPr>
        <w:tc>
          <w:tcPr>
            <w:tcW w:type="dxa" w:w="30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프로젝트 상태</w:t>
            </w:r>
          </w:p>
        </w:tc>
        <w:tc>
          <w:tcPr>
            <w:tcW w:type="dxa" w:w="636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처리 원칙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최종 공급자 미선택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기존 POLICY_PENDING을 PENDING_SELECTION으로 전환하고, 이후 최종 선택 시 본 정책을 적용</w:t>
            </w:r>
          </w:p>
        </w:tc>
      </w:tr>
      <w:tr>
        <w:tc>
          <w:tcPr>
            <w:tcW w:type="dxa" w:w="300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정책 시행 전 최종 선택 완료</w:t>
            </w:r>
          </w:p>
        </w:tc>
        <w:tc>
          <w:tcPr>
            <w:tcW w:type="dxa" w:w="636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자동 소급 차감하지 않고 NOT_APPLICABLE 또는 별도 관리자 승인 대상으로 관리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정책 시행 후 최종 선택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선택과 수수료 차감을 하나의 트랜잭션으로 처리하고 ASSESSED로 전환</w:t>
            </w:r>
          </w:p>
        </w:tc>
      </w:tr>
      <w:tr>
        <w:tc>
          <w:tcPr>
            <w:tcW w:type="dxa" w:w="300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차감 실패</w:t>
            </w:r>
          </w:p>
        </w:tc>
        <w:tc>
          <w:tcPr>
            <w:tcW w:type="dxa" w:w="636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공급자 선택을 확정하지 않고 프로젝트를 PENDING_SELECTION 상태로 유지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4C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20"/>
              </w:rPr>
            </w:r>
            <w:r>
              <w:rPr>
                <w:rFonts w:ascii="Malgun Gothic" w:hAnsi="Malgun Gothic" w:eastAsia="Malgun Gothic"/>
                <w:b/>
                <w:color w:val="087F8C"/>
                <w:sz w:val="20"/>
              </w:rPr>
              <w:t xml:space="preserve">소급 차감 금지  </w:t>
            </w:r>
            <w:r>
              <w:rPr>
                <w:rFonts w:ascii="Malgun Gothic" w:hAnsi="Malgun Gothic" w:eastAsia="Malgun Gothic"/>
                <w:b w:val="0"/>
                <w:color w:val="24323D"/>
                <w:sz w:val="20"/>
              </w:rPr>
              <w:t>정책 시행 전에 이미 선택된 공급자 지갑에서 배포 또는 DB 마이그레이션만으로 수수료를 자동 차감하지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8. 운영·감사 확인사항</w:t>
      </w:r>
    </w:p>
    <w:p>
      <w:pPr>
        <w:pStyle w:val="ListBullet"/>
      </w:pPr>
      <w:r>
        <w:t>FEE-I1 관리대장과 운영 DB의 적용 거래·차감 시점·복원 원칙이 일치하는지 확인  [확인: □]</w:t>
      </w:r>
    </w:p>
    <w:p>
      <w:pPr>
        <w:pStyle w:val="ListBullet"/>
      </w:pPr>
      <w:r>
        <w:t>각 견적금액 경계값과 최고구간에 대한 자동화 테스트 유지  [확인: □]</w:t>
      </w:r>
    </w:p>
    <w:p>
      <w:pPr>
        <w:pStyle w:val="ListBullet"/>
      </w:pPr>
      <w:r>
        <w:t>동시 선택과 요청 재시도에서 Transaction, FeeCharge, WalletLedgerEntry가 각각 한 건인지 확인  [확인: □]</w:t>
      </w:r>
    </w:p>
    <w:p>
      <w:pPr>
        <w:pStyle w:val="ListBullet"/>
      </w:pPr>
      <w:r>
        <w:t>수수료 차감 실패 시 공급자 선택·견적상태·요청상태가 함께 롤백되는지 확인  [확인: □]</w:t>
      </w:r>
    </w:p>
    <w:p>
      <w:pPr>
        <w:pStyle w:val="ListBullet"/>
      </w:pPr>
      <w:r>
        <w:t>관리자 Wallet 화면에서 차감과 FeeRestore가 거래·공급자·정책과 연결되는지 확인  [확인: □]</w:t>
      </w:r>
    </w:p>
    <w:p>
      <w:pPr>
        <w:pStyle w:val="ListBullet"/>
      </w:pPr>
      <w:r>
        <w:t>운영 배포 후 API health/readiness, 고객 최종선택, 공급자 지갑 및 관리자 원장을 Smoke Test  [확인: □]</w:t>
      </w:r>
    </w:p>
    <w:p>
      <w:pPr>
        <w:pStyle w:val="Heading1"/>
      </w:pPr>
      <w:r>
        <w:t>9. 사업자 정보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tblHeader w:val="true"/>
        </w:trPr>
        <w:tc>
          <w:tcPr>
            <w:tcW w:type="dxa" w:w="26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76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법인/사업자명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(주)디에이치</w:t>
            </w:r>
          </w:p>
        </w:tc>
      </w:tr>
      <w:tr>
        <w:tc>
          <w:tcPr>
            <w:tcW w:type="dxa" w:w="260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대표자</w:t>
            </w:r>
          </w:p>
        </w:tc>
        <w:tc>
          <w:tcPr>
            <w:tcW w:type="dxa" w:w="676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하정숙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사업자등록번호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896-81-02432</w:t>
            </w:r>
          </w:p>
        </w:tc>
      </w:tr>
      <w:tr>
        <w:tc>
          <w:tcPr>
            <w:tcW w:type="dxa" w:w="260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사업장 주소</w:t>
            </w:r>
          </w:p>
        </w:tc>
        <w:tc>
          <w:tcPr>
            <w:tcW w:type="dxa" w:w="676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대구광역시 동구 효동로 72-1, 3층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고객센터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1670-5073 / customer@dh9.kr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5F6F7A"/>
        <w:sz w:val="16"/>
      </w:rPr>
      <w:t xml:space="preserve">SOODAL LIFE  | 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/>
        <w:color w:val="5F6F7A"/>
        <w:sz w:val="17"/>
      </w:rPr>
      <w:t>SOODAL LIFE  |  인테리어 공급자 수수료 FEE-I1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algun Gothic" w:hAnsi="Malgun Gothic" w:eastAsia="Malgun Gothic"/>
      <w:b w:val="0"/>
      <w:color w:val="2432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87F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5F6F7A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ind w:left="720" w:hanging="360"/>
      <w:contextualSpacing/>
    </w:pPr>
    <w:rPr>
      <w:rFonts w:ascii="Malgun Gothic" w:hAnsi="Malgun Gothic" w:eastAsia="Malgun Gothic"/>
      <w:b w:val="0"/>
      <w:color w:val="24323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ind w:left="720" w:hanging="360"/>
      <w:contextualSpacing/>
    </w:pPr>
    <w:rPr>
      <w:rFonts w:ascii="Malgun Gothic" w:hAnsi="Malgun Gothic" w:eastAsia="Malgun Gothic"/>
      <w:b w:val="0"/>
      <w:color w:val="24323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수달 라이프 인테리어 공급자 수수료 FEE-I1 정책 v1.0</dc:title>
  <dc:subject>고객의 최종 시공업체 선택 시 공급자 지갑 수수료 차감 정책</dc:subject>
  <dc:creator>(주)디에이치</dc:creator>
  <cp:keywords>수달 라이프, 인테리어, FEE-I1, 공급자 수수료, Wallet, FeeRestore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